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4303" w:type="pct"/>
        <w:tblInd w:w="-728" w:type="dxa"/>
        <w:tblLayout w:type="fixed"/>
        <w:tblCellMar>
          <w:left w:w="0" w:type="dxa"/>
          <w:right w:w="0" w:type="dxa"/>
        </w:tblCellMar>
        <w:tblLook w:val="04A0" w:firstRow="1" w:lastRow="0" w:firstColumn="1" w:lastColumn="0" w:noHBand="0" w:noVBand="1"/>
      </w:tblPr>
      <w:tblGrid>
        <w:gridCol w:w="7392"/>
      </w:tblGrid>
      <w:tr w:rsidR="00F909D7" w:rsidRPr="00C75894" w14:paraId="0E6F01FD" w14:textId="77777777" w:rsidTr="00065FD5">
        <w:trPr>
          <w:cnfStyle w:val="100000000000" w:firstRow="1" w:lastRow="0" w:firstColumn="0" w:lastColumn="0" w:oddVBand="0" w:evenVBand="0" w:oddHBand="0" w:evenHBand="0" w:firstRowFirstColumn="0" w:firstRowLastColumn="0" w:lastRowFirstColumn="0" w:lastRowLastColumn="0"/>
          <w:trHeight w:val="11339"/>
        </w:trPr>
        <w:tc>
          <w:tcPr>
            <w:tcW w:w="7392" w:type="dxa"/>
          </w:tcPr>
          <w:p w14:paraId="658EA7B9" w14:textId="7BEF934E" w:rsidR="00172965" w:rsidRPr="00C75894" w:rsidRDefault="00C309F9" w:rsidP="0007315C">
            <w:pPr>
              <w:pStyle w:val="Title"/>
            </w:pPr>
            <w:r w:rsidRPr="0007315C">
              <w:rPr>
                <w:color w:val="CAF1FF" w:themeColor="accent4" w:themeTint="33"/>
              </w:rPr>
              <w:t>Final</w:t>
            </w:r>
            <w:r w:rsidR="00B951D2" w:rsidRPr="0007315C">
              <w:rPr>
                <w:color w:val="CAF1FF" w:themeColor="accent4" w:themeTint="33"/>
              </w:rPr>
              <w:t xml:space="preserve"> Report</w:t>
            </w:r>
            <w:r w:rsidR="0007315C">
              <w:t xml:space="preserve"> </w:t>
            </w:r>
            <w:r w:rsidR="001D1B96" w:rsidRPr="0007315C">
              <w:t>Evaluation of the Medical Physicists Support Progra</w:t>
            </w:r>
            <w:r w:rsidR="001D1B96" w:rsidRPr="0007315C">
              <w:rPr>
                <w:rStyle w:val="TitleChar"/>
              </w:rPr>
              <w:t>m</w:t>
            </w:r>
          </w:p>
          <w:p w14:paraId="5E9FBCFB" w14:textId="6C980BC1" w:rsidR="00065FD5" w:rsidRPr="0007315C" w:rsidRDefault="00600467" w:rsidP="0007315C">
            <w:r>
              <w:rPr>
                <w:rFonts w:cs="Arial"/>
              </w:rPr>
              <w:t>Department of Health, Disability and Ageing</w:t>
            </w:r>
          </w:p>
          <w:p w14:paraId="4C525AB7" w14:textId="3121BF47" w:rsidR="00065FD5" w:rsidRPr="00550FF4" w:rsidRDefault="00065FD5" w:rsidP="00550FF4">
            <w:pPr>
              <w:pStyle w:val="Date"/>
            </w:pPr>
            <w:r w:rsidRPr="00550FF4">
              <w:t>13 December 2024 | KPMG.com.au</w:t>
            </w:r>
          </w:p>
        </w:tc>
      </w:tr>
    </w:tbl>
    <w:p w14:paraId="49228E3E" w14:textId="656A6912" w:rsidR="00F909D7" w:rsidRPr="001C0629" w:rsidRDefault="00F909D7" w:rsidP="001C0629">
      <w:pPr>
        <w:rPr>
          <w:highlight w:val="yellow"/>
        </w:rPr>
        <w:sectPr w:rsidR="00F909D7" w:rsidRPr="001C0629" w:rsidSect="00F32E04">
          <w:headerReference w:type="even" r:id="rId11"/>
          <w:headerReference w:type="default" r:id="rId12"/>
          <w:footerReference w:type="even" r:id="rId13"/>
          <w:headerReference w:type="first" r:id="rId14"/>
          <w:footerReference w:type="first" r:id="rId15"/>
          <w:pgSz w:w="11906" w:h="16838"/>
          <w:pgMar w:top="2835" w:right="1418" w:bottom="851" w:left="1899" w:header="709" w:footer="709" w:gutter="0"/>
          <w:cols w:space="708"/>
          <w:docGrid w:linePitch="360"/>
        </w:sectPr>
      </w:pPr>
    </w:p>
    <w:sdt>
      <w:sdtPr>
        <w:rPr>
          <w:b w:val="0"/>
          <w:color w:val="auto"/>
          <w:sz w:val="20"/>
          <w:szCs w:val="20"/>
          <w:lang w:val="en-GB"/>
        </w:rPr>
        <w:id w:val="-954407380"/>
        <w:docPartObj>
          <w:docPartGallery w:val="Table of Contents"/>
          <w:docPartUnique/>
        </w:docPartObj>
      </w:sdtPr>
      <w:sdtContent>
        <w:p w14:paraId="5570F649" w14:textId="5C4BD09B" w:rsidR="00550FF4" w:rsidRDefault="00550FF4" w:rsidP="00550FF4">
          <w:pPr>
            <w:pStyle w:val="TOCHeading"/>
            <w:framePr w:wrap="around" w:hAnchor="page" w:x="1471" w:y="706"/>
          </w:pPr>
          <w:r>
            <w:rPr>
              <w:lang w:val="en-GB"/>
            </w:rPr>
            <w:t>Contents</w:t>
          </w:r>
        </w:p>
        <w:p w14:paraId="1A3ED5D5" w14:textId="39084CF3" w:rsidR="0033321C" w:rsidRDefault="00550FF4">
          <w:pPr>
            <w:pStyle w:val="TOC1"/>
            <w:rPr>
              <w:rFonts w:asciiTheme="minorHAnsi" w:eastAsiaTheme="minorEastAsia" w:hAnsiTheme="minorHAnsi" w:hint="eastAsia"/>
              <w:noProof/>
              <w:color w:val="auto"/>
              <w:kern w:val="2"/>
              <w:sz w:val="24"/>
              <w:szCs w:val="24"/>
              <w:lang w:eastAsia="en-AU"/>
              <w14:ligatures w14:val="standardContextual"/>
            </w:rPr>
          </w:pPr>
          <w:r>
            <w:fldChar w:fldCharType="begin"/>
          </w:r>
          <w:r>
            <w:instrText xml:space="preserve"> TOC \o "1-2" \h \z \u </w:instrText>
          </w:r>
          <w:r>
            <w:fldChar w:fldCharType="separate"/>
          </w:r>
          <w:hyperlink w:anchor="_Toc216791982" w:history="1">
            <w:r w:rsidR="0033321C" w:rsidRPr="00EB4035">
              <w:rPr>
                <w:rStyle w:val="Hyperlink"/>
                <w:noProof/>
              </w:rPr>
              <w:t>Executive Summary</w:t>
            </w:r>
            <w:r w:rsidR="0033321C">
              <w:rPr>
                <w:noProof/>
                <w:webHidden/>
              </w:rPr>
              <w:tab/>
            </w:r>
            <w:r w:rsidR="0033321C">
              <w:rPr>
                <w:noProof/>
                <w:webHidden/>
              </w:rPr>
              <w:fldChar w:fldCharType="begin"/>
            </w:r>
            <w:r w:rsidR="0033321C">
              <w:rPr>
                <w:noProof/>
                <w:webHidden/>
              </w:rPr>
              <w:instrText xml:space="preserve"> PAGEREF _Toc216791982 \h </w:instrText>
            </w:r>
            <w:r w:rsidR="0033321C">
              <w:rPr>
                <w:noProof/>
                <w:webHidden/>
              </w:rPr>
            </w:r>
            <w:r w:rsidR="0033321C">
              <w:rPr>
                <w:noProof/>
                <w:webHidden/>
              </w:rPr>
              <w:fldChar w:fldCharType="separate"/>
            </w:r>
            <w:r w:rsidR="0033321C">
              <w:rPr>
                <w:noProof/>
                <w:webHidden/>
              </w:rPr>
              <w:t>vii</w:t>
            </w:r>
            <w:r w:rsidR="0033321C">
              <w:rPr>
                <w:noProof/>
                <w:webHidden/>
              </w:rPr>
              <w:fldChar w:fldCharType="end"/>
            </w:r>
          </w:hyperlink>
        </w:p>
        <w:p w14:paraId="779E0805" w14:textId="646FF5F2"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83" w:history="1">
            <w:r w:rsidRPr="00EB4035">
              <w:rPr>
                <w:rStyle w:val="Hyperlink"/>
              </w:rPr>
              <w:t>Context and background</w:t>
            </w:r>
            <w:r>
              <w:rPr>
                <w:webHidden/>
              </w:rPr>
              <w:tab/>
            </w:r>
            <w:r>
              <w:rPr>
                <w:webHidden/>
              </w:rPr>
              <w:fldChar w:fldCharType="begin"/>
            </w:r>
            <w:r>
              <w:rPr>
                <w:webHidden/>
              </w:rPr>
              <w:instrText xml:space="preserve"> PAGEREF _Toc216791983 \h </w:instrText>
            </w:r>
            <w:r>
              <w:rPr>
                <w:webHidden/>
              </w:rPr>
            </w:r>
            <w:r>
              <w:rPr>
                <w:webHidden/>
              </w:rPr>
              <w:fldChar w:fldCharType="separate"/>
            </w:r>
            <w:r>
              <w:rPr>
                <w:webHidden/>
              </w:rPr>
              <w:t>vii</w:t>
            </w:r>
            <w:r>
              <w:rPr>
                <w:webHidden/>
              </w:rPr>
              <w:fldChar w:fldCharType="end"/>
            </w:r>
          </w:hyperlink>
        </w:p>
        <w:p w14:paraId="04A69823" w14:textId="15488197"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84" w:history="1">
            <w:r w:rsidRPr="00EB4035">
              <w:rPr>
                <w:rStyle w:val="Hyperlink"/>
              </w:rPr>
              <w:t>Evaluating the MPS Program</w:t>
            </w:r>
            <w:r>
              <w:rPr>
                <w:webHidden/>
              </w:rPr>
              <w:tab/>
            </w:r>
            <w:r>
              <w:rPr>
                <w:webHidden/>
              </w:rPr>
              <w:fldChar w:fldCharType="begin"/>
            </w:r>
            <w:r>
              <w:rPr>
                <w:webHidden/>
              </w:rPr>
              <w:instrText xml:space="preserve"> PAGEREF _Toc216791984 \h </w:instrText>
            </w:r>
            <w:r>
              <w:rPr>
                <w:webHidden/>
              </w:rPr>
            </w:r>
            <w:r>
              <w:rPr>
                <w:webHidden/>
              </w:rPr>
              <w:fldChar w:fldCharType="separate"/>
            </w:r>
            <w:r>
              <w:rPr>
                <w:webHidden/>
              </w:rPr>
              <w:t>viii</w:t>
            </w:r>
            <w:r>
              <w:rPr>
                <w:webHidden/>
              </w:rPr>
              <w:fldChar w:fldCharType="end"/>
            </w:r>
          </w:hyperlink>
        </w:p>
        <w:p w14:paraId="062734FC" w14:textId="327FF0D1"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85" w:history="1">
            <w:r w:rsidRPr="00EB4035">
              <w:rPr>
                <w:rStyle w:val="Hyperlink"/>
              </w:rPr>
              <w:t>Summary of key findings</w:t>
            </w:r>
            <w:r>
              <w:rPr>
                <w:webHidden/>
              </w:rPr>
              <w:tab/>
            </w:r>
            <w:r>
              <w:rPr>
                <w:webHidden/>
              </w:rPr>
              <w:fldChar w:fldCharType="begin"/>
            </w:r>
            <w:r>
              <w:rPr>
                <w:webHidden/>
              </w:rPr>
              <w:instrText xml:space="preserve"> PAGEREF _Toc216791985 \h </w:instrText>
            </w:r>
            <w:r>
              <w:rPr>
                <w:webHidden/>
              </w:rPr>
            </w:r>
            <w:r>
              <w:rPr>
                <w:webHidden/>
              </w:rPr>
              <w:fldChar w:fldCharType="separate"/>
            </w:r>
            <w:r>
              <w:rPr>
                <w:webHidden/>
              </w:rPr>
              <w:t>ix</w:t>
            </w:r>
            <w:r>
              <w:rPr>
                <w:webHidden/>
              </w:rPr>
              <w:fldChar w:fldCharType="end"/>
            </w:r>
          </w:hyperlink>
        </w:p>
        <w:p w14:paraId="292858DA" w14:textId="33A59B17"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86" w:history="1">
            <w:r w:rsidRPr="00EB4035">
              <w:rPr>
                <w:rStyle w:val="Hyperlink"/>
              </w:rPr>
              <w:t>Recommendations</w:t>
            </w:r>
            <w:r>
              <w:rPr>
                <w:webHidden/>
              </w:rPr>
              <w:tab/>
            </w:r>
            <w:r>
              <w:rPr>
                <w:webHidden/>
              </w:rPr>
              <w:fldChar w:fldCharType="begin"/>
            </w:r>
            <w:r>
              <w:rPr>
                <w:webHidden/>
              </w:rPr>
              <w:instrText xml:space="preserve"> PAGEREF _Toc216791986 \h </w:instrText>
            </w:r>
            <w:r>
              <w:rPr>
                <w:webHidden/>
              </w:rPr>
            </w:r>
            <w:r>
              <w:rPr>
                <w:webHidden/>
              </w:rPr>
              <w:fldChar w:fldCharType="separate"/>
            </w:r>
            <w:r>
              <w:rPr>
                <w:webHidden/>
              </w:rPr>
              <w:t>xv</w:t>
            </w:r>
            <w:r>
              <w:rPr>
                <w:webHidden/>
              </w:rPr>
              <w:fldChar w:fldCharType="end"/>
            </w:r>
          </w:hyperlink>
        </w:p>
        <w:p w14:paraId="0BE56A9B" w14:textId="50D49DCD"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1987" w:history="1">
            <w:r w:rsidRPr="00EB4035">
              <w:rPr>
                <w:rStyle w:val="Hyperlink"/>
                <w:noProof/>
              </w:rPr>
              <w:t>1</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Evaluating the MPS Program</w:t>
            </w:r>
            <w:r>
              <w:rPr>
                <w:noProof/>
                <w:webHidden/>
              </w:rPr>
              <w:tab/>
            </w:r>
            <w:r>
              <w:rPr>
                <w:noProof/>
                <w:webHidden/>
              </w:rPr>
              <w:fldChar w:fldCharType="begin"/>
            </w:r>
            <w:r>
              <w:rPr>
                <w:noProof/>
                <w:webHidden/>
              </w:rPr>
              <w:instrText xml:space="preserve"> PAGEREF _Toc216791987 \h </w:instrText>
            </w:r>
            <w:r>
              <w:rPr>
                <w:noProof/>
                <w:webHidden/>
              </w:rPr>
            </w:r>
            <w:r>
              <w:rPr>
                <w:noProof/>
                <w:webHidden/>
              </w:rPr>
              <w:fldChar w:fldCharType="separate"/>
            </w:r>
            <w:r>
              <w:rPr>
                <w:noProof/>
                <w:webHidden/>
              </w:rPr>
              <w:t>21</w:t>
            </w:r>
            <w:r>
              <w:rPr>
                <w:noProof/>
                <w:webHidden/>
              </w:rPr>
              <w:fldChar w:fldCharType="end"/>
            </w:r>
          </w:hyperlink>
        </w:p>
        <w:p w14:paraId="7B3773C1" w14:textId="043494F2"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88" w:history="1">
            <w:r w:rsidRPr="00EB4035">
              <w:rPr>
                <w:rStyle w:val="Hyperlink"/>
              </w:rPr>
              <w:t>1.1</w:t>
            </w:r>
            <w:r>
              <w:rPr>
                <w:rFonts w:asciiTheme="minorHAnsi" w:eastAsiaTheme="minorEastAsia" w:hAnsiTheme="minorHAnsi"/>
                <w:color w:val="auto"/>
                <w:kern w:val="2"/>
                <w:sz w:val="24"/>
                <w:szCs w:val="24"/>
                <w:lang w:eastAsia="en-AU"/>
                <w14:ligatures w14:val="standardContextual"/>
              </w:rPr>
              <w:tab/>
            </w:r>
            <w:r w:rsidRPr="00EB4035">
              <w:rPr>
                <w:rStyle w:val="Hyperlink"/>
              </w:rPr>
              <w:t>Evaluation objectives and scope</w:t>
            </w:r>
            <w:r>
              <w:rPr>
                <w:webHidden/>
              </w:rPr>
              <w:tab/>
            </w:r>
            <w:r>
              <w:rPr>
                <w:webHidden/>
              </w:rPr>
              <w:fldChar w:fldCharType="begin"/>
            </w:r>
            <w:r>
              <w:rPr>
                <w:webHidden/>
              </w:rPr>
              <w:instrText xml:space="preserve"> PAGEREF _Toc216791988 \h </w:instrText>
            </w:r>
            <w:r>
              <w:rPr>
                <w:webHidden/>
              </w:rPr>
            </w:r>
            <w:r>
              <w:rPr>
                <w:webHidden/>
              </w:rPr>
              <w:fldChar w:fldCharType="separate"/>
            </w:r>
            <w:r>
              <w:rPr>
                <w:webHidden/>
              </w:rPr>
              <w:t>21</w:t>
            </w:r>
            <w:r>
              <w:rPr>
                <w:webHidden/>
              </w:rPr>
              <w:fldChar w:fldCharType="end"/>
            </w:r>
          </w:hyperlink>
        </w:p>
        <w:p w14:paraId="19609CD7" w14:textId="494A11F3"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89" w:history="1">
            <w:r w:rsidRPr="00EB4035">
              <w:rPr>
                <w:rStyle w:val="Hyperlink"/>
              </w:rPr>
              <w:t>1.2</w:t>
            </w:r>
            <w:r>
              <w:rPr>
                <w:rFonts w:asciiTheme="minorHAnsi" w:eastAsiaTheme="minorEastAsia" w:hAnsiTheme="minorHAnsi"/>
                <w:color w:val="auto"/>
                <w:kern w:val="2"/>
                <w:sz w:val="24"/>
                <w:szCs w:val="24"/>
                <w:lang w:eastAsia="en-AU"/>
                <w14:ligatures w14:val="standardContextual"/>
              </w:rPr>
              <w:tab/>
            </w:r>
            <w:r w:rsidRPr="00EB4035">
              <w:rPr>
                <w:rStyle w:val="Hyperlink"/>
              </w:rPr>
              <w:t>Data collection and analytical framework</w:t>
            </w:r>
            <w:r>
              <w:rPr>
                <w:webHidden/>
              </w:rPr>
              <w:tab/>
            </w:r>
            <w:r>
              <w:rPr>
                <w:webHidden/>
              </w:rPr>
              <w:fldChar w:fldCharType="begin"/>
            </w:r>
            <w:r>
              <w:rPr>
                <w:webHidden/>
              </w:rPr>
              <w:instrText xml:space="preserve"> PAGEREF _Toc216791989 \h </w:instrText>
            </w:r>
            <w:r>
              <w:rPr>
                <w:webHidden/>
              </w:rPr>
            </w:r>
            <w:r>
              <w:rPr>
                <w:webHidden/>
              </w:rPr>
              <w:fldChar w:fldCharType="separate"/>
            </w:r>
            <w:r>
              <w:rPr>
                <w:webHidden/>
              </w:rPr>
              <w:t>22</w:t>
            </w:r>
            <w:r>
              <w:rPr>
                <w:webHidden/>
              </w:rPr>
              <w:fldChar w:fldCharType="end"/>
            </w:r>
          </w:hyperlink>
        </w:p>
        <w:p w14:paraId="2A6DA2F9" w14:textId="370243B5"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90" w:history="1">
            <w:r w:rsidRPr="00EB4035">
              <w:rPr>
                <w:rStyle w:val="Hyperlink"/>
              </w:rPr>
              <w:t>1.3</w:t>
            </w:r>
            <w:r>
              <w:rPr>
                <w:rFonts w:asciiTheme="minorHAnsi" w:eastAsiaTheme="minorEastAsia" w:hAnsiTheme="minorHAnsi"/>
                <w:color w:val="auto"/>
                <w:kern w:val="2"/>
                <w:sz w:val="24"/>
                <w:szCs w:val="24"/>
                <w:lang w:eastAsia="en-AU"/>
                <w14:ligatures w14:val="standardContextual"/>
              </w:rPr>
              <w:tab/>
            </w:r>
            <w:r w:rsidRPr="00EB4035">
              <w:rPr>
                <w:rStyle w:val="Hyperlink"/>
              </w:rPr>
              <w:t>Evaluative approach</w:t>
            </w:r>
            <w:r>
              <w:rPr>
                <w:webHidden/>
              </w:rPr>
              <w:tab/>
            </w:r>
            <w:r>
              <w:rPr>
                <w:webHidden/>
              </w:rPr>
              <w:fldChar w:fldCharType="begin"/>
            </w:r>
            <w:r>
              <w:rPr>
                <w:webHidden/>
              </w:rPr>
              <w:instrText xml:space="preserve"> PAGEREF _Toc216791990 \h </w:instrText>
            </w:r>
            <w:r>
              <w:rPr>
                <w:webHidden/>
              </w:rPr>
            </w:r>
            <w:r>
              <w:rPr>
                <w:webHidden/>
              </w:rPr>
              <w:fldChar w:fldCharType="separate"/>
            </w:r>
            <w:r>
              <w:rPr>
                <w:webHidden/>
              </w:rPr>
              <w:t>23</w:t>
            </w:r>
            <w:r>
              <w:rPr>
                <w:webHidden/>
              </w:rPr>
              <w:fldChar w:fldCharType="end"/>
            </w:r>
          </w:hyperlink>
        </w:p>
        <w:p w14:paraId="4B11ED25" w14:textId="3E0289BD"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1991" w:history="1">
            <w:r w:rsidRPr="00EB4035">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Overview of the MPS Program</w:t>
            </w:r>
            <w:r>
              <w:rPr>
                <w:noProof/>
                <w:webHidden/>
              </w:rPr>
              <w:tab/>
            </w:r>
            <w:r>
              <w:rPr>
                <w:noProof/>
                <w:webHidden/>
              </w:rPr>
              <w:fldChar w:fldCharType="begin"/>
            </w:r>
            <w:r>
              <w:rPr>
                <w:noProof/>
                <w:webHidden/>
              </w:rPr>
              <w:instrText xml:space="preserve"> PAGEREF _Toc216791991 \h </w:instrText>
            </w:r>
            <w:r>
              <w:rPr>
                <w:noProof/>
                <w:webHidden/>
              </w:rPr>
            </w:r>
            <w:r>
              <w:rPr>
                <w:noProof/>
                <w:webHidden/>
              </w:rPr>
              <w:fldChar w:fldCharType="separate"/>
            </w:r>
            <w:r>
              <w:rPr>
                <w:noProof/>
                <w:webHidden/>
              </w:rPr>
              <w:t>25</w:t>
            </w:r>
            <w:r>
              <w:rPr>
                <w:noProof/>
                <w:webHidden/>
              </w:rPr>
              <w:fldChar w:fldCharType="end"/>
            </w:r>
          </w:hyperlink>
        </w:p>
        <w:p w14:paraId="09C3713F" w14:textId="5D51FB11"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92" w:history="1">
            <w:r w:rsidRPr="00EB4035">
              <w:rPr>
                <w:rStyle w:val="Hyperlink"/>
              </w:rPr>
              <w:t>2.1</w:t>
            </w:r>
            <w:r>
              <w:rPr>
                <w:rFonts w:asciiTheme="minorHAnsi" w:eastAsiaTheme="minorEastAsia" w:hAnsiTheme="minorHAnsi"/>
                <w:color w:val="auto"/>
                <w:kern w:val="2"/>
                <w:sz w:val="24"/>
                <w:szCs w:val="24"/>
                <w:lang w:eastAsia="en-AU"/>
                <w14:ligatures w14:val="standardContextual"/>
              </w:rPr>
              <w:tab/>
            </w:r>
            <w:r w:rsidRPr="00EB4035">
              <w:rPr>
                <w:rStyle w:val="Hyperlink"/>
              </w:rPr>
              <w:t>Background and context</w:t>
            </w:r>
            <w:r>
              <w:rPr>
                <w:webHidden/>
              </w:rPr>
              <w:tab/>
            </w:r>
            <w:r>
              <w:rPr>
                <w:webHidden/>
              </w:rPr>
              <w:fldChar w:fldCharType="begin"/>
            </w:r>
            <w:r>
              <w:rPr>
                <w:webHidden/>
              </w:rPr>
              <w:instrText xml:space="preserve"> PAGEREF _Toc216791992 \h </w:instrText>
            </w:r>
            <w:r>
              <w:rPr>
                <w:webHidden/>
              </w:rPr>
            </w:r>
            <w:r>
              <w:rPr>
                <w:webHidden/>
              </w:rPr>
              <w:fldChar w:fldCharType="separate"/>
            </w:r>
            <w:r>
              <w:rPr>
                <w:webHidden/>
              </w:rPr>
              <w:t>25</w:t>
            </w:r>
            <w:r>
              <w:rPr>
                <w:webHidden/>
              </w:rPr>
              <w:fldChar w:fldCharType="end"/>
            </w:r>
          </w:hyperlink>
        </w:p>
        <w:p w14:paraId="29DC3855" w14:textId="492BE67D"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93" w:history="1">
            <w:r w:rsidRPr="00EB4035">
              <w:rPr>
                <w:rStyle w:val="Hyperlink"/>
              </w:rPr>
              <w:t>2.2</w:t>
            </w:r>
            <w:r>
              <w:rPr>
                <w:rFonts w:asciiTheme="minorHAnsi" w:eastAsiaTheme="minorEastAsia" w:hAnsiTheme="minorHAnsi"/>
                <w:color w:val="auto"/>
                <w:kern w:val="2"/>
                <w:sz w:val="24"/>
                <w:szCs w:val="24"/>
                <w:lang w:eastAsia="en-AU"/>
                <w14:ligatures w14:val="standardContextual"/>
              </w:rPr>
              <w:tab/>
            </w:r>
            <w:r w:rsidRPr="00EB4035">
              <w:rPr>
                <w:rStyle w:val="Hyperlink"/>
              </w:rPr>
              <w:t>Key components of the MPS Program</w:t>
            </w:r>
            <w:r>
              <w:rPr>
                <w:webHidden/>
              </w:rPr>
              <w:tab/>
            </w:r>
            <w:r>
              <w:rPr>
                <w:webHidden/>
              </w:rPr>
              <w:fldChar w:fldCharType="begin"/>
            </w:r>
            <w:r>
              <w:rPr>
                <w:webHidden/>
              </w:rPr>
              <w:instrText xml:space="preserve"> PAGEREF _Toc216791993 \h </w:instrText>
            </w:r>
            <w:r>
              <w:rPr>
                <w:webHidden/>
              </w:rPr>
            </w:r>
            <w:r>
              <w:rPr>
                <w:webHidden/>
              </w:rPr>
              <w:fldChar w:fldCharType="separate"/>
            </w:r>
            <w:r>
              <w:rPr>
                <w:webHidden/>
              </w:rPr>
              <w:t>29</w:t>
            </w:r>
            <w:r>
              <w:rPr>
                <w:webHidden/>
              </w:rPr>
              <w:fldChar w:fldCharType="end"/>
            </w:r>
          </w:hyperlink>
        </w:p>
        <w:p w14:paraId="0069E26F" w14:textId="1F151BD8"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1994" w:history="1">
            <w:r w:rsidRPr="00EB4035">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Evaluation findings</w:t>
            </w:r>
            <w:r>
              <w:rPr>
                <w:noProof/>
                <w:webHidden/>
              </w:rPr>
              <w:tab/>
            </w:r>
            <w:r>
              <w:rPr>
                <w:noProof/>
                <w:webHidden/>
              </w:rPr>
              <w:fldChar w:fldCharType="begin"/>
            </w:r>
            <w:r>
              <w:rPr>
                <w:noProof/>
                <w:webHidden/>
              </w:rPr>
              <w:instrText xml:space="preserve"> PAGEREF _Toc216791994 \h </w:instrText>
            </w:r>
            <w:r>
              <w:rPr>
                <w:noProof/>
                <w:webHidden/>
              </w:rPr>
            </w:r>
            <w:r>
              <w:rPr>
                <w:noProof/>
                <w:webHidden/>
              </w:rPr>
              <w:fldChar w:fldCharType="separate"/>
            </w:r>
            <w:r>
              <w:rPr>
                <w:noProof/>
                <w:webHidden/>
              </w:rPr>
              <w:t>34</w:t>
            </w:r>
            <w:r>
              <w:rPr>
                <w:noProof/>
                <w:webHidden/>
              </w:rPr>
              <w:fldChar w:fldCharType="end"/>
            </w:r>
          </w:hyperlink>
        </w:p>
        <w:p w14:paraId="79206FB9" w14:textId="4CB1546C"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95" w:history="1">
            <w:r w:rsidRPr="00EB4035">
              <w:rPr>
                <w:rStyle w:val="Hyperlink"/>
              </w:rPr>
              <w:t>3.1</w:t>
            </w:r>
            <w:r>
              <w:rPr>
                <w:rFonts w:asciiTheme="minorHAnsi" w:eastAsiaTheme="minorEastAsia" w:hAnsiTheme="minorHAnsi"/>
                <w:color w:val="auto"/>
                <w:kern w:val="2"/>
                <w:sz w:val="24"/>
                <w:szCs w:val="24"/>
                <w:lang w:eastAsia="en-AU"/>
                <w14:ligatures w14:val="standardContextual"/>
              </w:rPr>
              <w:tab/>
            </w:r>
            <w:r w:rsidRPr="00EB4035">
              <w:rPr>
                <w:rStyle w:val="Hyperlink"/>
              </w:rPr>
              <w:t>KEQ1: Has the MPS Program been implemented as intended?</w:t>
            </w:r>
            <w:r>
              <w:rPr>
                <w:webHidden/>
              </w:rPr>
              <w:tab/>
            </w:r>
            <w:r>
              <w:rPr>
                <w:webHidden/>
              </w:rPr>
              <w:fldChar w:fldCharType="begin"/>
            </w:r>
            <w:r>
              <w:rPr>
                <w:webHidden/>
              </w:rPr>
              <w:instrText xml:space="preserve"> PAGEREF _Toc216791995 \h </w:instrText>
            </w:r>
            <w:r>
              <w:rPr>
                <w:webHidden/>
              </w:rPr>
            </w:r>
            <w:r>
              <w:rPr>
                <w:webHidden/>
              </w:rPr>
              <w:fldChar w:fldCharType="separate"/>
            </w:r>
            <w:r>
              <w:rPr>
                <w:webHidden/>
              </w:rPr>
              <w:t>34</w:t>
            </w:r>
            <w:r>
              <w:rPr>
                <w:webHidden/>
              </w:rPr>
              <w:fldChar w:fldCharType="end"/>
            </w:r>
          </w:hyperlink>
        </w:p>
        <w:p w14:paraId="6C6AFD46" w14:textId="12508228"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96" w:history="1">
            <w:r w:rsidRPr="00EB4035">
              <w:rPr>
                <w:rStyle w:val="Hyperlink"/>
              </w:rPr>
              <w:t>3.2</w:t>
            </w:r>
            <w:r>
              <w:rPr>
                <w:rFonts w:asciiTheme="minorHAnsi" w:eastAsiaTheme="minorEastAsia" w:hAnsiTheme="minorHAnsi"/>
                <w:color w:val="auto"/>
                <w:kern w:val="2"/>
                <w:sz w:val="24"/>
                <w:szCs w:val="24"/>
                <w:lang w:eastAsia="en-AU"/>
                <w14:ligatures w14:val="standardContextual"/>
              </w:rPr>
              <w:tab/>
            </w:r>
            <w:r w:rsidRPr="00EB4035">
              <w:rPr>
                <w:rStyle w:val="Hyperlink"/>
              </w:rPr>
              <w:t>KEQ2: Is the MPS Program still the right response?</w:t>
            </w:r>
            <w:r>
              <w:rPr>
                <w:webHidden/>
              </w:rPr>
              <w:tab/>
            </w:r>
            <w:r>
              <w:rPr>
                <w:webHidden/>
              </w:rPr>
              <w:fldChar w:fldCharType="begin"/>
            </w:r>
            <w:r>
              <w:rPr>
                <w:webHidden/>
              </w:rPr>
              <w:instrText xml:space="preserve"> PAGEREF _Toc216791996 \h </w:instrText>
            </w:r>
            <w:r>
              <w:rPr>
                <w:webHidden/>
              </w:rPr>
            </w:r>
            <w:r>
              <w:rPr>
                <w:webHidden/>
              </w:rPr>
              <w:fldChar w:fldCharType="separate"/>
            </w:r>
            <w:r>
              <w:rPr>
                <w:webHidden/>
              </w:rPr>
              <w:t>47</w:t>
            </w:r>
            <w:r>
              <w:rPr>
                <w:webHidden/>
              </w:rPr>
              <w:fldChar w:fldCharType="end"/>
            </w:r>
          </w:hyperlink>
        </w:p>
        <w:p w14:paraId="5F835266" w14:textId="05574735"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97" w:history="1">
            <w:r w:rsidRPr="00EB4035">
              <w:rPr>
                <w:rStyle w:val="Hyperlink"/>
              </w:rPr>
              <w:t>3.3</w:t>
            </w:r>
            <w:r>
              <w:rPr>
                <w:rFonts w:asciiTheme="minorHAnsi" w:eastAsiaTheme="minorEastAsia" w:hAnsiTheme="minorHAnsi"/>
                <w:color w:val="auto"/>
                <w:kern w:val="2"/>
                <w:sz w:val="24"/>
                <w:szCs w:val="24"/>
                <w:lang w:eastAsia="en-AU"/>
                <w14:ligatures w14:val="standardContextual"/>
              </w:rPr>
              <w:tab/>
            </w:r>
            <w:r w:rsidRPr="00EB4035">
              <w:rPr>
                <w:rStyle w:val="Hyperlink"/>
              </w:rPr>
              <w:t>KEQ3: How efficient is the MPS Program?</w:t>
            </w:r>
            <w:r>
              <w:rPr>
                <w:webHidden/>
              </w:rPr>
              <w:tab/>
            </w:r>
            <w:r>
              <w:rPr>
                <w:webHidden/>
              </w:rPr>
              <w:fldChar w:fldCharType="begin"/>
            </w:r>
            <w:r>
              <w:rPr>
                <w:webHidden/>
              </w:rPr>
              <w:instrText xml:space="preserve"> PAGEREF _Toc216791997 \h </w:instrText>
            </w:r>
            <w:r>
              <w:rPr>
                <w:webHidden/>
              </w:rPr>
            </w:r>
            <w:r>
              <w:rPr>
                <w:webHidden/>
              </w:rPr>
              <w:fldChar w:fldCharType="separate"/>
            </w:r>
            <w:r>
              <w:rPr>
                <w:webHidden/>
              </w:rPr>
              <w:t>60</w:t>
            </w:r>
            <w:r>
              <w:rPr>
                <w:webHidden/>
              </w:rPr>
              <w:fldChar w:fldCharType="end"/>
            </w:r>
          </w:hyperlink>
        </w:p>
        <w:p w14:paraId="4BFD0984" w14:textId="19C76391"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98" w:history="1">
            <w:r w:rsidRPr="00EB4035">
              <w:rPr>
                <w:rStyle w:val="Hyperlink"/>
              </w:rPr>
              <w:t>3.4</w:t>
            </w:r>
            <w:r>
              <w:rPr>
                <w:rFonts w:asciiTheme="minorHAnsi" w:eastAsiaTheme="minorEastAsia" w:hAnsiTheme="minorHAnsi"/>
                <w:color w:val="auto"/>
                <w:kern w:val="2"/>
                <w:sz w:val="24"/>
                <w:szCs w:val="24"/>
                <w:lang w:eastAsia="en-AU"/>
                <w14:ligatures w14:val="standardContextual"/>
              </w:rPr>
              <w:tab/>
            </w:r>
            <w:r w:rsidRPr="00EB4035">
              <w:rPr>
                <w:rStyle w:val="Hyperlink"/>
              </w:rPr>
              <w:t>KEQ4: How sustainable is the MPS Program over the long term, and what evidence supports its continued viability to justify ongoing funding support?</w:t>
            </w:r>
            <w:r>
              <w:rPr>
                <w:webHidden/>
              </w:rPr>
              <w:tab/>
            </w:r>
            <w:r>
              <w:rPr>
                <w:webHidden/>
              </w:rPr>
              <w:fldChar w:fldCharType="begin"/>
            </w:r>
            <w:r>
              <w:rPr>
                <w:webHidden/>
              </w:rPr>
              <w:instrText xml:space="preserve"> PAGEREF _Toc216791998 \h </w:instrText>
            </w:r>
            <w:r>
              <w:rPr>
                <w:webHidden/>
              </w:rPr>
            </w:r>
            <w:r>
              <w:rPr>
                <w:webHidden/>
              </w:rPr>
              <w:fldChar w:fldCharType="separate"/>
            </w:r>
            <w:r>
              <w:rPr>
                <w:webHidden/>
              </w:rPr>
              <w:t>69</w:t>
            </w:r>
            <w:r>
              <w:rPr>
                <w:webHidden/>
              </w:rPr>
              <w:fldChar w:fldCharType="end"/>
            </w:r>
          </w:hyperlink>
        </w:p>
        <w:p w14:paraId="4562ED76" w14:textId="65B1197C"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1999" w:history="1">
            <w:r w:rsidRPr="00EB4035">
              <w:rPr>
                <w:rStyle w:val="Hyperlink"/>
              </w:rPr>
              <w:t>3.5</w:t>
            </w:r>
            <w:r>
              <w:rPr>
                <w:rFonts w:asciiTheme="minorHAnsi" w:eastAsiaTheme="minorEastAsia" w:hAnsiTheme="minorHAnsi"/>
                <w:color w:val="auto"/>
                <w:kern w:val="2"/>
                <w:sz w:val="24"/>
                <w:szCs w:val="24"/>
                <w:lang w:eastAsia="en-AU"/>
                <w14:ligatures w14:val="standardContextual"/>
              </w:rPr>
              <w:tab/>
            </w:r>
            <w:r w:rsidRPr="00EB4035">
              <w:rPr>
                <w:rStyle w:val="Hyperlink"/>
              </w:rPr>
              <w:t>KEQ5: How effective is the MPS Program in meeting its intended objectives?</w:t>
            </w:r>
            <w:r>
              <w:rPr>
                <w:webHidden/>
              </w:rPr>
              <w:tab/>
            </w:r>
            <w:r>
              <w:rPr>
                <w:webHidden/>
              </w:rPr>
              <w:fldChar w:fldCharType="begin"/>
            </w:r>
            <w:r>
              <w:rPr>
                <w:webHidden/>
              </w:rPr>
              <w:instrText xml:space="preserve"> PAGEREF _Toc216791999 \h </w:instrText>
            </w:r>
            <w:r>
              <w:rPr>
                <w:webHidden/>
              </w:rPr>
            </w:r>
            <w:r>
              <w:rPr>
                <w:webHidden/>
              </w:rPr>
              <w:fldChar w:fldCharType="separate"/>
            </w:r>
            <w:r>
              <w:rPr>
                <w:webHidden/>
              </w:rPr>
              <w:t>74</w:t>
            </w:r>
            <w:r>
              <w:rPr>
                <w:webHidden/>
              </w:rPr>
              <w:fldChar w:fldCharType="end"/>
            </w:r>
          </w:hyperlink>
        </w:p>
        <w:p w14:paraId="7F3C9FE8" w14:textId="60E718BC"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2000" w:history="1">
            <w:r w:rsidRPr="00EB4035">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Conclusion &amp; recommendations</w:t>
            </w:r>
            <w:r>
              <w:rPr>
                <w:noProof/>
                <w:webHidden/>
              </w:rPr>
              <w:tab/>
            </w:r>
            <w:r>
              <w:rPr>
                <w:noProof/>
                <w:webHidden/>
              </w:rPr>
              <w:fldChar w:fldCharType="begin"/>
            </w:r>
            <w:r>
              <w:rPr>
                <w:noProof/>
                <w:webHidden/>
              </w:rPr>
              <w:instrText xml:space="preserve"> PAGEREF _Toc216792000 \h </w:instrText>
            </w:r>
            <w:r>
              <w:rPr>
                <w:noProof/>
                <w:webHidden/>
              </w:rPr>
            </w:r>
            <w:r>
              <w:rPr>
                <w:noProof/>
                <w:webHidden/>
              </w:rPr>
              <w:fldChar w:fldCharType="separate"/>
            </w:r>
            <w:r>
              <w:rPr>
                <w:noProof/>
                <w:webHidden/>
              </w:rPr>
              <w:t>90</w:t>
            </w:r>
            <w:r>
              <w:rPr>
                <w:noProof/>
                <w:webHidden/>
              </w:rPr>
              <w:fldChar w:fldCharType="end"/>
            </w:r>
          </w:hyperlink>
        </w:p>
        <w:p w14:paraId="53CF7187" w14:textId="2C7C9A11"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2001" w:history="1">
            <w:r w:rsidRPr="00EB4035">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Appendix A: Evaluation approach</w:t>
            </w:r>
            <w:r>
              <w:rPr>
                <w:noProof/>
                <w:webHidden/>
              </w:rPr>
              <w:tab/>
            </w:r>
            <w:r>
              <w:rPr>
                <w:noProof/>
                <w:webHidden/>
              </w:rPr>
              <w:fldChar w:fldCharType="begin"/>
            </w:r>
            <w:r>
              <w:rPr>
                <w:noProof/>
                <w:webHidden/>
              </w:rPr>
              <w:instrText xml:space="preserve"> PAGEREF _Toc216792001 \h </w:instrText>
            </w:r>
            <w:r>
              <w:rPr>
                <w:noProof/>
                <w:webHidden/>
              </w:rPr>
            </w:r>
            <w:r>
              <w:rPr>
                <w:noProof/>
                <w:webHidden/>
              </w:rPr>
              <w:fldChar w:fldCharType="separate"/>
            </w:r>
            <w:r>
              <w:rPr>
                <w:noProof/>
                <w:webHidden/>
              </w:rPr>
              <w:t>95</w:t>
            </w:r>
            <w:r>
              <w:rPr>
                <w:noProof/>
                <w:webHidden/>
              </w:rPr>
              <w:fldChar w:fldCharType="end"/>
            </w:r>
          </w:hyperlink>
        </w:p>
        <w:p w14:paraId="584337C3" w14:textId="0739E6B2"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02" w:history="1">
            <w:r w:rsidRPr="00EB4035">
              <w:rPr>
                <w:rStyle w:val="Hyperlink"/>
              </w:rPr>
              <w:t>5.1</w:t>
            </w:r>
            <w:r>
              <w:rPr>
                <w:rFonts w:asciiTheme="minorHAnsi" w:eastAsiaTheme="minorEastAsia" w:hAnsiTheme="minorHAnsi"/>
                <w:color w:val="auto"/>
                <w:kern w:val="2"/>
                <w:sz w:val="24"/>
                <w:szCs w:val="24"/>
                <w:lang w:eastAsia="en-AU"/>
                <w14:ligatures w14:val="standardContextual"/>
              </w:rPr>
              <w:tab/>
            </w:r>
            <w:r w:rsidRPr="00EB4035">
              <w:rPr>
                <w:rStyle w:val="Hyperlink"/>
              </w:rPr>
              <w:t>Quantitative data</w:t>
            </w:r>
            <w:r>
              <w:rPr>
                <w:webHidden/>
              </w:rPr>
              <w:tab/>
            </w:r>
            <w:r>
              <w:rPr>
                <w:webHidden/>
              </w:rPr>
              <w:fldChar w:fldCharType="begin"/>
            </w:r>
            <w:r>
              <w:rPr>
                <w:webHidden/>
              </w:rPr>
              <w:instrText xml:space="preserve"> PAGEREF _Toc216792002 \h </w:instrText>
            </w:r>
            <w:r>
              <w:rPr>
                <w:webHidden/>
              </w:rPr>
            </w:r>
            <w:r>
              <w:rPr>
                <w:webHidden/>
              </w:rPr>
              <w:fldChar w:fldCharType="separate"/>
            </w:r>
            <w:r>
              <w:rPr>
                <w:webHidden/>
              </w:rPr>
              <w:t>95</w:t>
            </w:r>
            <w:r>
              <w:rPr>
                <w:webHidden/>
              </w:rPr>
              <w:fldChar w:fldCharType="end"/>
            </w:r>
          </w:hyperlink>
        </w:p>
        <w:p w14:paraId="25BF0703" w14:textId="532EEBEB"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03" w:history="1">
            <w:r w:rsidRPr="00EB4035">
              <w:rPr>
                <w:rStyle w:val="Hyperlink"/>
              </w:rPr>
              <w:t>5.2</w:t>
            </w:r>
            <w:r>
              <w:rPr>
                <w:rFonts w:asciiTheme="minorHAnsi" w:eastAsiaTheme="minorEastAsia" w:hAnsiTheme="minorHAnsi"/>
                <w:color w:val="auto"/>
                <w:kern w:val="2"/>
                <w:sz w:val="24"/>
                <w:szCs w:val="24"/>
                <w:lang w:eastAsia="en-AU"/>
                <w14:ligatures w14:val="standardContextual"/>
              </w:rPr>
              <w:tab/>
            </w:r>
            <w:r w:rsidRPr="00EB4035">
              <w:rPr>
                <w:rStyle w:val="Hyperlink"/>
              </w:rPr>
              <w:t>Qualitative data</w:t>
            </w:r>
            <w:r>
              <w:rPr>
                <w:webHidden/>
              </w:rPr>
              <w:tab/>
            </w:r>
            <w:r>
              <w:rPr>
                <w:webHidden/>
              </w:rPr>
              <w:fldChar w:fldCharType="begin"/>
            </w:r>
            <w:r>
              <w:rPr>
                <w:webHidden/>
              </w:rPr>
              <w:instrText xml:space="preserve"> PAGEREF _Toc216792003 \h </w:instrText>
            </w:r>
            <w:r>
              <w:rPr>
                <w:webHidden/>
              </w:rPr>
            </w:r>
            <w:r>
              <w:rPr>
                <w:webHidden/>
              </w:rPr>
              <w:fldChar w:fldCharType="separate"/>
            </w:r>
            <w:r>
              <w:rPr>
                <w:webHidden/>
              </w:rPr>
              <w:t>95</w:t>
            </w:r>
            <w:r>
              <w:rPr>
                <w:webHidden/>
              </w:rPr>
              <w:fldChar w:fldCharType="end"/>
            </w:r>
          </w:hyperlink>
        </w:p>
        <w:p w14:paraId="2C7CC965" w14:textId="65B1816F"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04" w:history="1">
            <w:r w:rsidRPr="00EB4035">
              <w:rPr>
                <w:rStyle w:val="Hyperlink"/>
              </w:rPr>
              <w:t>5.3</w:t>
            </w:r>
            <w:r>
              <w:rPr>
                <w:rFonts w:asciiTheme="minorHAnsi" w:eastAsiaTheme="minorEastAsia" w:hAnsiTheme="minorHAnsi"/>
                <w:color w:val="auto"/>
                <w:kern w:val="2"/>
                <w:sz w:val="24"/>
                <w:szCs w:val="24"/>
                <w:lang w:eastAsia="en-AU"/>
                <w14:ligatures w14:val="standardContextual"/>
              </w:rPr>
              <w:tab/>
            </w:r>
            <w:r w:rsidRPr="00EB4035">
              <w:rPr>
                <w:rStyle w:val="Hyperlink"/>
              </w:rPr>
              <w:t>Data matrix</w:t>
            </w:r>
            <w:r>
              <w:rPr>
                <w:webHidden/>
              </w:rPr>
              <w:tab/>
            </w:r>
            <w:r>
              <w:rPr>
                <w:webHidden/>
              </w:rPr>
              <w:fldChar w:fldCharType="begin"/>
            </w:r>
            <w:r>
              <w:rPr>
                <w:webHidden/>
              </w:rPr>
              <w:instrText xml:space="preserve"> PAGEREF _Toc216792004 \h </w:instrText>
            </w:r>
            <w:r>
              <w:rPr>
                <w:webHidden/>
              </w:rPr>
            </w:r>
            <w:r>
              <w:rPr>
                <w:webHidden/>
              </w:rPr>
              <w:fldChar w:fldCharType="separate"/>
            </w:r>
            <w:r>
              <w:rPr>
                <w:webHidden/>
              </w:rPr>
              <w:t>96</w:t>
            </w:r>
            <w:r>
              <w:rPr>
                <w:webHidden/>
              </w:rPr>
              <w:fldChar w:fldCharType="end"/>
            </w:r>
          </w:hyperlink>
        </w:p>
        <w:p w14:paraId="4A46F039" w14:textId="7D24DFE1"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2005" w:history="1">
            <w:r w:rsidRPr="00EB4035">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Appendix B: Key evaluation questions and data matrix</w:t>
            </w:r>
            <w:r>
              <w:rPr>
                <w:noProof/>
                <w:webHidden/>
              </w:rPr>
              <w:tab/>
            </w:r>
            <w:r>
              <w:rPr>
                <w:noProof/>
                <w:webHidden/>
              </w:rPr>
              <w:fldChar w:fldCharType="begin"/>
            </w:r>
            <w:r>
              <w:rPr>
                <w:noProof/>
                <w:webHidden/>
              </w:rPr>
              <w:instrText xml:space="preserve"> PAGEREF _Toc216792005 \h </w:instrText>
            </w:r>
            <w:r>
              <w:rPr>
                <w:noProof/>
                <w:webHidden/>
              </w:rPr>
            </w:r>
            <w:r>
              <w:rPr>
                <w:noProof/>
                <w:webHidden/>
              </w:rPr>
              <w:fldChar w:fldCharType="separate"/>
            </w:r>
            <w:r>
              <w:rPr>
                <w:noProof/>
                <w:webHidden/>
              </w:rPr>
              <w:t>99</w:t>
            </w:r>
            <w:r>
              <w:rPr>
                <w:noProof/>
                <w:webHidden/>
              </w:rPr>
              <w:fldChar w:fldCharType="end"/>
            </w:r>
          </w:hyperlink>
        </w:p>
        <w:p w14:paraId="1E7A8DF4" w14:textId="428E07E4"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2006" w:history="1">
            <w:r w:rsidRPr="00EB4035">
              <w:rPr>
                <w:rStyle w:val="Hyperlink"/>
                <w:noProof/>
              </w:rPr>
              <w:t>7</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Appendix C: Literature scan</w:t>
            </w:r>
            <w:r>
              <w:rPr>
                <w:noProof/>
                <w:webHidden/>
              </w:rPr>
              <w:tab/>
            </w:r>
            <w:r>
              <w:rPr>
                <w:noProof/>
                <w:webHidden/>
              </w:rPr>
              <w:fldChar w:fldCharType="begin"/>
            </w:r>
            <w:r>
              <w:rPr>
                <w:noProof/>
                <w:webHidden/>
              </w:rPr>
              <w:instrText xml:space="preserve"> PAGEREF _Toc216792006 \h </w:instrText>
            </w:r>
            <w:r>
              <w:rPr>
                <w:noProof/>
                <w:webHidden/>
              </w:rPr>
            </w:r>
            <w:r>
              <w:rPr>
                <w:noProof/>
                <w:webHidden/>
              </w:rPr>
              <w:fldChar w:fldCharType="separate"/>
            </w:r>
            <w:r>
              <w:rPr>
                <w:noProof/>
                <w:webHidden/>
              </w:rPr>
              <w:t>107</w:t>
            </w:r>
            <w:r>
              <w:rPr>
                <w:noProof/>
                <w:webHidden/>
              </w:rPr>
              <w:fldChar w:fldCharType="end"/>
            </w:r>
          </w:hyperlink>
        </w:p>
        <w:p w14:paraId="5EA49BE9" w14:textId="4C1F7DAE"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07" w:history="1">
            <w:r w:rsidRPr="00EB4035">
              <w:rPr>
                <w:rStyle w:val="Hyperlink"/>
              </w:rPr>
              <w:t>7.1</w:t>
            </w:r>
            <w:r>
              <w:rPr>
                <w:rFonts w:asciiTheme="minorHAnsi" w:eastAsiaTheme="minorEastAsia" w:hAnsiTheme="minorHAnsi"/>
                <w:color w:val="auto"/>
                <w:kern w:val="2"/>
                <w:sz w:val="24"/>
                <w:szCs w:val="24"/>
                <w:lang w:eastAsia="en-AU"/>
                <w14:ligatures w14:val="standardContextual"/>
              </w:rPr>
              <w:tab/>
            </w:r>
            <w:r w:rsidRPr="00EB4035">
              <w:rPr>
                <w:rStyle w:val="Hyperlink"/>
              </w:rPr>
              <w:t>International approaches to supporting the medical physics workforce</w:t>
            </w:r>
            <w:r>
              <w:rPr>
                <w:webHidden/>
              </w:rPr>
              <w:tab/>
            </w:r>
            <w:r>
              <w:rPr>
                <w:webHidden/>
              </w:rPr>
              <w:fldChar w:fldCharType="begin"/>
            </w:r>
            <w:r>
              <w:rPr>
                <w:webHidden/>
              </w:rPr>
              <w:instrText xml:space="preserve"> PAGEREF _Toc216792007 \h </w:instrText>
            </w:r>
            <w:r>
              <w:rPr>
                <w:webHidden/>
              </w:rPr>
            </w:r>
            <w:r>
              <w:rPr>
                <w:webHidden/>
              </w:rPr>
              <w:fldChar w:fldCharType="separate"/>
            </w:r>
            <w:r>
              <w:rPr>
                <w:webHidden/>
              </w:rPr>
              <w:t>107</w:t>
            </w:r>
            <w:r>
              <w:rPr>
                <w:webHidden/>
              </w:rPr>
              <w:fldChar w:fldCharType="end"/>
            </w:r>
          </w:hyperlink>
        </w:p>
        <w:p w14:paraId="6BFE246A" w14:textId="06D8DD19"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08" w:history="1">
            <w:r w:rsidRPr="00EB4035">
              <w:rPr>
                <w:rStyle w:val="Hyperlink"/>
              </w:rPr>
              <w:t>7.2</w:t>
            </w:r>
            <w:r>
              <w:rPr>
                <w:rFonts w:asciiTheme="minorHAnsi" w:eastAsiaTheme="minorEastAsia" w:hAnsiTheme="minorHAnsi"/>
                <w:color w:val="auto"/>
                <w:kern w:val="2"/>
                <w:sz w:val="24"/>
                <w:szCs w:val="24"/>
                <w:lang w:eastAsia="en-AU"/>
                <w14:ligatures w14:val="standardContextual"/>
              </w:rPr>
              <w:tab/>
            </w:r>
            <w:r w:rsidRPr="00EB4035">
              <w:rPr>
                <w:rStyle w:val="Hyperlink"/>
              </w:rPr>
              <w:t>Education and training requirements of medical physicists</w:t>
            </w:r>
            <w:r>
              <w:rPr>
                <w:webHidden/>
              </w:rPr>
              <w:tab/>
            </w:r>
            <w:r>
              <w:rPr>
                <w:webHidden/>
              </w:rPr>
              <w:fldChar w:fldCharType="begin"/>
            </w:r>
            <w:r>
              <w:rPr>
                <w:webHidden/>
              </w:rPr>
              <w:instrText xml:space="preserve"> PAGEREF _Toc216792008 \h </w:instrText>
            </w:r>
            <w:r>
              <w:rPr>
                <w:webHidden/>
              </w:rPr>
            </w:r>
            <w:r>
              <w:rPr>
                <w:webHidden/>
              </w:rPr>
              <w:fldChar w:fldCharType="separate"/>
            </w:r>
            <w:r>
              <w:rPr>
                <w:webHidden/>
              </w:rPr>
              <w:t>109</w:t>
            </w:r>
            <w:r>
              <w:rPr>
                <w:webHidden/>
              </w:rPr>
              <w:fldChar w:fldCharType="end"/>
            </w:r>
          </w:hyperlink>
        </w:p>
        <w:p w14:paraId="0FC7F07F" w14:textId="3D14CA0A"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09" w:history="1">
            <w:r w:rsidRPr="00EB4035">
              <w:rPr>
                <w:rStyle w:val="Hyperlink"/>
              </w:rPr>
              <w:t>7.3</w:t>
            </w:r>
            <w:r>
              <w:rPr>
                <w:rFonts w:asciiTheme="minorHAnsi" w:eastAsiaTheme="minorEastAsia" w:hAnsiTheme="minorHAnsi"/>
                <w:color w:val="auto"/>
                <w:kern w:val="2"/>
                <w:sz w:val="24"/>
                <w:szCs w:val="24"/>
                <w:lang w:eastAsia="en-AU"/>
                <w14:ligatures w14:val="standardContextual"/>
              </w:rPr>
              <w:tab/>
            </w:r>
            <w:r w:rsidRPr="00EB4035">
              <w:rPr>
                <w:rStyle w:val="Hyperlink"/>
              </w:rPr>
              <w:t>Best practice insights for the delivery of structured medical physics training programs</w:t>
            </w:r>
            <w:r>
              <w:rPr>
                <w:webHidden/>
              </w:rPr>
              <w:tab/>
            </w:r>
            <w:r>
              <w:rPr>
                <w:webHidden/>
              </w:rPr>
              <w:fldChar w:fldCharType="begin"/>
            </w:r>
            <w:r>
              <w:rPr>
                <w:webHidden/>
              </w:rPr>
              <w:instrText xml:space="preserve"> PAGEREF _Toc216792009 \h </w:instrText>
            </w:r>
            <w:r>
              <w:rPr>
                <w:webHidden/>
              </w:rPr>
            </w:r>
            <w:r>
              <w:rPr>
                <w:webHidden/>
              </w:rPr>
              <w:fldChar w:fldCharType="separate"/>
            </w:r>
            <w:r>
              <w:rPr>
                <w:webHidden/>
              </w:rPr>
              <w:t>112</w:t>
            </w:r>
            <w:r>
              <w:rPr>
                <w:webHidden/>
              </w:rPr>
              <w:fldChar w:fldCharType="end"/>
            </w:r>
          </w:hyperlink>
        </w:p>
        <w:p w14:paraId="0461E087" w14:textId="13A13269"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2010" w:history="1">
            <w:r w:rsidRPr="00EB4035">
              <w:rPr>
                <w:rStyle w:val="Hyperlink"/>
                <w:noProof/>
              </w:rPr>
              <w:t>8</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Appendix D: Available grant funding reporting</w:t>
            </w:r>
            <w:r>
              <w:rPr>
                <w:noProof/>
                <w:webHidden/>
              </w:rPr>
              <w:tab/>
            </w:r>
            <w:r>
              <w:rPr>
                <w:noProof/>
                <w:webHidden/>
              </w:rPr>
              <w:fldChar w:fldCharType="begin"/>
            </w:r>
            <w:r>
              <w:rPr>
                <w:noProof/>
                <w:webHidden/>
              </w:rPr>
              <w:instrText xml:space="preserve"> PAGEREF _Toc216792010 \h </w:instrText>
            </w:r>
            <w:r>
              <w:rPr>
                <w:noProof/>
                <w:webHidden/>
              </w:rPr>
            </w:r>
            <w:r>
              <w:rPr>
                <w:noProof/>
                <w:webHidden/>
              </w:rPr>
              <w:fldChar w:fldCharType="separate"/>
            </w:r>
            <w:r>
              <w:rPr>
                <w:noProof/>
                <w:webHidden/>
              </w:rPr>
              <w:t>114</w:t>
            </w:r>
            <w:r>
              <w:rPr>
                <w:noProof/>
                <w:webHidden/>
              </w:rPr>
              <w:fldChar w:fldCharType="end"/>
            </w:r>
          </w:hyperlink>
        </w:p>
        <w:p w14:paraId="39EF4AD9" w14:textId="66F73439"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2011" w:history="1">
            <w:r w:rsidRPr="00EB4035">
              <w:rPr>
                <w:rStyle w:val="Hyperlink"/>
                <w:noProof/>
              </w:rPr>
              <w:t>9</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Appendix E: Stakeholder consultation</w:t>
            </w:r>
            <w:r>
              <w:rPr>
                <w:noProof/>
                <w:webHidden/>
              </w:rPr>
              <w:tab/>
            </w:r>
            <w:r>
              <w:rPr>
                <w:noProof/>
                <w:webHidden/>
              </w:rPr>
              <w:fldChar w:fldCharType="begin"/>
            </w:r>
            <w:r>
              <w:rPr>
                <w:noProof/>
                <w:webHidden/>
              </w:rPr>
              <w:instrText xml:space="preserve"> PAGEREF _Toc216792011 \h </w:instrText>
            </w:r>
            <w:r>
              <w:rPr>
                <w:noProof/>
                <w:webHidden/>
              </w:rPr>
            </w:r>
            <w:r>
              <w:rPr>
                <w:noProof/>
                <w:webHidden/>
              </w:rPr>
              <w:fldChar w:fldCharType="separate"/>
            </w:r>
            <w:r>
              <w:rPr>
                <w:noProof/>
                <w:webHidden/>
              </w:rPr>
              <w:t>115</w:t>
            </w:r>
            <w:r>
              <w:rPr>
                <w:noProof/>
                <w:webHidden/>
              </w:rPr>
              <w:fldChar w:fldCharType="end"/>
            </w:r>
          </w:hyperlink>
        </w:p>
        <w:p w14:paraId="2C173C54" w14:textId="49037D70"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12" w:history="1">
            <w:r w:rsidRPr="00EB4035">
              <w:rPr>
                <w:rStyle w:val="Hyperlink"/>
              </w:rPr>
              <w:t>9.1</w:t>
            </w:r>
            <w:r>
              <w:rPr>
                <w:rFonts w:asciiTheme="minorHAnsi" w:eastAsiaTheme="minorEastAsia" w:hAnsiTheme="minorHAnsi"/>
                <w:color w:val="auto"/>
                <w:kern w:val="2"/>
                <w:sz w:val="24"/>
                <w:szCs w:val="24"/>
                <w:lang w:eastAsia="en-AU"/>
                <w14:ligatures w14:val="standardContextual"/>
              </w:rPr>
              <w:tab/>
            </w:r>
            <w:r w:rsidRPr="00EB4035">
              <w:rPr>
                <w:rStyle w:val="Hyperlink"/>
              </w:rPr>
              <w:t>Methodology overview</w:t>
            </w:r>
            <w:r>
              <w:rPr>
                <w:webHidden/>
              </w:rPr>
              <w:tab/>
            </w:r>
            <w:r>
              <w:rPr>
                <w:webHidden/>
              </w:rPr>
              <w:fldChar w:fldCharType="begin"/>
            </w:r>
            <w:r>
              <w:rPr>
                <w:webHidden/>
              </w:rPr>
              <w:instrText xml:space="preserve"> PAGEREF _Toc216792012 \h </w:instrText>
            </w:r>
            <w:r>
              <w:rPr>
                <w:webHidden/>
              </w:rPr>
            </w:r>
            <w:r>
              <w:rPr>
                <w:webHidden/>
              </w:rPr>
              <w:fldChar w:fldCharType="separate"/>
            </w:r>
            <w:r>
              <w:rPr>
                <w:webHidden/>
              </w:rPr>
              <w:t>115</w:t>
            </w:r>
            <w:r>
              <w:rPr>
                <w:webHidden/>
              </w:rPr>
              <w:fldChar w:fldCharType="end"/>
            </w:r>
          </w:hyperlink>
        </w:p>
        <w:p w14:paraId="12721FA9" w14:textId="06447CB8"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2013" w:history="1">
            <w:r w:rsidRPr="00EB4035">
              <w:rPr>
                <w:rStyle w:val="Hyperlink"/>
                <w:noProof/>
              </w:rPr>
              <w:t>10</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Appendix F: Consultation guides</w:t>
            </w:r>
            <w:r>
              <w:rPr>
                <w:noProof/>
                <w:webHidden/>
              </w:rPr>
              <w:tab/>
            </w:r>
            <w:r>
              <w:rPr>
                <w:noProof/>
                <w:webHidden/>
              </w:rPr>
              <w:fldChar w:fldCharType="begin"/>
            </w:r>
            <w:r>
              <w:rPr>
                <w:noProof/>
                <w:webHidden/>
              </w:rPr>
              <w:instrText xml:space="preserve"> PAGEREF _Toc216792013 \h </w:instrText>
            </w:r>
            <w:r>
              <w:rPr>
                <w:noProof/>
                <w:webHidden/>
              </w:rPr>
            </w:r>
            <w:r>
              <w:rPr>
                <w:noProof/>
                <w:webHidden/>
              </w:rPr>
              <w:fldChar w:fldCharType="separate"/>
            </w:r>
            <w:r>
              <w:rPr>
                <w:noProof/>
                <w:webHidden/>
              </w:rPr>
              <w:t>116</w:t>
            </w:r>
            <w:r>
              <w:rPr>
                <w:noProof/>
                <w:webHidden/>
              </w:rPr>
              <w:fldChar w:fldCharType="end"/>
            </w:r>
          </w:hyperlink>
        </w:p>
        <w:p w14:paraId="3F355243" w14:textId="6FB844C1"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14" w:history="1">
            <w:r w:rsidRPr="00EB4035">
              <w:rPr>
                <w:rStyle w:val="Hyperlink"/>
              </w:rPr>
              <w:t>10.1</w:t>
            </w:r>
            <w:r>
              <w:rPr>
                <w:rFonts w:asciiTheme="minorHAnsi" w:eastAsiaTheme="minorEastAsia" w:hAnsiTheme="minorHAnsi"/>
                <w:color w:val="auto"/>
                <w:kern w:val="2"/>
                <w:sz w:val="24"/>
                <w:szCs w:val="24"/>
                <w:lang w:eastAsia="en-AU"/>
                <w14:ligatures w14:val="standardContextual"/>
              </w:rPr>
              <w:tab/>
            </w:r>
            <w:r w:rsidRPr="00EB4035">
              <w:rPr>
                <w:rStyle w:val="Hyperlink"/>
              </w:rPr>
              <w:t>General</w:t>
            </w:r>
            <w:r>
              <w:rPr>
                <w:webHidden/>
              </w:rPr>
              <w:tab/>
            </w:r>
            <w:r>
              <w:rPr>
                <w:webHidden/>
              </w:rPr>
              <w:fldChar w:fldCharType="begin"/>
            </w:r>
            <w:r>
              <w:rPr>
                <w:webHidden/>
              </w:rPr>
              <w:instrText xml:space="preserve"> PAGEREF _Toc216792014 \h </w:instrText>
            </w:r>
            <w:r>
              <w:rPr>
                <w:webHidden/>
              </w:rPr>
            </w:r>
            <w:r>
              <w:rPr>
                <w:webHidden/>
              </w:rPr>
              <w:fldChar w:fldCharType="separate"/>
            </w:r>
            <w:r>
              <w:rPr>
                <w:webHidden/>
              </w:rPr>
              <w:t>116</w:t>
            </w:r>
            <w:r>
              <w:rPr>
                <w:webHidden/>
              </w:rPr>
              <w:fldChar w:fldCharType="end"/>
            </w:r>
          </w:hyperlink>
        </w:p>
        <w:p w14:paraId="7BA1B332" w14:textId="30261635"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15" w:history="1">
            <w:r w:rsidRPr="00EB4035">
              <w:rPr>
                <w:rStyle w:val="Hyperlink"/>
              </w:rPr>
              <w:t>10.2</w:t>
            </w:r>
            <w:r>
              <w:rPr>
                <w:rFonts w:asciiTheme="minorHAnsi" w:eastAsiaTheme="minorEastAsia" w:hAnsiTheme="minorHAnsi"/>
                <w:color w:val="auto"/>
                <w:kern w:val="2"/>
                <w:sz w:val="24"/>
                <w:szCs w:val="24"/>
                <w:lang w:eastAsia="en-AU"/>
                <w14:ligatures w14:val="standardContextual"/>
              </w:rPr>
              <w:tab/>
            </w:r>
            <w:r w:rsidRPr="00EB4035">
              <w:rPr>
                <w:rStyle w:val="Hyperlink"/>
              </w:rPr>
              <w:t>Experienced medical physicists</w:t>
            </w:r>
            <w:r>
              <w:rPr>
                <w:webHidden/>
              </w:rPr>
              <w:tab/>
            </w:r>
            <w:r>
              <w:rPr>
                <w:webHidden/>
              </w:rPr>
              <w:fldChar w:fldCharType="begin"/>
            </w:r>
            <w:r>
              <w:rPr>
                <w:webHidden/>
              </w:rPr>
              <w:instrText xml:space="preserve"> PAGEREF _Toc216792015 \h </w:instrText>
            </w:r>
            <w:r>
              <w:rPr>
                <w:webHidden/>
              </w:rPr>
            </w:r>
            <w:r>
              <w:rPr>
                <w:webHidden/>
              </w:rPr>
              <w:fldChar w:fldCharType="separate"/>
            </w:r>
            <w:r>
              <w:rPr>
                <w:webHidden/>
              </w:rPr>
              <w:t>118</w:t>
            </w:r>
            <w:r>
              <w:rPr>
                <w:webHidden/>
              </w:rPr>
              <w:fldChar w:fldCharType="end"/>
            </w:r>
          </w:hyperlink>
        </w:p>
        <w:p w14:paraId="056483B9" w14:textId="5E108D73"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16" w:history="1">
            <w:r w:rsidRPr="00EB4035">
              <w:rPr>
                <w:rStyle w:val="Hyperlink"/>
              </w:rPr>
              <w:t>10.3</w:t>
            </w:r>
            <w:r>
              <w:rPr>
                <w:rFonts w:asciiTheme="minorHAnsi" w:eastAsiaTheme="minorEastAsia" w:hAnsiTheme="minorHAnsi"/>
                <w:color w:val="auto"/>
                <w:kern w:val="2"/>
                <w:sz w:val="24"/>
                <w:szCs w:val="24"/>
                <w:lang w:eastAsia="en-AU"/>
                <w14:ligatures w14:val="standardContextual"/>
              </w:rPr>
              <w:tab/>
            </w:r>
            <w:r w:rsidRPr="00EB4035">
              <w:rPr>
                <w:rStyle w:val="Hyperlink"/>
              </w:rPr>
              <w:t>ACPSEM</w:t>
            </w:r>
            <w:r>
              <w:rPr>
                <w:webHidden/>
              </w:rPr>
              <w:tab/>
            </w:r>
            <w:r>
              <w:rPr>
                <w:webHidden/>
              </w:rPr>
              <w:fldChar w:fldCharType="begin"/>
            </w:r>
            <w:r>
              <w:rPr>
                <w:webHidden/>
              </w:rPr>
              <w:instrText xml:space="preserve"> PAGEREF _Toc216792016 \h </w:instrText>
            </w:r>
            <w:r>
              <w:rPr>
                <w:webHidden/>
              </w:rPr>
            </w:r>
            <w:r>
              <w:rPr>
                <w:webHidden/>
              </w:rPr>
              <w:fldChar w:fldCharType="separate"/>
            </w:r>
            <w:r>
              <w:rPr>
                <w:webHidden/>
              </w:rPr>
              <w:t>119</w:t>
            </w:r>
            <w:r>
              <w:rPr>
                <w:webHidden/>
              </w:rPr>
              <w:fldChar w:fldCharType="end"/>
            </w:r>
          </w:hyperlink>
        </w:p>
        <w:p w14:paraId="7C1DFBBD" w14:textId="34729C1D"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17" w:history="1">
            <w:r w:rsidRPr="00EB4035">
              <w:rPr>
                <w:rStyle w:val="Hyperlink"/>
              </w:rPr>
              <w:t>10.4</w:t>
            </w:r>
            <w:r>
              <w:rPr>
                <w:rFonts w:asciiTheme="minorHAnsi" w:eastAsiaTheme="minorEastAsia" w:hAnsiTheme="minorHAnsi"/>
                <w:color w:val="auto"/>
                <w:kern w:val="2"/>
                <w:sz w:val="24"/>
                <w:szCs w:val="24"/>
                <w:lang w:eastAsia="en-AU"/>
                <w14:ligatures w14:val="standardContextual"/>
              </w:rPr>
              <w:tab/>
            </w:r>
            <w:r w:rsidRPr="00EB4035">
              <w:rPr>
                <w:rStyle w:val="Hyperlink"/>
              </w:rPr>
              <w:t>Registrars</w:t>
            </w:r>
            <w:r>
              <w:rPr>
                <w:webHidden/>
              </w:rPr>
              <w:tab/>
            </w:r>
            <w:r>
              <w:rPr>
                <w:webHidden/>
              </w:rPr>
              <w:fldChar w:fldCharType="begin"/>
            </w:r>
            <w:r>
              <w:rPr>
                <w:webHidden/>
              </w:rPr>
              <w:instrText xml:space="preserve"> PAGEREF _Toc216792017 \h </w:instrText>
            </w:r>
            <w:r>
              <w:rPr>
                <w:webHidden/>
              </w:rPr>
            </w:r>
            <w:r>
              <w:rPr>
                <w:webHidden/>
              </w:rPr>
              <w:fldChar w:fldCharType="separate"/>
            </w:r>
            <w:r>
              <w:rPr>
                <w:webHidden/>
              </w:rPr>
              <w:t>121</w:t>
            </w:r>
            <w:r>
              <w:rPr>
                <w:webHidden/>
              </w:rPr>
              <w:fldChar w:fldCharType="end"/>
            </w:r>
          </w:hyperlink>
        </w:p>
        <w:p w14:paraId="254F6FF5" w14:textId="28A7ABD2"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18" w:history="1">
            <w:r w:rsidRPr="00EB4035">
              <w:rPr>
                <w:rStyle w:val="Hyperlink"/>
              </w:rPr>
              <w:t>10.5</w:t>
            </w:r>
            <w:r>
              <w:rPr>
                <w:rFonts w:asciiTheme="minorHAnsi" w:eastAsiaTheme="minorEastAsia" w:hAnsiTheme="minorHAnsi"/>
                <w:color w:val="auto"/>
                <w:kern w:val="2"/>
                <w:sz w:val="24"/>
                <w:szCs w:val="24"/>
                <w:lang w:eastAsia="en-AU"/>
                <w14:ligatures w14:val="standardContextual"/>
              </w:rPr>
              <w:tab/>
            </w:r>
            <w:r w:rsidRPr="00EB4035">
              <w:rPr>
                <w:rStyle w:val="Hyperlink"/>
              </w:rPr>
              <w:t>Supervisors</w:t>
            </w:r>
            <w:r>
              <w:rPr>
                <w:webHidden/>
              </w:rPr>
              <w:tab/>
            </w:r>
            <w:r>
              <w:rPr>
                <w:webHidden/>
              </w:rPr>
              <w:fldChar w:fldCharType="begin"/>
            </w:r>
            <w:r>
              <w:rPr>
                <w:webHidden/>
              </w:rPr>
              <w:instrText xml:space="preserve"> PAGEREF _Toc216792018 \h </w:instrText>
            </w:r>
            <w:r>
              <w:rPr>
                <w:webHidden/>
              </w:rPr>
            </w:r>
            <w:r>
              <w:rPr>
                <w:webHidden/>
              </w:rPr>
              <w:fldChar w:fldCharType="separate"/>
            </w:r>
            <w:r>
              <w:rPr>
                <w:webHidden/>
              </w:rPr>
              <w:t>122</w:t>
            </w:r>
            <w:r>
              <w:rPr>
                <w:webHidden/>
              </w:rPr>
              <w:fldChar w:fldCharType="end"/>
            </w:r>
          </w:hyperlink>
        </w:p>
        <w:p w14:paraId="7386CBDD" w14:textId="57C03638"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2019" w:history="1">
            <w:r w:rsidRPr="00EB4035">
              <w:rPr>
                <w:rStyle w:val="Hyperlink"/>
                <w:noProof/>
              </w:rPr>
              <w:t>11</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Appendix G: Survey approach</w:t>
            </w:r>
            <w:r>
              <w:rPr>
                <w:noProof/>
                <w:webHidden/>
              </w:rPr>
              <w:tab/>
            </w:r>
            <w:r>
              <w:rPr>
                <w:noProof/>
                <w:webHidden/>
              </w:rPr>
              <w:fldChar w:fldCharType="begin"/>
            </w:r>
            <w:r>
              <w:rPr>
                <w:noProof/>
                <w:webHidden/>
              </w:rPr>
              <w:instrText xml:space="preserve"> PAGEREF _Toc216792019 \h </w:instrText>
            </w:r>
            <w:r>
              <w:rPr>
                <w:noProof/>
                <w:webHidden/>
              </w:rPr>
            </w:r>
            <w:r>
              <w:rPr>
                <w:noProof/>
                <w:webHidden/>
              </w:rPr>
              <w:fldChar w:fldCharType="separate"/>
            </w:r>
            <w:r>
              <w:rPr>
                <w:noProof/>
                <w:webHidden/>
              </w:rPr>
              <w:t>124</w:t>
            </w:r>
            <w:r>
              <w:rPr>
                <w:noProof/>
                <w:webHidden/>
              </w:rPr>
              <w:fldChar w:fldCharType="end"/>
            </w:r>
          </w:hyperlink>
        </w:p>
        <w:p w14:paraId="1547D087" w14:textId="3445C087"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20" w:history="1">
            <w:r w:rsidRPr="00EB4035">
              <w:rPr>
                <w:rStyle w:val="Hyperlink"/>
              </w:rPr>
              <w:t>11.1</w:t>
            </w:r>
            <w:r>
              <w:rPr>
                <w:rFonts w:asciiTheme="minorHAnsi" w:eastAsiaTheme="minorEastAsia" w:hAnsiTheme="minorHAnsi"/>
                <w:color w:val="auto"/>
                <w:kern w:val="2"/>
                <w:sz w:val="24"/>
                <w:szCs w:val="24"/>
                <w:lang w:eastAsia="en-AU"/>
                <w14:ligatures w14:val="standardContextual"/>
              </w:rPr>
              <w:tab/>
            </w:r>
            <w:r w:rsidRPr="00EB4035">
              <w:rPr>
                <w:rStyle w:val="Hyperlink"/>
              </w:rPr>
              <w:t>Supervisor survey question set</w:t>
            </w:r>
            <w:r>
              <w:rPr>
                <w:webHidden/>
              </w:rPr>
              <w:tab/>
            </w:r>
            <w:r>
              <w:rPr>
                <w:webHidden/>
              </w:rPr>
              <w:fldChar w:fldCharType="begin"/>
            </w:r>
            <w:r>
              <w:rPr>
                <w:webHidden/>
              </w:rPr>
              <w:instrText xml:space="preserve"> PAGEREF _Toc216792020 \h </w:instrText>
            </w:r>
            <w:r>
              <w:rPr>
                <w:webHidden/>
              </w:rPr>
            </w:r>
            <w:r>
              <w:rPr>
                <w:webHidden/>
              </w:rPr>
              <w:fldChar w:fldCharType="separate"/>
            </w:r>
            <w:r>
              <w:rPr>
                <w:webHidden/>
              </w:rPr>
              <w:t>124</w:t>
            </w:r>
            <w:r>
              <w:rPr>
                <w:webHidden/>
              </w:rPr>
              <w:fldChar w:fldCharType="end"/>
            </w:r>
          </w:hyperlink>
        </w:p>
        <w:p w14:paraId="7F178C9A" w14:textId="2644AF95"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21" w:history="1">
            <w:r w:rsidRPr="00EB4035">
              <w:rPr>
                <w:rStyle w:val="Hyperlink"/>
              </w:rPr>
              <w:t>11.2</w:t>
            </w:r>
            <w:r>
              <w:rPr>
                <w:rFonts w:asciiTheme="minorHAnsi" w:eastAsiaTheme="minorEastAsia" w:hAnsiTheme="minorHAnsi"/>
                <w:color w:val="auto"/>
                <w:kern w:val="2"/>
                <w:sz w:val="24"/>
                <w:szCs w:val="24"/>
                <w:lang w:eastAsia="en-AU"/>
                <w14:ligatures w14:val="standardContextual"/>
              </w:rPr>
              <w:tab/>
            </w:r>
            <w:r w:rsidRPr="00EB4035">
              <w:rPr>
                <w:rStyle w:val="Hyperlink"/>
              </w:rPr>
              <w:t>Registrar survey question set</w:t>
            </w:r>
            <w:r>
              <w:rPr>
                <w:webHidden/>
              </w:rPr>
              <w:tab/>
            </w:r>
            <w:r>
              <w:rPr>
                <w:webHidden/>
              </w:rPr>
              <w:fldChar w:fldCharType="begin"/>
            </w:r>
            <w:r>
              <w:rPr>
                <w:webHidden/>
              </w:rPr>
              <w:instrText xml:space="preserve"> PAGEREF _Toc216792021 \h </w:instrText>
            </w:r>
            <w:r>
              <w:rPr>
                <w:webHidden/>
              </w:rPr>
            </w:r>
            <w:r>
              <w:rPr>
                <w:webHidden/>
              </w:rPr>
              <w:fldChar w:fldCharType="separate"/>
            </w:r>
            <w:r>
              <w:rPr>
                <w:webHidden/>
              </w:rPr>
              <w:t>130</w:t>
            </w:r>
            <w:r>
              <w:rPr>
                <w:webHidden/>
              </w:rPr>
              <w:fldChar w:fldCharType="end"/>
            </w:r>
          </w:hyperlink>
        </w:p>
        <w:p w14:paraId="4579EDAD" w14:textId="7C867849" w:rsidR="0033321C" w:rsidRDefault="0033321C">
          <w:pPr>
            <w:pStyle w:val="TOC1"/>
            <w:rPr>
              <w:rFonts w:asciiTheme="minorHAnsi" w:eastAsiaTheme="minorEastAsia" w:hAnsiTheme="minorHAnsi" w:hint="eastAsia"/>
              <w:noProof/>
              <w:color w:val="auto"/>
              <w:kern w:val="2"/>
              <w:sz w:val="24"/>
              <w:szCs w:val="24"/>
              <w:lang w:eastAsia="en-AU"/>
              <w14:ligatures w14:val="standardContextual"/>
            </w:rPr>
          </w:pPr>
          <w:hyperlink w:anchor="_Toc216792022" w:history="1">
            <w:r w:rsidRPr="00EB4035">
              <w:rPr>
                <w:rStyle w:val="Hyperlink"/>
                <w:noProof/>
              </w:rPr>
              <w:t>12</w:t>
            </w:r>
            <w:r>
              <w:rPr>
                <w:rFonts w:asciiTheme="minorHAnsi" w:eastAsiaTheme="minorEastAsia" w:hAnsiTheme="minorHAnsi"/>
                <w:noProof/>
                <w:color w:val="auto"/>
                <w:kern w:val="2"/>
                <w:sz w:val="24"/>
                <w:szCs w:val="24"/>
                <w:lang w:eastAsia="en-AU"/>
                <w14:ligatures w14:val="standardContextual"/>
              </w:rPr>
              <w:tab/>
            </w:r>
            <w:r w:rsidRPr="00EB4035">
              <w:rPr>
                <w:rStyle w:val="Hyperlink"/>
                <w:noProof/>
              </w:rPr>
              <w:t>Appendix H: Survey results</w:t>
            </w:r>
            <w:r>
              <w:rPr>
                <w:noProof/>
                <w:webHidden/>
              </w:rPr>
              <w:tab/>
            </w:r>
            <w:r>
              <w:rPr>
                <w:noProof/>
                <w:webHidden/>
              </w:rPr>
              <w:fldChar w:fldCharType="begin"/>
            </w:r>
            <w:r>
              <w:rPr>
                <w:noProof/>
                <w:webHidden/>
              </w:rPr>
              <w:instrText xml:space="preserve"> PAGEREF _Toc216792022 \h </w:instrText>
            </w:r>
            <w:r>
              <w:rPr>
                <w:noProof/>
                <w:webHidden/>
              </w:rPr>
            </w:r>
            <w:r>
              <w:rPr>
                <w:noProof/>
                <w:webHidden/>
              </w:rPr>
              <w:fldChar w:fldCharType="separate"/>
            </w:r>
            <w:r>
              <w:rPr>
                <w:noProof/>
                <w:webHidden/>
              </w:rPr>
              <w:t>139</w:t>
            </w:r>
            <w:r>
              <w:rPr>
                <w:noProof/>
                <w:webHidden/>
              </w:rPr>
              <w:fldChar w:fldCharType="end"/>
            </w:r>
          </w:hyperlink>
        </w:p>
        <w:p w14:paraId="719FD7E4" w14:textId="162821A1"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23" w:history="1">
            <w:r w:rsidRPr="00EB4035">
              <w:rPr>
                <w:rStyle w:val="Hyperlink"/>
              </w:rPr>
              <w:t>12.1</w:t>
            </w:r>
            <w:r>
              <w:rPr>
                <w:rFonts w:asciiTheme="minorHAnsi" w:eastAsiaTheme="minorEastAsia" w:hAnsiTheme="minorHAnsi"/>
                <w:color w:val="auto"/>
                <w:kern w:val="2"/>
                <w:sz w:val="24"/>
                <w:szCs w:val="24"/>
                <w:lang w:eastAsia="en-AU"/>
                <w14:ligatures w14:val="standardContextual"/>
              </w:rPr>
              <w:tab/>
            </w:r>
            <w:r w:rsidRPr="00EB4035">
              <w:rPr>
                <w:rStyle w:val="Hyperlink"/>
              </w:rPr>
              <w:t>Supervisor survey results</w:t>
            </w:r>
            <w:r>
              <w:rPr>
                <w:webHidden/>
              </w:rPr>
              <w:tab/>
            </w:r>
            <w:r>
              <w:rPr>
                <w:webHidden/>
              </w:rPr>
              <w:fldChar w:fldCharType="begin"/>
            </w:r>
            <w:r>
              <w:rPr>
                <w:webHidden/>
              </w:rPr>
              <w:instrText xml:space="preserve"> PAGEREF _Toc216792023 \h </w:instrText>
            </w:r>
            <w:r>
              <w:rPr>
                <w:webHidden/>
              </w:rPr>
            </w:r>
            <w:r>
              <w:rPr>
                <w:webHidden/>
              </w:rPr>
              <w:fldChar w:fldCharType="separate"/>
            </w:r>
            <w:r>
              <w:rPr>
                <w:webHidden/>
              </w:rPr>
              <w:t>139</w:t>
            </w:r>
            <w:r>
              <w:rPr>
                <w:webHidden/>
              </w:rPr>
              <w:fldChar w:fldCharType="end"/>
            </w:r>
          </w:hyperlink>
        </w:p>
        <w:p w14:paraId="1C2A4210" w14:textId="1278D447" w:rsidR="0033321C" w:rsidRDefault="0033321C">
          <w:pPr>
            <w:pStyle w:val="TOC2"/>
            <w:rPr>
              <w:rFonts w:asciiTheme="minorHAnsi" w:eastAsiaTheme="minorEastAsia" w:hAnsiTheme="minorHAnsi" w:hint="eastAsia"/>
              <w:color w:val="auto"/>
              <w:kern w:val="2"/>
              <w:sz w:val="24"/>
              <w:szCs w:val="24"/>
              <w:lang w:eastAsia="en-AU"/>
              <w14:ligatures w14:val="standardContextual"/>
            </w:rPr>
          </w:pPr>
          <w:hyperlink w:anchor="_Toc216792024" w:history="1">
            <w:r w:rsidRPr="00EB4035">
              <w:rPr>
                <w:rStyle w:val="Hyperlink"/>
              </w:rPr>
              <w:t>12.2</w:t>
            </w:r>
            <w:r>
              <w:rPr>
                <w:rFonts w:asciiTheme="minorHAnsi" w:eastAsiaTheme="minorEastAsia" w:hAnsiTheme="minorHAnsi"/>
                <w:color w:val="auto"/>
                <w:kern w:val="2"/>
                <w:sz w:val="24"/>
                <w:szCs w:val="24"/>
                <w:lang w:eastAsia="en-AU"/>
                <w14:ligatures w14:val="standardContextual"/>
              </w:rPr>
              <w:tab/>
            </w:r>
            <w:r w:rsidRPr="00EB4035">
              <w:rPr>
                <w:rStyle w:val="Hyperlink"/>
              </w:rPr>
              <w:t>Registrar survey results</w:t>
            </w:r>
            <w:r>
              <w:rPr>
                <w:webHidden/>
              </w:rPr>
              <w:tab/>
            </w:r>
            <w:r>
              <w:rPr>
                <w:webHidden/>
              </w:rPr>
              <w:fldChar w:fldCharType="begin"/>
            </w:r>
            <w:r>
              <w:rPr>
                <w:webHidden/>
              </w:rPr>
              <w:instrText xml:space="preserve"> PAGEREF _Toc216792024 \h </w:instrText>
            </w:r>
            <w:r>
              <w:rPr>
                <w:webHidden/>
              </w:rPr>
            </w:r>
            <w:r>
              <w:rPr>
                <w:webHidden/>
              </w:rPr>
              <w:fldChar w:fldCharType="separate"/>
            </w:r>
            <w:r>
              <w:rPr>
                <w:webHidden/>
              </w:rPr>
              <w:t>146</w:t>
            </w:r>
            <w:r>
              <w:rPr>
                <w:webHidden/>
              </w:rPr>
              <w:fldChar w:fldCharType="end"/>
            </w:r>
          </w:hyperlink>
        </w:p>
        <w:p w14:paraId="69A52177" w14:textId="1C351996" w:rsidR="00550FF4" w:rsidRDefault="00550FF4">
          <w:r>
            <w:rPr>
              <w:color w:val="FFFFFF" w:themeColor="background1"/>
            </w:rPr>
            <w:fldChar w:fldCharType="end"/>
          </w:r>
        </w:p>
      </w:sdtContent>
    </w:sdt>
    <w:p w14:paraId="668FE985" w14:textId="39FE928C" w:rsidR="00550FF4" w:rsidRDefault="00550FF4">
      <w:pPr>
        <w:spacing w:before="0" w:after="160" w:line="259" w:lineRule="auto"/>
      </w:pPr>
      <w:r>
        <w:br w:type="page"/>
      </w:r>
    </w:p>
    <w:p w14:paraId="2A1D6FA6" w14:textId="46F30EA9" w:rsidR="00E33116" w:rsidRPr="00550FF4" w:rsidRDefault="00470450" w:rsidP="00550FF4">
      <w:pPr>
        <w:rPr>
          <w:rStyle w:val="Strong"/>
        </w:rPr>
      </w:pPr>
      <w:r w:rsidRPr="00550FF4">
        <w:rPr>
          <w:rStyle w:val="Strong"/>
        </w:rPr>
        <w:t>Disclaimer</w:t>
      </w:r>
    </w:p>
    <w:p w14:paraId="6575E873" w14:textId="77777777" w:rsidR="00227116" w:rsidRPr="00550FF4" w:rsidRDefault="00227116" w:rsidP="00550FF4">
      <w:pPr>
        <w:rPr>
          <w:rStyle w:val="Strong"/>
        </w:rPr>
      </w:pPr>
      <w:r w:rsidRPr="00550FF4">
        <w:rPr>
          <w:rStyle w:val="Strong"/>
        </w:rPr>
        <w:t>Inherent Limitations</w:t>
      </w:r>
    </w:p>
    <w:p w14:paraId="5606D3CF" w14:textId="73169419" w:rsidR="004E2E58" w:rsidRPr="00550FF4" w:rsidRDefault="00F26227" w:rsidP="00550FF4">
      <w:r w:rsidRPr="00550FF4">
        <w:t xml:space="preserve">This </w:t>
      </w:r>
      <w:r w:rsidR="0080702A" w:rsidRPr="00550FF4">
        <w:t xml:space="preserve">Report </w:t>
      </w:r>
      <w:r w:rsidRPr="00550FF4">
        <w:t xml:space="preserve">has been prepared as outlined in the engagement letter/contract with the </w:t>
      </w:r>
      <w:r w:rsidR="00600467" w:rsidRPr="00550FF4">
        <w:t>Department of Health, Disability and Ageing</w:t>
      </w:r>
      <w:r w:rsidRPr="00550FF4">
        <w:t xml:space="preserve"> dated 19 April 2024.  The services provided in connection with this engagement comprise an advisory engagement which is not subject to Australian Auditing Standards or Australian Standards on Review or Assurance Engagements, and consequently no opinions or conclusions intended to convey assurance have been expressed.</w:t>
      </w:r>
    </w:p>
    <w:p w14:paraId="25A41767" w14:textId="443C8B60" w:rsidR="009850FE" w:rsidRPr="00550FF4" w:rsidRDefault="00F26227" w:rsidP="00550FF4">
      <w:r w:rsidRPr="00550FF4">
        <w:t xml:space="preserve">No warranty of completeness, accuracy or reliability is given in relation to the statements and representations made by, and the information and documentation provided by the </w:t>
      </w:r>
      <w:r w:rsidR="00600467" w:rsidRPr="00550FF4">
        <w:t>Department of Health, Disability and Ageing</w:t>
      </w:r>
      <w:r w:rsidRPr="00550FF4">
        <w:t>. KPMG have indicated within this status report the sources of the information provided.</w:t>
      </w:r>
    </w:p>
    <w:p w14:paraId="2A27C8A0" w14:textId="61BBCB4C" w:rsidR="00C46276" w:rsidRPr="00550FF4" w:rsidRDefault="00C46276" w:rsidP="00550FF4">
      <w:r w:rsidRPr="00550FF4">
        <w:t xml:space="preserve">KPMG is under no obligation in any circumstance to update this report, in either oral or written form, for events occurring after the report has been issued in final form. Any redistribution of this report is to be complete and unaltered version of the report. Responsibility for the security of any distribution of this report (electronic or otherwise) remains the responsibility of </w:t>
      </w:r>
      <w:r w:rsidR="00600467" w:rsidRPr="00550FF4">
        <w:t>Department of Health, Disability and Ageing</w:t>
      </w:r>
      <w:r w:rsidRPr="00550FF4">
        <w:t xml:space="preserve"> and KPMG accepts no liability if the report is or has been altered in any way by any person.</w:t>
      </w:r>
    </w:p>
    <w:p w14:paraId="534864CF" w14:textId="77777777" w:rsidR="00C46276" w:rsidRPr="00550FF4" w:rsidRDefault="00C46276" w:rsidP="00550FF4">
      <w:r w:rsidRPr="00550FF4">
        <w:t>The insights in this report have been formed on the above basis.</w:t>
      </w:r>
    </w:p>
    <w:p w14:paraId="76AF8B8F" w14:textId="77777777" w:rsidR="00227116" w:rsidRPr="00550FF4" w:rsidRDefault="00227116" w:rsidP="00550FF4">
      <w:pPr>
        <w:rPr>
          <w:rStyle w:val="Strong"/>
        </w:rPr>
      </w:pPr>
      <w:r w:rsidRPr="00550FF4">
        <w:rPr>
          <w:rStyle w:val="Strong"/>
        </w:rPr>
        <w:t>Third Party Reliance</w:t>
      </w:r>
    </w:p>
    <w:p w14:paraId="4FE572E7" w14:textId="7C731240" w:rsidR="009850FE" w:rsidRPr="00550FF4" w:rsidRDefault="009850FE" w:rsidP="00550FF4">
      <w:r w:rsidRPr="00550FF4">
        <w:t xml:space="preserve">This </w:t>
      </w:r>
      <w:r w:rsidR="006A29C8" w:rsidRPr="00550FF4">
        <w:t>Report</w:t>
      </w:r>
      <w:r w:rsidRPr="00550FF4">
        <w:t xml:space="preserve"> is solely for the purpose set out in the Scope Section and for the </w:t>
      </w:r>
      <w:r w:rsidR="00600467" w:rsidRPr="00550FF4">
        <w:t>Department of Health, Disability and Ageing</w:t>
      </w:r>
      <w:r w:rsidRPr="00550FF4">
        <w:t xml:space="preserve">’s </w:t>
      </w:r>
      <w:r w:rsidR="00381B99" w:rsidRPr="00550FF4">
        <w:t>information and</w:t>
      </w:r>
      <w:r w:rsidRPr="00550FF4">
        <w:t xml:space="preserve"> is not to be used for any purpose not contemplated in the engagement letter/contract or to be distributed to any third party without KPMG’s prior written consent.  </w:t>
      </w:r>
    </w:p>
    <w:p w14:paraId="0F99FD62" w14:textId="6355086C" w:rsidR="00665782" w:rsidRPr="00550FF4" w:rsidRDefault="009850FE" w:rsidP="00550FF4">
      <w:r w:rsidRPr="00550FF4">
        <w:t xml:space="preserve">This </w:t>
      </w:r>
      <w:r w:rsidR="00BA3B22" w:rsidRPr="00550FF4">
        <w:t>Report</w:t>
      </w:r>
      <w:r w:rsidRPr="00550FF4">
        <w:t xml:space="preserve"> has been prepared at the request of the </w:t>
      </w:r>
      <w:r w:rsidR="00600467" w:rsidRPr="00550FF4">
        <w:t>Department of Health, Disability and Ageing</w:t>
      </w:r>
      <w:r w:rsidRPr="00550FF4">
        <w:t xml:space="preserve"> in accordance with the terms of KPMGs contract dated 19 April 2024.  Other than our responsibility to the </w:t>
      </w:r>
      <w:r w:rsidR="00600467" w:rsidRPr="00550FF4">
        <w:t>Department of Health, Disability and Ageing</w:t>
      </w:r>
      <w:r w:rsidRPr="00550FF4">
        <w:t>, neither KPMG nor any member or employee of KPMG undertakes responsibility arising in any way from reliance placed by a third party on this report.  Any reliance placed is that party’s sole responsibility.</w:t>
      </w:r>
    </w:p>
    <w:p w14:paraId="7EA5638E" w14:textId="77777777" w:rsidR="00665782" w:rsidRPr="00550FF4" w:rsidRDefault="00665782" w:rsidP="00550FF4">
      <w:pPr>
        <w:rPr>
          <w:rStyle w:val="Strong"/>
        </w:rPr>
      </w:pPr>
      <w:r w:rsidRPr="00550FF4">
        <w:rPr>
          <w:rStyle w:val="Strong"/>
        </w:rPr>
        <w:t>Electronic distribution of reports</w:t>
      </w:r>
    </w:p>
    <w:p w14:paraId="29E93E57" w14:textId="4B4CAFA7" w:rsidR="00665782" w:rsidRPr="00550FF4" w:rsidRDefault="00665782" w:rsidP="00550FF4">
      <w:r w:rsidRPr="00550FF4">
        <w:t xml:space="preserve">This KPMG report was produced solely for the use and benefit of </w:t>
      </w:r>
      <w:r w:rsidR="00654950" w:rsidRPr="00550FF4">
        <w:t xml:space="preserve">the Department of Health, Disability and Ageing </w:t>
      </w:r>
      <w:r w:rsidRPr="00550FF4">
        <w:t xml:space="preserve">and cannot be relied on or distributed, in whole or in part, in any format by any other party. The report is dated </w:t>
      </w:r>
      <w:r w:rsidR="00E21761" w:rsidRPr="00550FF4">
        <w:t>December</w:t>
      </w:r>
      <w:r w:rsidRPr="00550FF4">
        <w:t xml:space="preserve"> </w:t>
      </w:r>
      <w:proofErr w:type="gramStart"/>
      <w:r w:rsidRPr="00550FF4">
        <w:t>2024</w:t>
      </w:r>
      <w:proofErr w:type="gramEnd"/>
      <w:r w:rsidRPr="00550FF4">
        <w:t xml:space="preserve"> and KPMG accepts no liability for and has not undertaken work in respect of any event </w:t>
      </w:r>
      <w:proofErr w:type="gramStart"/>
      <w:r w:rsidRPr="00550FF4">
        <w:t>subsequent to</w:t>
      </w:r>
      <w:proofErr w:type="gramEnd"/>
      <w:r w:rsidRPr="00550FF4">
        <w:t xml:space="preserve"> that date which may affect the report.</w:t>
      </w:r>
    </w:p>
    <w:p w14:paraId="74095DE7" w14:textId="77777777" w:rsidR="00665782" w:rsidRPr="00550FF4" w:rsidRDefault="00665782" w:rsidP="00550FF4">
      <w:r w:rsidRPr="00550FF4">
        <w:t>Any redistribution of this report requires the prior written approval of KPMG and in any event is to be complete and unaltered version of the report and accompanied only by such other materials as KPMG may agree.</w:t>
      </w:r>
    </w:p>
    <w:p w14:paraId="11338355" w14:textId="77777777" w:rsidR="00CD733F" w:rsidRDefault="00665782" w:rsidP="00550FF4">
      <w:r w:rsidRPr="00550FF4">
        <w:t xml:space="preserve">Responsibility for the security of any electronic distribution of this report remains the responsibility of </w:t>
      </w:r>
      <w:r w:rsidR="00352F70" w:rsidRPr="00550FF4">
        <w:t xml:space="preserve">the Department of Health, Disability and Ageing </w:t>
      </w:r>
      <w:r w:rsidRPr="00550FF4">
        <w:t>and KPMG accepts no liability if the report is or has been altered in any way by any person</w:t>
      </w:r>
      <w:r w:rsidRPr="00FB3B57">
        <w:t>.</w:t>
      </w:r>
    </w:p>
    <w:p w14:paraId="0BA1C355" w14:textId="5C4EBBCD" w:rsidR="00550FF4" w:rsidRPr="00550FF4" w:rsidRDefault="00550FF4" w:rsidP="00550FF4">
      <w:pPr>
        <w:pStyle w:val="BodyText"/>
        <w:sectPr w:rsidR="00550FF4" w:rsidRPr="00550FF4" w:rsidSect="00315069">
          <w:headerReference w:type="default" r:id="rId16"/>
          <w:footerReference w:type="default" r:id="rId17"/>
          <w:pgSz w:w="11906" w:h="16838"/>
          <w:pgMar w:top="1418" w:right="1418" w:bottom="1418" w:left="1418" w:header="709" w:footer="709" w:gutter="0"/>
          <w:cols w:space="708"/>
          <w:docGrid w:linePitch="360"/>
        </w:sectPr>
      </w:pPr>
    </w:p>
    <w:p w14:paraId="2E72161D" w14:textId="4010F5D9" w:rsidR="00470450" w:rsidRPr="00C75894" w:rsidRDefault="001C01F6" w:rsidP="001C01F6">
      <w:pPr>
        <w:pStyle w:val="Heading1Noshow"/>
        <w:rPr>
          <w:color w:val="00338D" w:themeColor="accent1"/>
        </w:rPr>
      </w:pPr>
      <w:r w:rsidRPr="00C75894">
        <w:rPr>
          <w:color w:val="00338D" w:themeColor="accent1"/>
        </w:rPr>
        <w:t>Glossary</w:t>
      </w:r>
    </w:p>
    <w:tbl>
      <w:tblPr>
        <w:tblStyle w:val="TableGrid"/>
        <w:tblW w:w="0" w:type="auto"/>
        <w:tblLook w:val="04A0" w:firstRow="1" w:lastRow="0" w:firstColumn="1" w:lastColumn="0" w:noHBand="0" w:noVBand="1"/>
      </w:tblPr>
      <w:tblGrid>
        <w:gridCol w:w="2835"/>
        <w:gridCol w:w="6803"/>
      </w:tblGrid>
      <w:tr w:rsidR="00551179" w:rsidRPr="00C75894" w14:paraId="38AAA3B6" w14:textId="77777777" w:rsidTr="005806C5">
        <w:trPr>
          <w:cnfStyle w:val="100000000000" w:firstRow="1" w:lastRow="0" w:firstColumn="0" w:lastColumn="0" w:oddVBand="0" w:evenVBand="0" w:oddHBand="0" w:evenHBand="0" w:firstRowFirstColumn="0" w:firstRowLastColumn="0" w:lastRowFirstColumn="0" w:lastRowLastColumn="0"/>
          <w:tblHeader/>
        </w:trPr>
        <w:tc>
          <w:tcPr>
            <w:tcW w:w="2835" w:type="dxa"/>
          </w:tcPr>
          <w:p w14:paraId="4AC1B6F0" w14:textId="5868CE60" w:rsidR="00551179" w:rsidRPr="00DC27F5" w:rsidRDefault="00CE55CE" w:rsidP="00551179">
            <w:pPr>
              <w:pStyle w:val="TableText0"/>
              <w:rPr>
                <w:b/>
                <w:bCs/>
                <w:color w:val="auto"/>
                <w:sz w:val="17"/>
                <w:szCs w:val="17"/>
              </w:rPr>
            </w:pPr>
            <w:r w:rsidRPr="00DC27F5">
              <w:rPr>
                <w:b/>
                <w:bCs/>
                <w:sz w:val="17"/>
                <w:szCs w:val="17"/>
              </w:rPr>
              <w:t>Acronym</w:t>
            </w:r>
          </w:p>
        </w:tc>
        <w:tc>
          <w:tcPr>
            <w:tcW w:w="6803" w:type="dxa"/>
          </w:tcPr>
          <w:p w14:paraId="0493E451" w14:textId="47C21B41" w:rsidR="00551179" w:rsidRPr="00DC27F5" w:rsidRDefault="00CE55CE" w:rsidP="00551179">
            <w:pPr>
              <w:pStyle w:val="TableText0"/>
              <w:rPr>
                <w:b/>
                <w:bCs/>
                <w:color w:val="auto"/>
                <w:sz w:val="17"/>
                <w:szCs w:val="17"/>
              </w:rPr>
            </w:pPr>
            <w:r w:rsidRPr="00DC27F5">
              <w:rPr>
                <w:b/>
                <w:bCs/>
                <w:sz w:val="17"/>
                <w:szCs w:val="17"/>
              </w:rPr>
              <w:t>Definition</w:t>
            </w:r>
          </w:p>
        </w:tc>
      </w:tr>
      <w:tr w:rsidR="00CE55CE" w:rsidRPr="00C75894" w14:paraId="43285DA5"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66B1ADF6" w14:textId="3CEDD86A" w:rsidR="00CE55CE" w:rsidRPr="006F7246" w:rsidRDefault="00CE55CE" w:rsidP="00CE55CE">
            <w:pPr>
              <w:pStyle w:val="TableText0"/>
              <w:rPr>
                <w:sz w:val="17"/>
                <w:szCs w:val="17"/>
              </w:rPr>
            </w:pPr>
            <w:r w:rsidRPr="006F7246">
              <w:rPr>
                <w:sz w:val="17"/>
                <w:szCs w:val="17"/>
              </w:rPr>
              <w:t>AAPM</w:t>
            </w:r>
          </w:p>
        </w:tc>
        <w:tc>
          <w:tcPr>
            <w:tcW w:w="6803" w:type="dxa"/>
          </w:tcPr>
          <w:p w14:paraId="496BAF14" w14:textId="0B943852" w:rsidR="00CE55CE" w:rsidRPr="006F7246" w:rsidRDefault="00CE55CE" w:rsidP="00CE55CE">
            <w:pPr>
              <w:pStyle w:val="TableText0"/>
              <w:rPr>
                <w:sz w:val="17"/>
                <w:szCs w:val="17"/>
              </w:rPr>
            </w:pPr>
            <w:r w:rsidRPr="006F7246">
              <w:rPr>
                <w:sz w:val="17"/>
                <w:szCs w:val="17"/>
              </w:rPr>
              <w:t>American Association of Physicists in Medicine</w:t>
            </w:r>
          </w:p>
        </w:tc>
      </w:tr>
      <w:tr w:rsidR="00FC1767" w:rsidRPr="00C75894" w14:paraId="40B591A9" w14:textId="77777777" w:rsidTr="0013010D">
        <w:tc>
          <w:tcPr>
            <w:tcW w:w="2835" w:type="dxa"/>
          </w:tcPr>
          <w:p w14:paraId="5048619F" w14:textId="1C81B588" w:rsidR="00FC1767" w:rsidRPr="00977D3A" w:rsidRDefault="00FC1767" w:rsidP="00551179">
            <w:pPr>
              <w:pStyle w:val="TableText0"/>
              <w:rPr>
                <w:sz w:val="17"/>
                <w:szCs w:val="17"/>
              </w:rPr>
            </w:pPr>
            <w:r w:rsidRPr="00977D3A">
              <w:rPr>
                <w:sz w:val="17"/>
                <w:szCs w:val="17"/>
              </w:rPr>
              <w:t>ABS</w:t>
            </w:r>
          </w:p>
        </w:tc>
        <w:tc>
          <w:tcPr>
            <w:tcW w:w="6803" w:type="dxa"/>
          </w:tcPr>
          <w:p w14:paraId="03D5EB6E" w14:textId="53E3FD99" w:rsidR="00FC1767" w:rsidRPr="00977D3A" w:rsidRDefault="00FC1767" w:rsidP="00551179">
            <w:pPr>
              <w:pStyle w:val="TableText0"/>
              <w:rPr>
                <w:sz w:val="17"/>
                <w:szCs w:val="17"/>
              </w:rPr>
            </w:pPr>
            <w:r w:rsidRPr="00977D3A">
              <w:rPr>
                <w:sz w:val="17"/>
                <w:szCs w:val="17"/>
              </w:rPr>
              <w:t>Australian Bureau of Statistics</w:t>
            </w:r>
          </w:p>
        </w:tc>
      </w:tr>
      <w:tr w:rsidR="001935E9" w:rsidRPr="00C75894" w14:paraId="6A9FAABD" w14:textId="77777777" w:rsidTr="00CE55CE">
        <w:trPr>
          <w:cnfStyle w:val="000000100000" w:firstRow="0" w:lastRow="0" w:firstColumn="0" w:lastColumn="0" w:oddVBand="0" w:evenVBand="0" w:oddHBand="1" w:evenHBand="0" w:firstRowFirstColumn="0" w:firstRowLastColumn="0" w:lastRowFirstColumn="0" w:lastRowLastColumn="0"/>
        </w:trPr>
        <w:tc>
          <w:tcPr>
            <w:tcW w:w="2835" w:type="dxa"/>
          </w:tcPr>
          <w:p w14:paraId="39329F1E" w14:textId="0A77605E" w:rsidR="001935E9" w:rsidRPr="00DC27F5" w:rsidRDefault="001935E9" w:rsidP="00551179">
            <w:pPr>
              <w:pStyle w:val="TableText0"/>
              <w:rPr>
                <w:sz w:val="17"/>
                <w:szCs w:val="17"/>
              </w:rPr>
            </w:pPr>
            <w:r w:rsidRPr="00DC27F5">
              <w:rPr>
                <w:sz w:val="17"/>
                <w:szCs w:val="17"/>
              </w:rPr>
              <w:t>ACER</w:t>
            </w:r>
          </w:p>
        </w:tc>
        <w:tc>
          <w:tcPr>
            <w:tcW w:w="6803" w:type="dxa"/>
          </w:tcPr>
          <w:p w14:paraId="660F0E2C" w14:textId="26AD37B9" w:rsidR="001935E9" w:rsidRPr="00DC27F5" w:rsidRDefault="003E1CDF" w:rsidP="00551179">
            <w:pPr>
              <w:pStyle w:val="TableText0"/>
              <w:rPr>
                <w:sz w:val="17"/>
                <w:szCs w:val="17"/>
              </w:rPr>
            </w:pPr>
            <w:r w:rsidRPr="00977D3A">
              <w:rPr>
                <w:sz w:val="17"/>
                <w:szCs w:val="17"/>
              </w:rPr>
              <w:t>Australian Council of Educational Research</w:t>
            </w:r>
          </w:p>
        </w:tc>
      </w:tr>
      <w:tr w:rsidR="003B7C9D" w:rsidRPr="00C75894" w14:paraId="47C44466" w14:textId="77777777" w:rsidTr="00CE55CE">
        <w:tc>
          <w:tcPr>
            <w:tcW w:w="2835" w:type="dxa"/>
          </w:tcPr>
          <w:p w14:paraId="6426B5BA" w14:textId="7F366D3E" w:rsidR="003B7C9D" w:rsidRPr="002D4500" w:rsidRDefault="003B7C9D" w:rsidP="00551179">
            <w:pPr>
              <w:pStyle w:val="TableText0"/>
              <w:rPr>
                <w:sz w:val="17"/>
                <w:szCs w:val="17"/>
              </w:rPr>
            </w:pPr>
            <w:r>
              <w:rPr>
                <w:sz w:val="17"/>
                <w:szCs w:val="17"/>
              </w:rPr>
              <w:t>ACT</w:t>
            </w:r>
          </w:p>
        </w:tc>
        <w:tc>
          <w:tcPr>
            <w:tcW w:w="6803" w:type="dxa"/>
          </w:tcPr>
          <w:p w14:paraId="3C168A4B" w14:textId="193E6E36" w:rsidR="003B7C9D" w:rsidRPr="00977D3A" w:rsidRDefault="003B7C9D" w:rsidP="00551179">
            <w:pPr>
              <w:pStyle w:val="TableText0"/>
              <w:rPr>
                <w:sz w:val="17"/>
                <w:szCs w:val="17"/>
              </w:rPr>
            </w:pPr>
            <w:r>
              <w:rPr>
                <w:sz w:val="17"/>
                <w:szCs w:val="17"/>
              </w:rPr>
              <w:t xml:space="preserve">Australian </w:t>
            </w:r>
            <w:r w:rsidR="00FC1649">
              <w:rPr>
                <w:sz w:val="17"/>
                <w:szCs w:val="17"/>
              </w:rPr>
              <w:t>Capital</w:t>
            </w:r>
            <w:r>
              <w:rPr>
                <w:sz w:val="17"/>
                <w:szCs w:val="17"/>
              </w:rPr>
              <w:t xml:space="preserve"> Territory</w:t>
            </w:r>
          </w:p>
        </w:tc>
      </w:tr>
      <w:tr w:rsidR="000D61C3" w:rsidRPr="00C75894" w14:paraId="7887123F"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1AA31BFC" w14:textId="699C98AB" w:rsidR="000D61C3" w:rsidRPr="006F7246" w:rsidRDefault="000D61C3" w:rsidP="000D61C3">
            <w:pPr>
              <w:pStyle w:val="TableText0"/>
              <w:rPr>
                <w:sz w:val="17"/>
                <w:szCs w:val="17"/>
              </w:rPr>
            </w:pPr>
            <w:r w:rsidRPr="006F7246">
              <w:rPr>
                <w:sz w:val="17"/>
                <w:szCs w:val="17"/>
              </w:rPr>
              <w:t>ACPSEM</w:t>
            </w:r>
          </w:p>
        </w:tc>
        <w:tc>
          <w:tcPr>
            <w:tcW w:w="6803" w:type="dxa"/>
          </w:tcPr>
          <w:p w14:paraId="7E7563EA" w14:textId="3799C1C5" w:rsidR="000D61C3" w:rsidRPr="006F7246" w:rsidRDefault="000D61C3" w:rsidP="000D61C3">
            <w:pPr>
              <w:pStyle w:val="TableText0"/>
              <w:rPr>
                <w:sz w:val="17"/>
                <w:szCs w:val="17"/>
              </w:rPr>
            </w:pPr>
            <w:r w:rsidRPr="006F7246">
              <w:rPr>
                <w:sz w:val="17"/>
                <w:szCs w:val="17"/>
              </w:rPr>
              <w:t xml:space="preserve">Australasian College of Physical Scientists and Engineers in Medicine </w:t>
            </w:r>
          </w:p>
        </w:tc>
      </w:tr>
      <w:tr w:rsidR="000D61C3" w:rsidRPr="00C75894" w14:paraId="481E232E" w14:textId="77777777" w:rsidTr="0013010D">
        <w:tc>
          <w:tcPr>
            <w:tcW w:w="2835" w:type="dxa"/>
          </w:tcPr>
          <w:p w14:paraId="6CFDB19C" w14:textId="3A118B1A" w:rsidR="000D61C3" w:rsidRPr="006F7246" w:rsidRDefault="000D61C3" w:rsidP="000D61C3">
            <w:pPr>
              <w:pStyle w:val="TableText0"/>
              <w:rPr>
                <w:sz w:val="17"/>
                <w:szCs w:val="17"/>
              </w:rPr>
            </w:pPr>
            <w:r w:rsidRPr="006F7246">
              <w:rPr>
                <w:sz w:val="17"/>
                <w:szCs w:val="17"/>
              </w:rPr>
              <w:t>AFOMP</w:t>
            </w:r>
          </w:p>
        </w:tc>
        <w:tc>
          <w:tcPr>
            <w:tcW w:w="6803" w:type="dxa"/>
          </w:tcPr>
          <w:p w14:paraId="5B93973F" w14:textId="55B024B5" w:rsidR="000D61C3" w:rsidRPr="006F7246" w:rsidRDefault="000D61C3" w:rsidP="000D61C3">
            <w:pPr>
              <w:pStyle w:val="TableText0"/>
              <w:rPr>
                <w:sz w:val="17"/>
                <w:szCs w:val="17"/>
              </w:rPr>
            </w:pPr>
            <w:r w:rsidRPr="006F7246">
              <w:rPr>
                <w:sz w:val="17"/>
                <w:szCs w:val="17"/>
              </w:rPr>
              <w:t>Asia-Oceania Federation of Organizations for Medical Physics</w:t>
            </w:r>
          </w:p>
        </w:tc>
      </w:tr>
      <w:tr w:rsidR="005C64E9" w:rsidRPr="00C75894" w14:paraId="6C47151A"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1A61E49C" w14:textId="38300750" w:rsidR="005C64E9" w:rsidRPr="004E7A81" w:rsidRDefault="005C64E9" w:rsidP="000D61C3">
            <w:pPr>
              <w:pStyle w:val="TableText0"/>
              <w:rPr>
                <w:sz w:val="17"/>
                <w:szCs w:val="17"/>
              </w:rPr>
            </w:pPr>
            <w:r w:rsidRPr="004E7A81">
              <w:rPr>
                <w:sz w:val="17"/>
                <w:szCs w:val="17"/>
              </w:rPr>
              <w:t>AI</w:t>
            </w:r>
          </w:p>
        </w:tc>
        <w:tc>
          <w:tcPr>
            <w:tcW w:w="6803" w:type="dxa"/>
          </w:tcPr>
          <w:p w14:paraId="388BF51C" w14:textId="3E181F02" w:rsidR="005C64E9" w:rsidRPr="004E7A81" w:rsidRDefault="005C64E9" w:rsidP="000D61C3">
            <w:pPr>
              <w:pStyle w:val="TableText0"/>
              <w:rPr>
                <w:sz w:val="17"/>
                <w:szCs w:val="17"/>
              </w:rPr>
            </w:pPr>
            <w:r w:rsidRPr="004E7A81">
              <w:rPr>
                <w:sz w:val="17"/>
                <w:szCs w:val="17"/>
              </w:rPr>
              <w:t xml:space="preserve">Automated Intelligence </w:t>
            </w:r>
          </w:p>
        </w:tc>
      </w:tr>
      <w:tr w:rsidR="00D3273B" w:rsidRPr="00C75894" w14:paraId="6D238D05" w14:textId="77777777" w:rsidTr="0013010D">
        <w:tc>
          <w:tcPr>
            <w:tcW w:w="2835" w:type="dxa"/>
          </w:tcPr>
          <w:p w14:paraId="5455FE96" w14:textId="556FA1B7" w:rsidR="00D3273B" w:rsidRPr="00DC27F5" w:rsidRDefault="00D3273B" w:rsidP="000D61C3">
            <w:pPr>
              <w:pStyle w:val="TableText0"/>
              <w:rPr>
                <w:sz w:val="17"/>
                <w:szCs w:val="17"/>
              </w:rPr>
            </w:pPr>
            <w:r w:rsidRPr="00DC27F5">
              <w:rPr>
                <w:sz w:val="17"/>
                <w:szCs w:val="17"/>
              </w:rPr>
              <w:t>ANSTO</w:t>
            </w:r>
          </w:p>
        </w:tc>
        <w:tc>
          <w:tcPr>
            <w:tcW w:w="6803" w:type="dxa"/>
          </w:tcPr>
          <w:p w14:paraId="0214A5A6" w14:textId="28C07751" w:rsidR="00D3273B" w:rsidRPr="00DC27F5" w:rsidRDefault="00D3273B" w:rsidP="000D61C3">
            <w:pPr>
              <w:pStyle w:val="TableText0"/>
              <w:rPr>
                <w:sz w:val="17"/>
                <w:szCs w:val="17"/>
              </w:rPr>
            </w:pPr>
            <w:r w:rsidRPr="00CE55CE">
              <w:rPr>
                <w:sz w:val="17"/>
                <w:szCs w:val="17"/>
              </w:rPr>
              <w:t>Australian Nuclear Science and Technology Organisation</w:t>
            </w:r>
          </w:p>
        </w:tc>
      </w:tr>
      <w:tr w:rsidR="00FC1767" w:rsidRPr="00C75894" w14:paraId="1F6C058F"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17588F12" w14:textId="450B931E" w:rsidR="00FC1767" w:rsidRPr="00CE55CE" w:rsidRDefault="00FC1767" w:rsidP="000D61C3">
            <w:pPr>
              <w:pStyle w:val="TableText0"/>
              <w:rPr>
                <w:sz w:val="17"/>
                <w:szCs w:val="17"/>
              </w:rPr>
            </w:pPr>
            <w:r w:rsidRPr="00CE55CE">
              <w:rPr>
                <w:sz w:val="17"/>
                <w:szCs w:val="17"/>
              </w:rPr>
              <w:t>ARPANSA</w:t>
            </w:r>
          </w:p>
        </w:tc>
        <w:tc>
          <w:tcPr>
            <w:tcW w:w="6803" w:type="dxa"/>
          </w:tcPr>
          <w:p w14:paraId="3B7555DE" w14:textId="79AEAC3D" w:rsidR="00FC1767" w:rsidRPr="00CE55CE" w:rsidRDefault="00FC1767" w:rsidP="000D61C3">
            <w:pPr>
              <w:pStyle w:val="TableText0"/>
              <w:rPr>
                <w:sz w:val="17"/>
                <w:szCs w:val="17"/>
              </w:rPr>
            </w:pPr>
            <w:r w:rsidRPr="00CE55CE">
              <w:rPr>
                <w:sz w:val="17"/>
                <w:szCs w:val="17"/>
              </w:rPr>
              <w:t>Australian Radiation Protection and Nuclear Safety Agency</w:t>
            </w:r>
          </w:p>
        </w:tc>
      </w:tr>
      <w:tr w:rsidR="00E87C02" w:rsidRPr="00C75894" w14:paraId="60B0C1C9" w14:textId="77777777" w:rsidTr="0013010D">
        <w:tc>
          <w:tcPr>
            <w:tcW w:w="2835" w:type="dxa"/>
          </w:tcPr>
          <w:p w14:paraId="1812FFEF" w14:textId="302EC652" w:rsidR="00E87C02" w:rsidRPr="00DC27F5" w:rsidRDefault="00E87C02" w:rsidP="000D61C3">
            <w:pPr>
              <w:pStyle w:val="TableText0"/>
              <w:rPr>
                <w:sz w:val="17"/>
                <w:szCs w:val="17"/>
              </w:rPr>
            </w:pPr>
            <w:r w:rsidRPr="00DC27F5">
              <w:rPr>
                <w:sz w:val="17"/>
                <w:szCs w:val="17"/>
              </w:rPr>
              <w:t>AWP</w:t>
            </w:r>
          </w:p>
        </w:tc>
        <w:tc>
          <w:tcPr>
            <w:tcW w:w="6803" w:type="dxa"/>
          </w:tcPr>
          <w:p w14:paraId="2BF13CA8" w14:textId="4EDBDB9C" w:rsidR="00E87C02" w:rsidRPr="00DC27F5" w:rsidRDefault="00E87C02" w:rsidP="000D61C3">
            <w:pPr>
              <w:pStyle w:val="TableText0"/>
              <w:rPr>
                <w:sz w:val="17"/>
                <w:szCs w:val="17"/>
              </w:rPr>
            </w:pPr>
            <w:r w:rsidRPr="00DC27F5">
              <w:rPr>
                <w:sz w:val="17"/>
                <w:szCs w:val="17"/>
              </w:rPr>
              <w:t>Activity Work Plan</w:t>
            </w:r>
          </w:p>
        </w:tc>
      </w:tr>
      <w:tr w:rsidR="00F151CF" w:rsidRPr="00C75894" w14:paraId="202AC783"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42FAE8C2" w14:textId="2D4C0E79" w:rsidR="00F151CF" w:rsidRPr="006F7246" w:rsidRDefault="00F151CF" w:rsidP="000D61C3">
            <w:pPr>
              <w:pStyle w:val="TableText0"/>
              <w:rPr>
                <w:sz w:val="17"/>
                <w:szCs w:val="17"/>
              </w:rPr>
            </w:pPr>
            <w:r w:rsidRPr="006F7246">
              <w:rPr>
                <w:sz w:val="17"/>
                <w:szCs w:val="17"/>
              </w:rPr>
              <w:t>CAMPEP</w:t>
            </w:r>
          </w:p>
        </w:tc>
        <w:tc>
          <w:tcPr>
            <w:tcW w:w="6803" w:type="dxa"/>
          </w:tcPr>
          <w:p w14:paraId="2EC03E82" w14:textId="17D87F4E" w:rsidR="00F151CF" w:rsidRPr="006F7246" w:rsidRDefault="00F151CF" w:rsidP="000D61C3">
            <w:pPr>
              <w:pStyle w:val="TableText0"/>
              <w:rPr>
                <w:sz w:val="17"/>
                <w:szCs w:val="17"/>
              </w:rPr>
            </w:pPr>
            <w:r w:rsidRPr="006F7246">
              <w:rPr>
                <w:sz w:val="17"/>
                <w:szCs w:val="17"/>
              </w:rPr>
              <w:t>Commission on Accreditation of Medical Physics Education Programs</w:t>
            </w:r>
          </w:p>
        </w:tc>
      </w:tr>
      <w:tr w:rsidR="00CC6D5A" w:rsidRPr="00C75894" w14:paraId="6507F085" w14:textId="77777777" w:rsidTr="0013010D">
        <w:tc>
          <w:tcPr>
            <w:tcW w:w="2835" w:type="dxa"/>
          </w:tcPr>
          <w:p w14:paraId="3D918E0E" w14:textId="2F74F299" w:rsidR="00CC6D5A" w:rsidRPr="006F7246" w:rsidRDefault="00CC6D5A" w:rsidP="000D61C3">
            <w:pPr>
              <w:pStyle w:val="TableText0"/>
              <w:rPr>
                <w:sz w:val="17"/>
                <w:szCs w:val="17"/>
              </w:rPr>
            </w:pPr>
            <w:r w:rsidRPr="006F7246">
              <w:rPr>
                <w:sz w:val="17"/>
                <w:szCs w:val="17"/>
              </w:rPr>
              <w:t>CPD</w:t>
            </w:r>
          </w:p>
        </w:tc>
        <w:tc>
          <w:tcPr>
            <w:tcW w:w="6803" w:type="dxa"/>
          </w:tcPr>
          <w:p w14:paraId="14037E10" w14:textId="220902F9" w:rsidR="00CC6D5A" w:rsidRPr="006F7246" w:rsidRDefault="00CC6D5A" w:rsidP="000D61C3">
            <w:pPr>
              <w:pStyle w:val="TableText0"/>
              <w:rPr>
                <w:sz w:val="17"/>
                <w:szCs w:val="17"/>
              </w:rPr>
            </w:pPr>
            <w:r w:rsidRPr="006F7246">
              <w:rPr>
                <w:sz w:val="17"/>
                <w:szCs w:val="17"/>
              </w:rPr>
              <w:t>Continu</w:t>
            </w:r>
            <w:r w:rsidR="004C504A" w:rsidRPr="006F7246">
              <w:rPr>
                <w:sz w:val="17"/>
                <w:szCs w:val="17"/>
              </w:rPr>
              <w:t>ing</w:t>
            </w:r>
            <w:r w:rsidRPr="006F7246">
              <w:rPr>
                <w:sz w:val="17"/>
                <w:szCs w:val="17"/>
              </w:rPr>
              <w:t xml:space="preserve"> Professional Development</w:t>
            </w:r>
          </w:p>
        </w:tc>
      </w:tr>
      <w:tr w:rsidR="00E11FD7" w:rsidRPr="00C75894" w14:paraId="37866D82"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3BE3A656" w14:textId="44D37EC1" w:rsidR="00E11FD7" w:rsidRPr="006F7246" w:rsidRDefault="00E11FD7" w:rsidP="00551179">
            <w:pPr>
              <w:pStyle w:val="TableText0"/>
              <w:rPr>
                <w:sz w:val="17"/>
                <w:szCs w:val="17"/>
              </w:rPr>
            </w:pPr>
            <w:r w:rsidRPr="006F7246">
              <w:rPr>
                <w:sz w:val="17"/>
                <w:szCs w:val="17"/>
              </w:rPr>
              <w:t xml:space="preserve">CT </w:t>
            </w:r>
          </w:p>
        </w:tc>
        <w:tc>
          <w:tcPr>
            <w:tcW w:w="6803" w:type="dxa"/>
          </w:tcPr>
          <w:p w14:paraId="2771102E" w14:textId="3B8D0201" w:rsidR="00E11FD7" w:rsidRPr="006F7246" w:rsidRDefault="00E11FD7" w:rsidP="00551179">
            <w:pPr>
              <w:pStyle w:val="TableText0"/>
              <w:rPr>
                <w:sz w:val="17"/>
                <w:szCs w:val="17"/>
              </w:rPr>
            </w:pPr>
            <w:r w:rsidRPr="006F7246">
              <w:rPr>
                <w:sz w:val="17"/>
                <w:szCs w:val="17"/>
              </w:rPr>
              <w:t xml:space="preserve">Computed tomography </w:t>
            </w:r>
          </w:p>
        </w:tc>
      </w:tr>
      <w:tr w:rsidR="009B2DC7" w:rsidRPr="00C75894" w14:paraId="1B929418" w14:textId="77777777" w:rsidTr="0013010D">
        <w:tc>
          <w:tcPr>
            <w:tcW w:w="2835" w:type="dxa"/>
          </w:tcPr>
          <w:p w14:paraId="447E67ED" w14:textId="04598569" w:rsidR="009B2DC7" w:rsidRPr="006F7246" w:rsidRDefault="009B2DC7" w:rsidP="00551179">
            <w:pPr>
              <w:pStyle w:val="TableText0"/>
              <w:rPr>
                <w:sz w:val="17"/>
                <w:szCs w:val="17"/>
              </w:rPr>
            </w:pPr>
            <w:r w:rsidRPr="006F7246">
              <w:rPr>
                <w:sz w:val="17"/>
                <w:szCs w:val="17"/>
              </w:rPr>
              <w:t>CQMP</w:t>
            </w:r>
          </w:p>
        </w:tc>
        <w:tc>
          <w:tcPr>
            <w:tcW w:w="6803" w:type="dxa"/>
          </w:tcPr>
          <w:p w14:paraId="4065C710" w14:textId="3D16F026" w:rsidR="009B2DC7" w:rsidRPr="006F7246" w:rsidRDefault="009B2DC7" w:rsidP="00551179">
            <w:pPr>
              <w:pStyle w:val="TableText0"/>
              <w:rPr>
                <w:sz w:val="17"/>
                <w:szCs w:val="17"/>
              </w:rPr>
            </w:pPr>
            <w:r w:rsidRPr="006F7246">
              <w:rPr>
                <w:sz w:val="17"/>
                <w:szCs w:val="17"/>
              </w:rPr>
              <w:t>Clinically Qualified Medical Physicist</w:t>
            </w:r>
          </w:p>
        </w:tc>
      </w:tr>
      <w:tr w:rsidR="00551179" w:rsidRPr="00C75894" w14:paraId="3ACDF6A6"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05573E02" w14:textId="2987EEDF" w:rsidR="00551179" w:rsidRPr="006F7246" w:rsidRDefault="00551179" w:rsidP="00551179">
            <w:pPr>
              <w:pStyle w:val="TableText0"/>
              <w:rPr>
                <w:sz w:val="17"/>
                <w:szCs w:val="17"/>
              </w:rPr>
            </w:pPr>
            <w:r w:rsidRPr="006F7246">
              <w:rPr>
                <w:sz w:val="17"/>
                <w:szCs w:val="17"/>
              </w:rPr>
              <w:t>DIMP</w:t>
            </w:r>
          </w:p>
        </w:tc>
        <w:tc>
          <w:tcPr>
            <w:tcW w:w="6803" w:type="dxa"/>
          </w:tcPr>
          <w:p w14:paraId="7EF291BD" w14:textId="06998670" w:rsidR="00551179" w:rsidRPr="006F7246" w:rsidRDefault="00551179" w:rsidP="00551179">
            <w:pPr>
              <w:pStyle w:val="TableText0"/>
              <w:rPr>
                <w:sz w:val="17"/>
                <w:szCs w:val="17"/>
              </w:rPr>
            </w:pPr>
            <w:r w:rsidRPr="006F7246">
              <w:rPr>
                <w:sz w:val="17"/>
                <w:szCs w:val="17"/>
              </w:rPr>
              <w:t>Diagnostic Imaging Medical Physic</w:t>
            </w:r>
            <w:r w:rsidR="00AF6791" w:rsidRPr="006F7246">
              <w:rPr>
                <w:sz w:val="17"/>
                <w:szCs w:val="17"/>
              </w:rPr>
              <w:t>ist</w:t>
            </w:r>
          </w:p>
        </w:tc>
      </w:tr>
      <w:tr w:rsidR="00FF1D38" w:rsidRPr="00C75894" w14:paraId="6441706D" w14:textId="77777777" w:rsidTr="0013010D">
        <w:tc>
          <w:tcPr>
            <w:tcW w:w="2835" w:type="dxa"/>
          </w:tcPr>
          <w:p w14:paraId="0671C7CA" w14:textId="643D944E" w:rsidR="00FF1D38" w:rsidRPr="006F7246" w:rsidRDefault="00FF1D38" w:rsidP="00551179">
            <w:pPr>
              <w:pStyle w:val="TableText0"/>
              <w:rPr>
                <w:sz w:val="17"/>
                <w:szCs w:val="17"/>
              </w:rPr>
            </w:pPr>
            <w:r w:rsidRPr="006F7246">
              <w:rPr>
                <w:sz w:val="17"/>
                <w:szCs w:val="17"/>
              </w:rPr>
              <w:t>EFOMP</w:t>
            </w:r>
          </w:p>
        </w:tc>
        <w:tc>
          <w:tcPr>
            <w:tcW w:w="6803" w:type="dxa"/>
          </w:tcPr>
          <w:p w14:paraId="560A4D39" w14:textId="7CDD22C6" w:rsidR="00FF1D38" w:rsidRPr="006F7246" w:rsidRDefault="00FF1D38" w:rsidP="00551179">
            <w:pPr>
              <w:pStyle w:val="TableText0"/>
              <w:rPr>
                <w:sz w:val="17"/>
                <w:szCs w:val="17"/>
              </w:rPr>
            </w:pPr>
            <w:r w:rsidRPr="006F7246">
              <w:rPr>
                <w:sz w:val="17"/>
                <w:szCs w:val="17"/>
              </w:rPr>
              <w:t>European Federation of Organizations for Medical Physics</w:t>
            </w:r>
          </w:p>
        </w:tc>
      </w:tr>
      <w:tr w:rsidR="00B50C4B" w:rsidRPr="00C75894" w14:paraId="7026E88D"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1DE597C7" w14:textId="388D44AE" w:rsidR="00B50C4B" w:rsidRPr="006F7246" w:rsidRDefault="00B50C4B" w:rsidP="00551179">
            <w:pPr>
              <w:pStyle w:val="TableText0"/>
              <w:rPr>
                <w:sz w:val="17"/>
                <w:szCs w:val="17"/>
              </w:rPr>
            </w:pPr>
            <w:r>
              <w:rPr>
                <w:sz w:val="17"/>
                <w:szCs w:val="17"/>
              </w:rPr>
              <w:t>FTE</w:t>
            </w:r>
          </w:p>
        </w:tc>
        <w:tc>
          <w:tcPr>
            <w:tcW w:w="6803" w:type="dxa"/>
          </w:tcPr>
          <w:p w14:paraId="0BFC7BD2" w14:textId="1795FE57" w:rsidR="00B50C4B" w:rsidRPr="006F7246" w:rsidRDefault="00B50C4B" w:rsidP="00551179">
            <w:pPr>
              <w:pStyle w:val="TableText0"/>
              <w:rPr>
                <w:sz w:val="17"/>
                <w:szCs w:val="17"/>
              </w:rPr>
            </w:pPr>
            <w:r>
              <w:rPr>
                <w:sz w:val="17"/>
                <w:szCs w:val="17"/>
              </w:rPr>
              <w:t>Full-time equivalent</w:t>
            </w:r>
          </w:p>
        </w:tc>
      </w:tr>
      <w:tr w:rsidR="005C1893" w:rsidRPr="00C75894" w14:paraId="606DC9F0" w14:textId="77777777" w:rsidTr="0013010D">
        <w:tc>
          <w:tcPr>
            <w:tcW w:w="2835" w:type="dxa"/>
          </w:tcPr>
          <w:p w14:paraId="6C02A78D" w14:textId="78DBC328" w:rsidR="005C1893" w:rsidRDefault="005C1893" w:rsidP="00551179">
            <w:pPr>
              <w:pStyle w:val="TableText0"/>
              <w:rPr>
                <w:sz w:val="17"/>
                <w:szCs w:val="17"/>
              </w:rPr>
            </w:pPr>
            <w:r>
              <w:rPr>
                <w:sz w:val="17"/>
                <w:szCs w:val="17"/>
              </w:rPr>
              <w:t>FY</w:t>
            </w:r>
          </w:p>
        </w:tc>
        <w:tc>
          <w:tcPr>
            <w:tcW w:w="6803" w:type="dxa"/>
          </w:tcPr>
          <w:p w14:paraId="3CE2B606" w14:textId="3E688029" w:rsidR="005C1893" w:rsidRDefault="005C1893" w:rsidP="00551179">
            <w:pPr>
              <w:pStyle w:val="TableText0"/>
              <w:rPr>
                <w:sz w:val="17"/>
                <w:szCs w:val="17"/>
              </w:rPr>
            </w:pPr>
            <w:r>
              <w:rPr>
                <w:sz w:val="17"/>
                <w:szCs w:val="17"/>
              </w:rPr>
              <w:t>Financial Year</w:t>
            </w:r>
          </w:p>
        </w:tc>
      </w:tr>
      <w:tr w:rsidR="00EC2D1F" w:rsidRPr="00C75894" w14:paraId="7C6B8408"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1809BB1A" w14:textId="69FC701D" w:rsidR="00EC2D1F" w:rsidRPr="00CE55CE" w:rsidRDefault="00EC2D1F" w:rsidP="00551179">
            <w:pPr>
              <w:pStyle w:val="TableText0"/>
              <w:rPr>
                <w:sz w:val="17"/>
                <w:szCs w:val="17"/>
              </w:rPr>
            </w:pPr>
            <w:r w:rsidRPr="00CE55CE">
              <w:rPr>
                <w:sz w:val="17"/>
                <w:szCs w:val="17"/>
              </w:rPr>
              <w:t>GST</w:t>
            </w:r>
          </w:p>
        </w:tc>
        <w:tc>
          <w:tcPr>
            <w:tcW w:w="6803" w:type="dxa"/>
          </w:tcPr>
          <w:p w14:paraId="485B94E2" w14:textId="3631499A" w:rsidR="00EC2D1F" w:rsidRPr="00CE55CE" w:rsidRDefault="00EC2D1F" w:rsidP="00551179">
            <w:pPr>
              <w:pStyle w:val="TableText0"/>
              <w:rPr>
                <w:sz w:val="17"/>
                <w:szCs w:val="17"/>
              </w:rPr>
            </w:pPr>
            <w:r w:rsidRPr="00CE55CE">
              <w:rPr>
                <w:sz w:val="17"/>
                <w:szCs w:val="17"/>
              </w:rPr>
              <w:t>Goods and Services Tax</w:t>
            </w:r>
          </w:p>
        </w:tc>
      </w:tr>
      <w:tr w:rsidR="00CF0367" w:rsidRPr="00C75894" w14:paraId="4C2A8828" w14:textId="77777777" w:rsidTr="0013010D">
        <w:tc>
          <w:tcPr>
            <w:tcW w:w="2835" w:type="dxa"/>
          </w:tcPr>
          <w:p w14:paraId="68442255" w14:textId="56872840" w:rsidR="00CF0367" w:rsidRPr="006F7246" w:rsidRDefault="00CF0367" w:rsidP="000D61C3">
            <w:pPr>
              <w:pStyle w:val="TableText0"/>
              <w:rPr>
                <w:sz w:val="17"/>
                <w:szCs w:val="17"/>
              </w:rPr>
            </w:pPr>
            <w:r w:rsidRPr="006F7246">
              <w:rPr>
                <w:sz w:val="17"/>
                <w:szCs w:val="17"/>
              </w:rPr>
              <w:t>HCPC</w:t>
            </w:r>
          </w:p>
        </w:tc>
        <w:tc>
          <w:tcPr>
            <w:tcW w:w="6803" w:type="dxa"/>
          </w:tcPr>
          <w:p w14:paraId="18E60A6C" w14:textId="27045ABE" w:rsidR="00CF0367" w:rsidRPr="006F7246" w:rsidRDefault="00CF0367" w:rsidP="000D61C3">
            <w:pPr>
              <w:pStyle w:val="TableText0"/>
              <w:rPr>
                <w:sz w:val="17"/>
                <w:szCs w:val="17"/>
              </w:rPr>
            </w:pPr>
            <w:r w:rsidRPr="006F7246">
              <w:rPr>
                <w:sz w:val="17"/>
                <w:szCs w:val="17"/>
              </w:rPr>
              <w:t>Health &amp; Care Professions Council</w:t>
            </w:r>
          </w:p>
        </w:tc>
      </w:tr>
      <w:tr w:rsidR="00366F6A" w:rsidRPr="00C75894" w14:paraId="7498F9EF"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16909DC9" w14:textId="053B194E" w:rsidR="00366F6A" w:rsidRPr="00DC27F5" w:rsidRDefault="00366F6A" w:rsidP="000D61C3">
            <w:pPr>
              <w:pStyle w:val="TableText0"/>
              <w:rPr>
                <w:sz w:val="17"/>
                <w:szCs w:val="17"/>
              </w:rPr>
            </w:pPr>
            <w:r w:rsidRPr="00DC27F5">
              <w:rPr>
                <w:sz w:val="17"/>
                <w:szCs w:val="17"/>
              </w:rPr>
              <w:t>HETI</w:t>
            </w:r>
          </w:p>
        </w:tc>
        <w:tc>
          <w:tcPr>
            <w:tcW w:w="6803" w:type="dxa"/>
          </w:tcPr>
          <w:p w14:paraId="4501E41D" w14:textId="267777A0" w:rsidR="00366F6A" w:rsidRPr="00DC27F5" w:rsidRDefault="00366F6A" w:rsidP="000D61C3">
            <w:pPr>
              <w:pStyle w:val="TableText0"/>
              <w:rPr>
                <w:sz w:val="17"/>
                <w:szCs w:val="17"/>
              </w:rPr>
            </w:pPr>
            <w:r w:rsidRPr="00DC27F5">
              <w:rPr>
                <w:sz w:val="17"/>
                <w:szCs w:val="17"/>
              </w:rPr>
              <w:t>Health Education and Training Institute</w:t>
            </w:r>
          </w:p>
        </w:tc>
      </w:tr>
      <w:tr w:rsidR="005F230F" w:rsidRPr="00C75894" w14:paraId="1481F652" w14:textId="77777777" w:rsidTr="0013010D">
        <w:tc>
          <w:tcPr>
            <w:tcW w:w="2835" w:type="dxa"/>
          </w:tcPr>
          <w:p w14:paraId="4124C4D2" w14:textId="2697F4ED" w:rsidR="005F230F" w:rsidRPr="006F7246" w:rsidRDefault="005F230F" w:rsidP="00551179">
            <w:pPr>
              <w:pStyle w:val="TableText0"/>
              <w:rPr>
                <w:sz w:val="17"/>
                <w:szCs w:val="17"/>
              </w:rPr>
            </w:pPr>
            <w:r w:rsidRPr="006F7246">
              <w:rPr>
                <w:sz w:val="17"/>
                <w:szCs w:val="17"/>
              </w:rPr>
              <w:t>IAEA</w:t>
            </w:r>
          </w:p>
        </w:tc>
        <w:tc>
          <w:tcPr>
            <w:tcW w:w="6803" w:type="dxa"/>
          </w:tcPr>
          <w:p w14:paraId="3A9F836E" w14:textId="1D9D0DC2" w:rsidR="005F230F" w:rsidRPr="006F7246" w:rsidRDefault="005F230F" w:rsidP="00551179">
            <w:pPr>
              <w:pStyle w:val="TableText0"/>
              <w:rPr>
                <w:sz w:val="17"/>
                <w:szCs w:val="17"/>
              </w:rPr>
            </w:pPr>
            <w:r w:rsidRPr="006F7246">
              <w:rPr>
                <w:sz w:val="17"/>
                <w:szCs w:val="17"/>
              </w:rPr>
              <w:t>International Atomic Energy Agency</w:t>
            </w:r>
          </w:p>
        </w:tc>
      </w:tr>
      <w:tr w:rsidR="009C3309" w:rsidRPr="00C75894" w14:paraId="3F25EDCA"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482085B4" w14:textId="32FA20A1" w:rsidR="009C3309" w:rsidRPr="006F7246" w:rsidRDefault="009C3309" w:rsidP="000D61C3">
            <w:pPr>
              <w:pStyle w:val="TableText0"/>
              <w:rPr>
                <w:sz w:val="17"/>
                <w:szCs w:val="17"/>
              </w:rPr>
            </w:pPr>
            <w:r w:rsidRPr="006F7246">
              <w:rPr>
                <w:sz w:val="17"/>
                <w:szCs w:val="17"/>
              </w:rPr>
              <w:t>IPEM</w:t>
            </w:r>
          </w:p>
        </w:tc>
        <w:tc>
          <w:tcPr>
            <w:tcW w:w="6803" w:type="dxa"/>
          </w:tcPr>
          <w:p w14:paraId="22B61A91" w14:textId="4A6BF68C" w:rsidR="009C3309" w:rsidRPr="006F7246" w:rsidRDefault="009C3309" w:rsidP="000D61C3">
            <w:pPr>
              <w:pStyle w:val="TableText0"/>
              <w:rPr>
                <w:sz w:val="17"/>
                <w:szCs w:val="17"/>
              </w:rPr>
            </w:pPr>
            <w:r w:rsidRPr="006F7246">
              <w:rPr>
                <w:sz w:val="17"/>
                <w:szCs w:val="17"/>
              </w:rPr>
              <w:t>Institute of Physics &amp; Engineering in Medicine</w:t>
            </w:r>
          </w:p>
        </w:tc>
      </w:tr>
      <w:tr w:rsidR="000D61C3" w:rsidRPr="00C75894" w14:paraId="231EEBFE" w14:textId="77777777" w:rsidTr="0013010D">
        <w:tc>
          <w:tcPr>
            <w:tcW w:w="2835" w:type="dxa"/>
          </w:tcPr>
          <w:p w14:paraId="6DE2C63C" w14:textId="758952BB" w:rsidR="000D61C3" w:rsidRPr="006F7246" w:rsidRDefault="000D61C3" w:rsidP="000D61C3">
            <w:pPr>
              <w:pStyle w:val="TableText0"/>
              <w:rPr>
                <w:sz w:val="17"/>
                <w:szCs w:val="17"/>
              </w:rPr>
            </w:pPr>
            <w:r w:rsidRPr="006F7246">
              <w:rPr>
                <w:sz w:val="17"/>
                <w:szCs w:val="17"/>
              </w:rPr>
              <w:t>IOMP</w:t>
            </w:r>
          </w:p>
        </w:tc>
        <w:tc>
          <w:tcPr>
            <w:tcW w:w="6803" w:type="dxa"/>
          </w:tcPr>
          <w:p w14:paraId="2FDBECF9" w14:textId="0F190E61" w:rsidR="000D61C3" w:rsidRPr="006F7246" w:rsidRDefault="000D61C3" w:rsidP="000D61C3">
            <w:pPr>
              <w:pStyle w:val="TableText0"/>
              <w:rPr>
                <w:sz w:val="17"/>
                <w:szCs w:val="17"/>
              </w:rPr>
            </w:pPr>
            <w:r w:rsidRPr="006F7246">
              <w:rPr>
                <w:sz w:val="17"/>
                <w:szCs w:val="17"/>
              </w:rPr>
              <w:t>International Organisation of Medical Physics</w:t>
            </w:r>
          </w:p>
        </w:tc>
      </w:tr>
      <w:tr w:rsidR="00551179" w:rsidRPr="00C75894" w14:paraId="159459FB"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0A7C02DE" w14:textId="1A5636B1" w:rsidR="00551179" w:rsidRPr="006F7246" w:rsidRDefault="00551179" w:rsidP="00551179">
            <w:pPr>
              <w:pStyle w:val="TableText0"/>
              <w:rPr>
                <w:sz w:val="17"/>
                <w:szCs w:val="17"/>
              </w:rPr>
            </w:pPr>
            <w:r w:rsidRPr="006F7246">
              <w:rPr>
                <w:sz w:val="17"/>
                <w:szCs w:val="17"/>
              </w:rPr>
              <w:t>KEQs</w:t>
            </w:r>
          </w:p>
        </w:tc>
        <w:tc>
          <w:tcPr>
            <w:tcW w:w="6803" w:type="dxa"/>
          </w:tcPr>
          <w:p w14:paraId="5286B9D7" w14:textId="680D035C" w:rsidR="00551179" w:rsidRPr="006F7246" w:rsidRDefault="00551179" w:rsidP="00551179">
            <w:pPr>
              <w:pStyle w:val="TableText0"/>
              <w:rPr>
                <w:sz w:val="17"/>
                <w:szCs w:val="17"/>
              </w:rPr>
            </w:pPr>
            <w:r w:rsidRPr="006F7246">
              <w:rPr>
                <w:sz w:val="17"/>
                <w:szCs w:val="17"/>
              </w:rPr>
              <w:t>Key Evaluation Questions</w:t>
            </w:r>
          </w:p>
        </w:tc>
      </w:tr>
      <w:tr w:rsidR="00551179" w:rsidRPr="00C75894" w14:paraId="30AD41E8" w14:textId="77777777" w:rsidTr="0013010D">
        <w:tc>
          <w:tcPr>
            <w:tcW w:w="2835" w:type="dxa"/>
          </w:tcPr>
          <w:p w14:paraId="774CA2BC" w14:textId="76134397" w:rsidR="00551179" w:rsidRPr="006F7246" w:rsidRDefault="00551179" w:rsidP="00551179">
            <w:pPr>
              <w:pStyle w:val="TableText0"/>
              <w:rPr>
                <w:sz w:val="17"/>
                <w:szCs w:val="17"/>
              </w:rPr>
            </w:pPr>
            <w:r w:rsidRPr="006F7246">
              <w:rPr>
                <w:sz w:val="17"/>
                <w:szCs w:val="17"/>
              </w:rPr>
              <w:t>KPI</w:t>
            </w:r>
          </w:p>
        </w:tc>
        <w:tc>
          <w:tcPr>
            <w:tcW w:w="6803" w:type="dxa"/>
          </w:tcPr>
          <w:p w14:paraId="520BFB1C" w14:textId="2A12F97E" w:rsidR="00551179" w:rsidRPr="006F7246" w:rsidRDefault="00551179" w:rsidP="00551179">
            <w:pPr>
              <w:pStyle w:val="TableText0"/>
              <w:rPr>
                <w:sz w:val="17"/>
                <w:szCs w:val="17"/>
              </w:rPr>
            </w:pPr>
            <w:r w:rsidRPr="006F7246">
              <w:rPr>
                <w:sz w:val="17"/>
                <w:szCs w:val="17"/>
              </w:rPr>
              <w:t>Key Performance Indicator</w:t>
            </w:r>
          </w:p>
        </w:tc>
      </w:tr>
      <w:tr w:rsidR="00BA5DD8" w:rsidRPr="00C75894" w14:paraId="5A218606"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7CEBE249" w14:textId="6B1FC2BA" w:rsidR="00BA5DD8" w:rsidRPr="006F7246" w:rsidRDefault="00BA5DD8" w:rsidP="00551179">
            <w:pPr>
              <w:pStyle w:val="TableText0"/>
              <w:rPr>
                <w:sz w:val="17"/>
                <w:szCs w:val="17"/>
              </w:rPr>
            </w:pPr>
            <w:r>
              <w:rPr>
                <w:sz w:val="17"/>
                <w:szCs w:val="17"/>
              </w:rPr>
              <w:t>LMS</w:t>
            </w:r>
          </w:p>
        </w:tc>
        <w:tc>
          <w:tcPr>
            <w:tcW w:w="6803" w:type="dxa"/>
          </w:tcPr>
          <w:p w14:paraId="00550EB2" w14:textId="1C5C6224" w:rsidR="00BA5DD8" w:rsidRPr="006F7246" w:rsidRDefault="00BA5DD8" w:rsidP="00551179">
            <w:pPr>
              <w:pStyle w:val="TableText0"/>
              <w:rPr>
                <w:sz w:val="17"/>
                <w:szCs w:val="17"/>
              </w:rPr>
            </w:pPr>
            <w:r>
              <w:rPr>
                <w:sz w:val="17"/>
                <w:szCs w:val="17"/>
              </w:rPr>
              <w:t>Learning Management System</w:t>
            </w:r>
          </w:p>
        </w:tc>
      </w:tr>
      <w:tr w:rsidR="00551179" w:rsidRPr="00C75894" w14:paraId="168F8D52" w14:textId="77777777" w:rsidTr="00194457">
        <w:tc>
          <w:tcPr>
            <w:tcW w:w="2835" w:type="dxa"/>
          </w:tcPr>
          <w:p w14:paraId="01C627DE" w14:textId="7B75BC3B" w:rsidR="00551179" w:rsidRPr="006F7246" w:rsidRDefault="00551179" w:rsidP="00551179">
            <w:pPr>
              <w:pStyle w:val="TableText0"/>
              <w:rPr>
                <w:sz w:val="17"/>
                <w:szCs w:val="17"/>
              </w:rPr>
            </w:pPr>
            <w:r w:rsidRPr="006F7246">
              <w:rPr>
                <w:sz w:val="17"/>
                <w:szCs w:val="17"/>
              </w:rPr>
              <w:t>MMM</w:t>
            </w:r>
          </w:p>
        </w:tc>
        <w:tc>
          <w:tcPr>
            <w:tcW w:w="6803" w:type="dxa"/>
          </w:tcPr>
          <w:p w14:paraId="29F4272C" w14:textId="506E8833" w:rsidR="00551179" w:rsidRPr="006F7246" w:rsidRDefault="00551179" w:rsidP="00551179">
            <w:pPr>
              <w:pStyle w:val="TableText0"/>
              <w:rPr>
                <w:sz w:val="17"/>
                <w:szCs w:val="17"/>
              </w:rPr>
            </w:pPr>
            <w:r w:rsidRPr="006F7246">
              <w:rPr>
                <w:sz w:val="17"/>
                <w:szCs w:val="17"/>
              </w:rPr>
              <w:t xml:space="preserve">Modified Monash Model </w:t>
            </w:r>
          </w:p>
        </w:tc>
      </w:tr>
      <w:tr w:rsidR="0083377E" w:rsidRPr="00C75894" w14:paraId="43DBB8B9"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614AD01B" w14:textId="2288EED7" w:rsidR="0083377E" w:rsidRPr="00CE55CE" w:rsidRDefault="0083377E" w:rsidP="00551179">
            <w:pPr>
              <w:pStyle w:val="TableText0"/>
              <w:rPr>
                <w:sz w:val="17"/>
                <w:szCs w:val="17"/>
              </w:rPr>
            </w:pPr>
            <w:r w:rsidRPr="00CE55CE">
              <w:rPr>
                <w:sz w:val="17"/>
                <w:szCs w:val="17"/>
              </w:rPr>
              <w:t>MoU</w:t>
            </w:r>
          </w:p>
        </w:tc>
        <w:tc>
          <w:tcPr>
            <w:tcW w:w="6803" w:type="dxa"/>
          </w:tcPr>
          <w:p w14:paraId="0E1E84DD" w14:textId="5452C2BA" w:rsidR="0083377E" w:rsidRPr="00CE55CE" w:rsidRDefault="00640F33" w:rsidP="00551179">
            <w:pPr>
              <w:pStyle w:val="TableText0"/>
              <w:rPr>
                <w:sz w:val="17"/>
                <w:szCs w:val="17"/>
              </w:rPr>
            </w:pPr>
            <w:r w:rsidRPr="00CE55CE">
              <w:rPr>
                <w:sz w:val="17"/>
                <w:szCs w:val="17"/>
              </w:rPr>
              <w:t>Memorandum of Understanding</w:t>
            </w:r>
          </w:p>
        </w:tc>
      </w:tr>
      <w:tr w:rsidR="00551179" w:rsidRPr="00C75894" w14:paraId="53FF33F3" w14:textId="77777777" w:rsidTr="0013010D">
        <w:tc>
          <w:tcPr>
            <w:tcW w:w="2835" w:type="dxa"/>
          </w:tcPr>
          <w:p w14:paraId="25553800" w14:textId="6F80CDA2" w:rsidR="00551179" w:rsidRPr="006F7246" w:rsidRDefault="00C40D22" w:rsidP="00551179">
            <w:pPr>
              <w:pStyle w:val="TableText0"/>
              <w:rPr>
                <w:sz w:val="17"/>
                <w:szCs w:val="17"/>
              </w:rPr>
            </w:pPr>
            <w:r w:rsidRPr="006F7246">
              <w:rPr>
                <w:sz w:val="17"/>
                <w:szCs w:val="17"/>
              </w:rPr>
              <w:t>MPS Program</w:t>
            </w:r>
          </w:p>
        </w:tc>
        <w:tc>
          <w:tcPr>
            <w:tcW w:w="6803" w:type="dxa"/>
          </w:tcPr>
          <w:p w14:paraId="51520E66" w14:textId="25459CD7" w:rsidR="00551179" w:rsidRPr="006F7246" w:rsidRDefault="00551179" w:rsidP="00551179">
            <w:pPr>
              <w:pStyle w:val="TableText0"/>
              <w:rPr>
                <w:sz w:val="17"/>
                <w:szCs w:val="17"/>
              </w:rPr>
            </w:pPr>
            <w:r w:rsidRPr="006F7246">
              <w:rPr>
                <w:sz w:val="17"/>
                <w:szCs w:val="17"/>
              </w:rPr>
              <w:t xml:space="preserve">Medical Physicists Support Program </w:t>
            </w:r>
          </w:p>
        </w:tc>
      </w:tr>
      <w:tr w:rsidR="00E11FD7" w:rsidRPr="00C75894" w14:paraId="443FC3E8"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5D1BA4F7" w14:textId="77F15D3B" w:rsidR="00E11FD7" w:rsidRPr="006F7246" w:rsidRDefault="00E11FD7" w:rsidP="00551179">
            <w:pPr>
              <w:pStyle w:val="TableText0"/>
              <w:rPr>
                <w:sz w:val="17"/>
                <w:szCs w:val="17"/>
              </w:rPr>
            </w:pPr>
            <w:r w:rsidRPr="006F7246">
              <w:rPr>
                <w:sz w:val="17"/>
                <w:szCs w:val="17"/>
              </w:rPr>
              <w:t>MRI</w:t>
            </w:r>
          </w:p>
        </w:tc>
        <w:tc>
          <w:tcPr>
            <w:tcW w:w="6803" w:type="dxa"/>
          </w:tcPr>
          <w:p w14:paraId="089481AF" w14:textId="088B5051" w:rsidR="00E11FD7" w:rsidRPr="006F7246" w:rsidRDefault="00E11FD7" w:rsidP="00551179">
            <w:pPr>
              <w:pStyle w:val="TableText0"/>
              <w:rPr>
                <w:sz w:val="17"/>
                <w:szCs w:val="17"/>
              </w:rPr>
            </w:pPr>
            <w:r w:rsidRPr="006F7246">
              <w:rPr>
                <w:sz w:val="17"/>
                <w:szCs w:val="17"/>
              </w:rPr>
              <w:t>Magnetic resonance imaging</w:t>
            </w:r>
          </w:p>
        </w:tc>
      </w:tr>
      <w:tr w:rsidR="00B07C66" w:rsidRPr="00C75894" w14:paraId="7494AEE0" w14:textId="77777777" w:rsidTr="0013010D">
        <w:tc>
          <w:tcPr>
            <w:tcW w:w="2835" w:type="dxa"/>
          </w:tcPr>
          <w:p w14:paraId="5D5F5C7B" w14:textId="5052FA12" w:rsidR="00B07C66" w:rsidRPr="00DC27F5" w:rsidRDefault="00B07C66" w:rsidP="00551179">
            <w:pPr>
              <w:pStyle w:val="TableText0"/>
              <w:rPr>
                <w:sz w:val="17"/>
                <w:szCs w:val="17"/>
              </w:rPr>
            </w:pPr>
            <w:r w:rsidRPr="00DC27F5">
              <w:rPr>
                <w:sz w:val="17"/>
                <w:szCs w:val="17"/>
              </w:rPr>
              <w:t>NHWDS</w:t>
            </w:r>
          </w:p>
        </w:tc>
        <w:tc>
          <w:tcPr>
            <w:tcW w:w="6803" w:type="dxa"/>
          </w:tcPr>
          <w:p w14:paraId="2E6BB1E7" w14:textId="096779F8" w:rsidR="00B07C66" w:rsidRPr="00DC27F5" w:rsidRDefault="00B07C66" w:rsidP="00551179">
            <w:pPr>
              <w:pStyle w:val="TableText0"/>
              <w:rPr>
                <w:sz w:val="17"/>
                <w:szCs w:val="17"/>
              </w:rPr>
            </w:pPr>
            <w:r w:rsidRPr="00CE55CE">
              <w:rPr>
                <w:sz w:val="17"/>
                <w:szCs w:val="17"/>
              </w:rPr>
              <w:t>National Health Workforce Dataset</w:t>
            </w:r>
          </w:p>
        </w:tc>
      </w:tr>
      <w:tr w:rsidR="00D05B5D" w:rsidRPr="00C75894" w14:paraId="2865B3E0"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58814DAE" w14:textId="73C7310F" w:rsidR="00D05B5D" w:rsidRPr="00DC27F5" w:rsidRDefault="00D05B5D" w:rsidP="00551179">
            <w:pPr>
              <w:pStyle w:val="TableText0"/>
              <w:rPr>
                <w:sz w:val="17"/>
                <w:szCs w:val="17"/>
              </w:rPr>
            </w:pPr>
            <w:r>
              <w:rPr>
                <w:sz w:val="17"/>
                <w:szCs w:val="17"/>
              </w:rPr>
              <w:t>NRAS</w:t>
            </w:r>
          </w:p>
        </w:tc>
        <w:tc>
          <w:tcPr>
            <w:tcW w:w="6803" w:type="dxa"/>
          </w:tcPr>
          <w:p w14:paraId="738DF7BB" w14:textId="605BB61A" w:rsidR="00D05B5D" w:rsidRPr="00CE55CE" w:rsidRDefault="00D05B5D" w:rsidP="00551179">
            <w:pPr>
              <w:pStyle w:val="TableText0"/>
              <w:rPr>
                <w:sz w:val="17"/>
                <w:szCs w:val="17"/>
              </w:rPr>
            </w:pPr>
            <w:r w:rsidRPr="00D05B5D">
              <w:rPr>
                <w:sz w:val="17"/>
                <w:szCs w:val="17"/>
              </w:rPr>
              <w:t>National Registration and Accreditation Scheme</w:t>
            </w:r>
          </w:p>
        </w:tc>
      </w:tr>
      <w:tr w:rsidR="003B7C9D" w:rsidRPr="00C75894" w14:paraId="5C935D23" w14:textId="77777777" w:rsidTr="00FC1649">
        <w:tc>
          <w:tcPr>
            <w:tcW w:w="2835" w:type="dxa"/>
          </w:tcPr>
          <w:p w14:paraId="0343DE4E" w14:textId="1F84756E" w:rsidR="003B7C9D" w:rsidRPr="002D4500" w:rsidRDefault="003B7C9D" w:rsidP="00551179">
            <w:pPr>
              <w:pStyle w:val="TableText0"/>
              <w:rPr>
                <w:sz w:val="17"/>
                <w:szCs w:val="17"/>
              </w:rPr>
            </w:pPr>
            <w:r>
              <w:rPr>
                <w:sz w:val="17"/>
                <w:szCs w:val="17"/>
              </w:rPr>
              <w:t>NSW</w:t>
            </w:r>
          </w:p>
        </w:tc>
        <w:tc>
          <w:tcPr>
            <w:tcW w:w="6803" w:type="dxa"/>
          </w:tcPr>
          <w:p w14:paraId="5DB3FA3A" w14:textId="01E796E7" w:rsidR="003B7C9D" w:rsidRPr="00CE55CE" w:rsidRDefault="003B7C9D" w:rsidP="00551179">
            <w:pPr>
              <w:pStyle w:val="TableText0"/>
              <w:rPr>
                <w:sz w:val="17"/>
                <w:szCs w:val="17"/>
              </w:rPr>
            </w:pPr>
            <w:r>
              <w:rPr>
                <w:sz w:val="17"/>
                <w:szCs w:val="17"/>
              </w:rPr>
              <w:t>New South Wales</w:t>
            </w:r>
          </w:p>
        </w:tc>
      </w:tr>
      <w:tr w:rsidR="00743787" w:rsidRPr="00C75894" w14:paraId="06B09CB4"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62B1B799" w14:textId="5DFABA3F" w:rsidR="00743787" w:rsidRPr="00DC27F5" w:rsidRDefault="00743787" w:rsidP="00551179">
            <w:pPr>
              <w:pStyle w:val="TableText0"/>
              <w:rPr>
                <w:sz w:val="17"/>
                <w:szCs w:val="17"/>
              </w:rPr>
            </w:pPr>
            <w:r w:rsidRPr="00DC27F5">
              <w:rPr>
                <w:sz w:val="17"/>
                <w:szCs w:val="17"/>
              </w:rPr>
              <w:t>PSG</w:t>
            </w:r>
          </w:p>
        </w:tc>
        <w:tc>
          <w:tcPr>
            <w:tcW w:w="6803" w:type="dxa"/>
          </w:tcPr>
          <w:p w14:paraId="56DD6676" w14:textId="7487EE91" w:rsidR="00743787" w:rsidRPr="00DC27F5" w:rsidRDefault="00743787" w:rsidP="00551179">
            <w:pPr>
              <w:pStyle w:val="TableText0"/>
              <w:rPr>
                <w:sz w:val="17"/>
                <w:szCs w:val="17"/>
              </w:rPr>
            </w:pPr>
            <w:r w:rsidRPr="00DC27F5">
              <w:rPr>
                <w:sz w:val="17"/>
                <w:szCs w:val="17"/>
              </w:rPr>
              <w:t>Project Steering Group</w:t>
            </w:r>
          </w:p>
        </w:tc>
      </w:tr>
      <w:tr w:rsidR="003B7C9D" w:rsidRPr="00C75894" w14:paraId="55193ECB" w14:textId="77777777" w:rsidTr="00FC1649">
        <w:tc>
          <w:tcPr>
            <w:tcW w:w="2835" w:type="dxa"/>
          </w:tcPr>
          <w:p w14:paraId="134B2939" w14:textId="0D26FECF" w:rsidR="003B7C9D" w:rsidRPr="002D4500" w:rsidRDefault="003B7C9D" w:rsidP="00551179">
            <w:pPr>
              <w:pStyle w:val="TableText0"/>
              <w:rPr>
                <w:sz w:val="17"/>
                <w:szCs w:val="17"/>
              </w:rPr>
            </w:pPr>
            <w:r>
              <w:rPr>
                <w:sz w:val="17"/>
                <w:szCs w:val="17"/>
              </w:rPr>
              <w:t>QLD</w:t>
            </w:r>
          </w:p>
        </w:tc>
        <w:tc>
          <w:tcPr>
            <w:tcW w:w="6803" w:type="dxa"/>
          </w:tcPr>
          <w:p w14:paraId="45792F52" w14:textId="58E72695" w:rsidR="003B7C9D" w:rsidRPr="002D4500" w:rsidRDefault="003B7C9D" w:rsidP="00551179">
            <w:pPr>
              <w:pStyle w:val="TableText0"/>
              <w:rPr>
                <w:sz w:val="17"/>
                <w:szCs w:val="17"/>
              </w:rPr>
            </w:pPr>
            <w:r>
              <w:rPr>
                <w:sz w:val="17"/>
                <w:szCs w:val="17"/>
              </w:rPr>
              <w:t>Queensland</w:t>
            </w:r>
          </w:p>
        </w:tc>
      </w:tr>
      <w:tr w:rsidR="0003085A" w:rsidRPr="00C75894" w14:paraId="4384483D"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39D6D4D3" w14:textId="7B28E6C4" w:rsidR="0003085A" w:rsidRPr="00BC3973" w:rsidRDefault="0003085A" w:rsidP="000D61C3">
            <w:pPr>
              <w:pStyle w:val="TableText0"/>
              <w:rPr>
                <w:sz w:val="17"/>
                <w:szCs w:val="17"/>
              </w:rPr>
            </w:pPr>
            <w:r w:rsidRPr="00BC3973">
              <w:rPr>
                <w:sz w:val="17"/>
                <w:szCs w:val="17"/>
              </w:rPr>
              <w:t>QMP</w:t>
            </w:r>
          </w:p>
        </w:tc>
        <w:tc>
          <w:tcPr>
            <w:tcW w:w="6803" w:type="dxa"/>
          </w:tcPr>
          <w:p w14:paraId="01AF7766" w14:textId="7D08F8F6" w:rsidR="0003085A" w:rsidRPr="00BC3973" w:rsidRDefault="0003085A" w:rsidP="000D61C3">
            <w:pPr>
              <w:pStyle w:val="TableText0"/>
              <w:rPr>
                <w:sz w:val="17"/>
                <w:szCs w:val="17"/>
              </w:rPr>
            </w:pPr>
            <w:r w:rsidRPr="00BC3973">
              <w:rPr>
                <w:sz w:val="17"/>
                <w:szCs w:val="17"/>
              </w:rPr>
              <w:t xml:space="preserve">Qualified </w:t>
            </w:r>
            <w:r w:rsidR="00E6699F">
              <w:rPr>
                <w:sz w:val="17"/>
                <w:szCs w:val="17"/>
              </w:rPr>
              <w:t>M</w:t>
            </w:r>
            <w:r w:rsidRPr="00BC3973">
              <w:rPr>
                <w:sz w:val="17"/>
                <w:szCs w:val="17"/>
              </w:rPr>
              <w:t xml:space="preserve">edical </w:t>
            </w:r>
            <w:r w:rsidR="00E6699F">
              <w:rPr>
                <w:sz w:val="17"/>
                <w:szCs w:val="17"/>
              </w:rPr>
              <w:t>P</w:t>
            </w:r>
            <w:r w:rsidRPr="00BC3973">
              <w:rPr>
                <w:sz w:val="17"/>
                <w:szCs w:val="17"/>
              </w:rPr>
              <w:t>hysicist</w:t>
            </w:r>
          </w:p>
        </w:tc>
      </w:tr>
      <w:tr w:rsidR="00FC1767" w:rsidRPr="00C75894" w14:paraId="7ABEB322" w14:textId="77777777" w:rsidTr="0013010D">
        <w:tc>
          <w:tcPr>
            <w:tcW w:w="2835" w:type="dxa"/>
          </w:tcPr>
          <w:p w14:paraId="047813AB" w14:textId="6FABF274" w:rsidR="00FC1767" w:rsidRPr="00DC27F5" w:rsidRDefault="00FC1767" w:rsidP="000D61C3">
            <w:pPr>
              <w:pStyle w:val="TableText0"/>
              <w:rPr>
                <w:sz w:val="17"/>
                <w:szCs w:val="17"/>
              </w:rPr>
            </w:pPr>
            <w:r w:rsidRPr="00DC27F5">
              <w:rPr>
                <w:sz w:val="17"/>
                <w:szCs w:val="17"/>
              </w:rPr>
              <w:t>RANZCR</w:t>
            </w:r>
          </w:p>
        </w:tc>
        <w:tc>
          <w:tcPr>
            <w:tcW w:w="6803" w:type="dxa"/>
          </w:tcPr>
          <w:p w14:paraId="0D9726F8" w14:textId="01C7833F" w:rsidR="00FC1767" w:rsidRPr="00DC27F5" w:rsidRDefault="00FC1767" w:rsidP="000D61C3">
            <w:pPr>
              <w:pStyle w:val="TableText0"/>
              <w:rPr>
                <w:sz w:val="17"/>
                <w:szCs w:val="17"/>
              </w:rPr>
            </w:pPr>
            <w:r w:rsidRPr="00CE55CE">
              <w:rPr>
                <w:sz w:val="17"/>
                <w:szCs w:val="17"/>
              </w:rPr>
              <w:t>Royal Australian and New Zealand College of Radiologists</w:t>
            </w:r>
          </w:p>
        </w:tc>
      </w:tr>
      <w:tr w:rsidR="00C32AB6" w:rsidRPr="00C75894" w14:paraId="3C9C9801"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60E211A6" w14:textId="757597B0" w:rsidR="00C32AB6" w:rsidRPr="00CE55CE" w:rsidRDefault="00C32AB6" w:rsidP="000D61C3">
            <w:pPr>
              <w:pStyle w:val="TableText0"/>
              <w:rPr>
                <w:sz w:val="17"/>
                <w:szCs w:val="17"/>
              </w:rPr>
            </w:pPr>
            <w:r w:rsidRPr="00CE55CE">
              <w:rPr>
                <w:sz w:val="17"/>
                <w:szCs w:val="17"/>
              </w:rPr>
              <w:t>RIFP</w:t>
            </w:r>
          </w:p>
        </w:tc>
        <w:tc>
          <w:tcPr>
            <w:tcW w:w="6803" w:type="dxa"/>
          </w:tcPr>
          <w:p w14:paraId="5BCC0304" w14:textId="10D6C35E" w:rsidR="00C32AB6" w:rsidRPr="00CE55CE" w:rsidRDefault="00C32AB6" w:rsidP="000D61C3">
            <w:pPr>
              <w:pStyle w:val="TableText0"/>
              <w:rPr>
                <w:sz w:val="17"/>
                <w:szCs w:val="17"/>
              </w:rPr>
            </w:pPr>
            <w:r w:rsidRPr="00CE55CE">
              <w:rPr>
                <w:sz w:val="17"/>
                <w:szCs w:val="17"/>
              </w:rPr>
              <w:t xml:space="preserve">Regional </w:t>
            </w:r>
            <w:r w:rsidR="00B6134F" w:rsidRPr="00B6134F">
              <w:rPr>
                <w:sz w:val="17"/>
                <w:szCs w:val="17"/>
              </w:rPr>
              <w:t>Innovations</w:t>
            </w:r>
            <w:r w:rsidRPr="00CE55CE">
              <w:rPr>
                <w:sz w:val="17"/>
                <w:szCs w:val="17"/>
              </w:rPr>
              <w:t xml:space="preserve"> Funding Pool</w:t>
            </w:r>
          </w:p>
        </w:tc>
      </w:tr>
      <w:tr w:rsidR="00FC1767" w:rsidRPr="00C75894" w14:paraId="5833FC7F" w14:textId="77777777" w:rsidTr="0013010D">
        <w:tc>
          <w:tcPr>
            <w:tcW w:w="2835" w:type="dxa"/>
          </w:tcPr>
          <w:p w14:paraId="299960B2" w14:textId="25DBC904" w:rsidR="00FC1767" w:rsidRPr="00CE55CE" w:rsidRDefault="00FC1767" w:rsidP="000D61C3">
            <w:pPr>
              <w:pStyle w:val="TableText0"/>
              <w:rPr>
                <w:sz w:val="17"/>
                <w:szCs w:val="17"/>
              </w:rPr>
            </w:pPr>
            <w:r w:rsidRPr="00CE55CE">
              <w:rPr>
                <w:sz w:val="17"/>
                <w:szCs w:val="17"/>
              </w:rPr>
              <w:t>ROAC</w:t>
            </w:r>
          </w:p>
        </w:tc>
        <w:tc>
          <w:tcPr>
            <w:tcW w:w="6803" w:type="dxa"/>
          </w:tcPr>
          <w:p w14:paraId="7C1F4F59" w14:textId="6ABCAE23" w:rsidR="00FC1767" w:rsidRPr="00CE55CE" w:rsidRDefault="00FC1767" w:rsidP="000D61C3">
            <w:pPr>
              <w:pStyle w:val="TableText0"/>
              <w:rPr>
                <w:sz w:val="17"/>
                <w:szCs w:val="17"/>
              </w:rPr>
            </w:pPr>
            <w:r w:rsidRPr="00CE55CE">
              <w:rPr>
                <w:sz w:val="17"/>
                <w:szCs w:val="17"/>
              </w:rPr>
              <w:t>Radiation Oncology Alliance Coalition</w:t>
            </w:r>
          </w:p>
        </w:tc>
      </w:tr>
      <w:tr w:rsidR="00551179" w:rsidRPr="00C75894" w14:paraId="0026056F"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366DC955" w14:textId="328E70C4" w:rsidR="00551179" w:rsidRPr="00C32AB6" w:rsidRDefault="00551179" w:rsidP="00551179">
            <w:pPr>
              <w:pStyle w:val="TableText0"/>
              <w:rPr>
                <w:sz w:val="17"/>
                <w:szCs w:val="17"/>
              </w:rPr>
            </w:pPr>
            <w:r w:rsidRPr="00C32AB6">
              <w:rPr>
                <w:sz w:val="17"/>
                <w:szCs w:val="17"/>
              </w:rPr>
              <w:t>ROMP</w:t>
            </w:r>
          </w:p>
        </w:tc>
        <w:tc>
          <w:tcPr>
            <w:tcW w:w="6803" w:type="dxa"/>
          </w:tcPr>
          <w:p w14:paraId="2CD19AA2" w14:textId="2CCA73C3" w:rsidR="00551179" w:rsidRPr="00C32AB6" w:rsidRDefault="00551179" w:rsidP="00551179">
            <w:pPr>
              <w:pStyle w:val="TableText0"/>
              <w:rPr>
                <w:sz w:val="17"/>
                <w:szCs w:val="17"/>
              </w:rPr>
            </w:pPr>
            <w:r w:rsidRPr="00C32AB6">
              <w:rPr>
                <w:sz w:val="17"/>
                <w:szCs w:val="17"/>
              </w:rPr>
              <w:t>Radiation Oncology Medical Physicist</w:t>
            </w:r>
          </w:p>
        </w:tc>
      </w:tr>
      <w:tr w:rsidR="00551179" w:rsidRPr="00C75894" w14:paraId="62D71898" w14:textId="77777777" w:rsidTr="0013010D">
        <w:tc>
          <w:tcPr>
            <w:tcW w:w="2835" w:type="dxa"/>
          </w:tcPr>
          <w:p w14:paraId="41BE6770" w14:textId="4DE6BEC0" w:rsidR="00551179" w:rsidRPr="006F7246" w:rsidRDefault="00551179" w:rsidP="00551179">
            <w:pPr>
              <w:pStyle w:val="TableText0"/>
              <w:rPr>
                <w:sz w:val="17"/>
                <w:szCs w:val="17"/>
              </w:rPr>
            </w:pPr>
            <w:r w:rsidRPr="006F7246">
              <w:rPr>
                <w:sz w:val="17"/>
                <w:szCs w:val="17"/>
              </w:rPr>
              <w:t>RPS</w:t>
            </w:r>
          </w:p>
        </w:tc>
        <w:tc>
          <w:tcPr>
            <w:tcW w:w="6803" w:type="dxa"/>
          </w:tcPr>
          <w:p w14:paraId="40930296" w14:textId="1D2FB682" w:rsidR="00551179" w:rsidRPr="006F7246" w:rsidRDefault="00551179" w:rsidP="00551179">
            <w:pPr>
              <w:pStyle w:val="TableText0"/>
              <w:rPr>
                <w:sz w:val="17"/>
                <w:szCs w:val="17"/>
              </w:rPr>
            </w:pPr>
            <w:r w:rsidRPr="006F7246">
              <w:rPr>
                <w:sz w:val="17"/>
                <w:szCs w:val="17"/>
              </w:rPr>
              <w:t>Radiopharmaceutical Scien</w:t>
            </w:r>
            <w:r w:rsidR="00AF6791" w:rsidRPr="006F7246">
              <w:rPr>
                <w:sz w:val="17"/>
                <w:szCs w:val="17"/>
              </w:rPr>
              <w:t>tist</w:t>
            </w:r>
          </w:p>
        </w:tc>
      </w:tr>
      <w:tr w:rsidR="003B7C9D" w:rsidRPr="00C75894" w14:paraId="3705F9CB" w14:textId="77777777" w:rsidTr="00017D04">
        <w:trPr>
          <w:cnfStyle w:val="000000100000" w:firstRow="0" w:lastRow="0" w:firstColumn="0" w:lastColumn="0" w:oddVBand="0" w:evenVBand="0" w:oddHBand="1" w:evenHBand="0" w:firstRowFirstColumn="0" w:firstRowLastColumn="0" w:lastRowFirstColumn="0" w:lastRowLastColumn="0"/>
        </w:trPr>
        <w:tc>
          <w:tcPr>
            <w:tcW w:w="2835" w:type="dxa"/>
          </w:tcPr>
          <w:p w14:paraId="7DB16EFA" w14:textId="7299AD5E" w:rsidR="003B7C9D" w:rsidRDefault="003B7C9D" w:rsidP="000D61C3">
            <w:pPr>
              <w:pStyle w:val="TableText0"/>
              <w:rPr>
                <w:sz w:val="17"/>
                <w:szCs w:val="17"/>
              </w:rPr>
            </w:pPr>
            <w:r>
              <w:rPr>
                <w:sz w:val="17"/>
                <w:szCs w:val="17"/>
              </w:rPr>
              <w:t>SA</w:t>
            </w:r>
          </w:p>
        </w:tc>
        <w:tc>
          <w:tcPr>
            <w:tcW w:w="6803" w:type="dxa"/>
          </w:tcPr>
          <w:p w14:paraId="1AFB5559" w14:textId="33D1FCC6" w:rsidR="003B7C9D" w:rsidRPr="006F7246" w:rsidRDefault="003B7C9D" w:rsidP="000D61C3">
            <w:pPr>
              <w:pStyle w:val="TableText0"/>
              <w:rPr>
                <w:sz w:val="17"/>
                <w:szCs w:val="17"/>
              </w:rPr>
            </w:pPr>
            <w:r>
              <w:rPr>
                <w:sz w:val="17"/>
                <w:szCs w:val="17"/>
              </w:rPr>
              <w:t>South Australia</w:t>
            </w:r>
          </w:p>
        </w:tc>
      </w:tr>
      <w:tr w:rsidR="00F151CF" w:rsidRPr="00C75894" w14:paraId="485FE16B" w14:textId="77777777" w:rsidTr="0013010D">
        <w:tc>
          <w:tcPr>
            <w:tcW w:w="2835" w:type="dxa"/>
          </w:tcPr>
          <w:p w14:paraId="6BDB5006" w14:textId="6331161B" w:rsidR="000D61C3" w:rsidRPr="006F7246" w:rsidRDefault="004D7CC1" w:rsidP="000D61C3">
            <w:pPr>
              <w:pStyle w:val="TableText0"/>
              <w:rPr>
                <w:sz w:val="17"/>
                <w:szCs w:val="17"/>
              </w:rPr>
            </w:pPr>
            <w:r>
              <w:rPr>
                <w:sz w:val="17"/>
                <w:szCs w:val="17"/>
              </w:rPr>
              <w:t>STP</w:t>
            </w:r>
          </w:p>
        </w:tc>
        <w:tc>
          <w:tcPr>
            <w:tcW w:w="6803" w:type="dxa"/>
          </w:tcPr>
          <w:p w14:paraId="5799F52F" w14:textId="5A1348B5" w:rsidR="000D61C3" w:rsidRPr="006F7246" w:rsidRDefault="004D7CC1" w:rsidP="000D61C3">
            <w:pPr>
              <w:pStyle w:val="TableText0"/>
              <w:rPr>
                <w:sz w:val="17"/>
                <w:szCs w:val="17"/>
              </w:rPr>
            </w:pPr>
            <w:r w:rsidRPr="006F7246">
              <w:rPr>
                <w:sz w:val="17"/>
                <w:szCs w:val="17"/>
              </w:rPr>
              <w:t>Specialist Training Program</w:t>
            </w:r>
          </w:p>
        </w:tc>
      </w:tr>
      <w:tr w:rsidR="00551179" w:rsidRPr="00C75894" w14:paraId="5325CE95" w14:textId="77777777" w:rsidTr="0013010D">
        <w:trPr>
          <w:cnfStyle w:val="000000100000" w:firstRow="0" w:lastRow="0" w:firstColumn="0" w:lastColumn="0" w:oddVBand="0" w:evenVBand="0" w:oddHBand="1" w:evenHBand="0" w:firstRowFirstColumn="0" w:firstRowLastColumn="0" w:lastRowFirstColumn="0" w:lastRowLastColumn="0"/>
        </w:trPr>
        <w:tc>
          <w:tcPr>
            <w:tcW w:w="2835" w:type="dxa"/>
          </w:tcPr>
          <w:p w14:paraId="3B0747A9" w14:textId="0C4C354E" w:rsidR="00551179" w:rsidRPr="006F7246" w:rsidRDefault="00551179" w:rsidP="00551179">
            <w:pPr>
              <w:pStyle w:val="TableText0"/>
              <w:rPr>
                <w:sz w:val="17"/>
                <w:szCs w:val="17"/>
              </w:rPr>
            </w:pPr>
            <w:r w:rsidRPr="006F7246">
              <w:rPr>
                <w:sz w:val="17"/>
                <w:szCs w:val="17"/>
              </w:rPr>
              <w:t>TEAP</w:t>
            </w:r>
          </w:p>
        </w:tc>
        <w:tc>
          <w:tcPr>
            <w:tcW w:w="6803" w:type="dxa"/>
          </w:tcPr>
          <w:p w14:paraId="2154F41D" w14:textId="0917E113" w:rsidR="00551179" w:rsidRPr="006F7246" w:rsidRDefault="00551179" w:rsidP="00551179">
            <w:pPr>
              <w:pStyle w:val="TableText0"/>
              <w:rPr>
                <w:sz w:val="17"/>
                <w:szCs w:val="17"/>
              </w:rPr>
            </w:pPr>
            <w:r w:rsidRPr="006F7246">
              <w:rPr>
                <w:sz w:val="17"/>
                <w:szCs w:val="17"/>
              </w:rPr>
              <w:t xml:space="preserve">Training, Education and Assessment Program </w:t>
            </w:r>
          </w:p>
        </w:tc>
      </w:tr>
      <w:tr w:rsidR="000D61C3" w:rsidRPr="00C75894" w14:paraId="2F8E9880" w14:textId="77777777" w:rsidTr="0013010D">
        <w:trPr>
          <w:trHeight w:val="89"/>
        </w:trPr>
        <w:tc>
          <w:tcPr>
            <w:tcW w:w="2835" w:type="dxa"/>
          </w:tcPr>
          <w:p w14:paraId="12AB6EB5" w14:textId="7A7F55D8" w:rsidR="000D61C3" w:rsidRPr="006F7246" w:rsidRDefault="000D61C3" w:rsidP="000D61C3">
            <w:pPr>
              <w:pStyle w:val="TableText0"/>
              <w:rPr>
                <w:sz w:val="17"/>
                <w:szCs w:val="17"/>
              </w:rPr>
            </w:pPr>
            <w:r w:rsidRPr="006F7246">
              <w:rPr>
                <w:sz w:val="17"/>
                <w:szCs w:val="17"/>
              </w:rPr>
              <w:t>The Department</w:t>
            </w:r>
          </w:p>
        </w:tc>
        <w:tc>
          <w:tcPr>
            <w:tcW w:w="6803" w:type="dxa"/>
          </w:tcPr>
          <w:p w14:paraId="55C2DC69" w14:textId="04C1E7DB" w:rsidR="000D61C3" w:rsidRPr="006F7246" w:rsidRDefault="000D61C3" w:rsidP="000D61C3">
            <w:pPr>
              <w:pStyle w:val="TableText0"/>
              <w:rPr>
                <w:sz w:val="17"/>
                <w:szCs w:val="17"/>
              </w:rPr>
            </w:pPr>
            <w:r w:rsidRPr="006F7246">
              <w:rPr>
                <w:sz w:val="17"/>
                <w:szCs w:val="17"/>
              </w:rPr>
              <w:t xml:space="preserve">The </w:t>
            </w:r>
            <w:r w:rsidR="00600467">
              <w:rPr>
                <w:sz w:val="17"/>
                <w:szCs w:val="17"/>
              </w:rPr>
              <w:t>Department of Health, Disability and Ageing</w:t>
            </w:r>
          </w:p>
        </w:tc>
      </w:tr>
      <w:tr w:rsidR="003B7C9D" w:rsidRPr="00C75894" w14:paraId="2B072B73" w14:textId="77777777" w:rsidTr="00017D04">
        <w:trPr>
          <w:cnfStyle w:val="000000100000" w:firstRow="0" w:lastRow="0" w:firstColumn="0" w:lastColumn="0" w:oddVBand="0" w:evenVBand="0" w:oddHBand="1" w:evenHBand="0" w:firstRowFirstColumn="0" w:firstRowLastColumn="0" w:lastRowFirstColumn="0" w:lastRowLastColumn="0"/>
          <w:trHeight w:val="89"/>
        </w:trPr>
        <w:tc>
          <w:tcPr>
            <w:tcW w:w="2835" w:type="dxa"/>
          </w:tcPr>
          <w:p w14:paraId="5AFC5629" w14:textId="4FDE1344" w:rsidR="003B7C9D" w:rsidRPr="006F7246" w:rsidRDefault="003B7C9D" w:rsidP="000D61C3">
            <w:pPr>
              <w:pStyle w:val="TableText0"/>
              <w:rPr>
                <w:sz w:val="17"/>
                <w:szCs w:val="17"/>
              </w:rPr>
            </w:pPr>
            <w:r>
              <w:rPr>
                <w:sz w:val="17"/>
                <w:szCs w:val="17"/>
              </w:rPr>
              <w:t>VIC</w:t>
            </w:r>
          </w:p>
        </w:tc>
        <w:tc>
          <w:tcPr>
            <w:tcW w:w="6803" w:type="dxa"/>
          </w:tcPr>
          <w:p w14:paraId="1D824E6B" w14:textId="1B9E0602" w:rsidR="003B7C9D" w:rsidRPr="006F7246" w:rsidRDefault="003B7C9D" w:rsidP="000D61C3">
            <w:pPr>
              <w:pStyle w:val="TableText0"/>
              <w:rPr>
                <w:sz w:val="17"/>
                <w:szCs w:val="17"/>
              </w:rPr>
            </w:pPr>
            <w:r>
              <w:rPr>
                <w:sz w:val="17"/>
                <w:szCs w:val="17"/>
              </w:rPr>
              <w:t>Victoria</w:t>
            </w:r>
          </w:p>
        </w:tc>
      </w:tr>
      <w:tr w:rsidR="003B7C9D" w:rsidRPr="00C75894" w14:paraId="7BB9468D" w14:textId="77777777" w:rsidTr="00FC1649">
        <w:trPr>
          <w:trHeight w:val="89"/>
        </w:trPr>
        <w:tc>
          <w:tcPr>
            <w:tcW w:w="2835" w:type="dxa"/>
          </w:tcPr>
          <w:p w14:paraId="61745B24" w14:textId="31C401C0" w:rsidR="003B7C9D" w:rsidRPr="006F7246" w:rsidRDefault="003B7C9D" w:rsidP="000D61C3">
            <w:pPr>
              <w:pStyle w:val="TableText0"/>
              <w:rPr>
                <w:sz w:val="17"/>
                <w:szCs w:val="17"/>
              </w:rPr>
            </w:pPr>
            <w:r>
              <w:rPr>
                <w:sz w:val="17"/>
                <w:szCs w:val="17"/>
              </w:rPr>
              <w:t>WA</w:t>
            </w:r>
          </w:p>
        </w:tc>
        <w:tc>
          <w:tcPr>
            <w:tcW w:w="6803" w:type="dxa"/>
          </w:tcPr>
          <w:p w14:paraId="47D97062" w14:textId="75D1CEA2" w:rsidR="003B7C9D" w:rsidRPr="006F7246" w:rsidRDefault="003B7C9D" w:rsidP="000D61C3">
            <w:pPr>
              <w:pStyle w:val="TableText0"/>
              <w:rPr>
                <w:sz w:val="17"/>
                <w:szCs w:val="17"/>
              </w:rPr>
            </w:pPr>
            <w:r>
              <w:rPr>
                <w:sz w:val="17"/>
                <w:szCs w:val="17"/>
              </w:rPr>
              <w:t>Western Australia</w:t>
            </w:r>
          </w:p>
        </w:tc>
      </w:tr>
      <w:tr w:rsidR="00A54F1F" w:rsidRPr="00C75894" w14:paraId="052F7A14" w14:textId="77777777">
        <w:trPr>
          <w:cnfStyle w:val="000000100000" w:firstRow="0" w:lastRow="0" w:firstColumn="0" w:lastColumn="0" w:oddVBand="0" w:evenVBand="0" w:oddHBand="1" w:evenHBand="0" w:firstRowFirstColumn="0" w:firstRowLastColumn="0" w:lastRowFirstColumn="0" w:lastRowLastColumn="0"/>
          <w:trHeight w:val="89"/>
        </w:trPr>
        <w:tc>
          <w:tcPr>
            <w:tcW w:w="9638" w:type="dxa"/>
            <w:gridSpan w:val="2"/>
          </w:tcPr>
          <w:p w14:paraId="4C94D801" w14:textId="6541709A" w:rsidR="00A54F1F" w:rsidRDefault="00B40D40" w:rsidP="000D61C3">
            <w:pPr>
              <w:pStyle w:val="TableText0"/>
              <w:rPr>
                <w:sz w:val="17"/>
                <w:szCs w:val="17"/>
              </w:rPr>
            </w:pPr>
            <w:r>
              <w:rPr>
                <w:sz w:val="17"/>
                <w:szCs w:val="17"/>
              </w:rPr>
              <w:t xml:space="preserve">Note on terminology: The terms ‘trainee’ and ‘registrar’ are used interchangeably throughout. This </w:t>
            </w:r>
            <w:proofErr w:type="gramStart"/>
            <w:r>
              <w:rPr>
                <w:sz w:val="17"/>
                <w:szCs w:val="17"/>
              </w:rPr>
              <w:t>is a reflection of</w:t>
            </w:r>
            <w:proofErr w:type="gramEnd"/>
            <w:r>
              <w:rPr>
                <w:sz w:val="17"/>
                <w:szCs w:val="17"/>
              </w:rPr>
              <w:t xml:space="preserve"> the </w:t>
            </w:r>
            <w:r w:rsidR="00056415">
              <w:rPr>
                <w:sz w:val="17"/>
                <w:szCs w:val="17"/>
              </w:rPr>
              <w:t>different terminology used in program documentation and used by stakeholders during consultations.</w:t>
            </w:r>
          </w:p>
        </w:tc>
      </w:tr>
    </w:tbl>
    <w:p w14:paraId="44154D7A" w14:textId="77777777" w:rsidR="00283559" w:rsidRDefault="00283559">
      <w:pPr>
        <w:spacing w:before="0" w:after="160" w:line="259" w:lineRule="auto"/>
      </w:pPr>
      <w:bookmarkStart w:id="0" w:name="_Toc184396555"/>
      <w:r>
        <w:br w:type="page"/>
      </w:r>
    </w:p>
    <w:p w14:paraId="38911823" w14:textId="31DE9C0C" w:rsidR="006E58FD" w:rsidRDefault="00D85CE6" w:rsidP="00281D11">
      <w:pPr>
        <w:pStyle w:val="Headingnonumbers"/>
      </w:pPr>
      <w:bookmarkStart w:id="1" w:name="_Toc216711556"/>
      <w:bookmarkStart w:id="2" w:name="_Toc216791982"/>
      <w:r>
        <w:t>Executive Summary</w:t>
      </w:r>
      <w:bookmarkEnd w:id="0"/>
      <w:bookmarkEnd w:id="1"/>
      <w:bookmarkEnd w:id="2"/>
    </w:p>
    <w:p w14:paraId="65466B2D" w14:textId="77777777" w:rsidR="00F94F56" w:rsidRPr="00B17278" w:rsidRDefault="000507BD" w:rsidP="00B17278">
      <w:pPr>
        <w:pStyle w:val="Heading2nonumber"/>
      </w:pPr>
      <w:bookmarkStart w:id="3" w:name="_Toc184396556"/>
      <w:bookmarkStart w:id="4" w:name="_Toc216711557"/>
      <w:bookmarkStart w:id="5" w:name="_Toc216791983"/>
      <w:r w:rsidRPr="00B17278">
        <w:t>Context and background</w:t>
      </w:r>
      <w:bookmarkEnd w:id="3"/>
      <w:bookmarkEnd w:id="4"/>
      <w:bookmarkEnd w:id="5"/>
    </w:p>
    <w:p w14:paraId="11CE8B51" w14:textId="504F8458" w:rsidR="00CD557B" w:rsidRDefault="00FC3E28" w:rsidP="00CD557B">
      <w:pPr>
        <w:pStyle w:val="BodyText"/>
      </w:pPr>
      <w:r>
        <w:t xml:space="preserve">Medical physicists comprise a small but critical element of Australia’s health </w:t>
      </w:r>
      <w:r w:rsidR="0009196E">
        <w:t xml:space="preserve">workforce. Medical physicists ensure that </w:t>
      </w:r>
      <w:r w:rsidR="0054171F" w:rsidRPr="00521C37">
        <w:t xml:space="preserve">treatments and diagnoses </w:t>
      </w:r>
      <w:r w:rsidR="00D930D3">
        <w:t>involving</w:t>
      </w:r>
      <w:r w:rsidR="0054171F" w:rsidRPr="00521C37">
        <w:t xml:space="preserve"> radiation, particularly </w:t>
      </w:r>
      <w:r w:rsidR="005670E1">
        <w:t>relating to</w:t>
      </w:r>
      <w:r w:rsidR="0054171F" w:rsidRPr="00521C37">
        <w:t xml:space="preserve"> cancers</w:t>
      </w:r>
      <w:r w:rsidR="0054171F">
        <w:t xml:space="preserve">, are </w:t>
      </w:r>
      <w:r w:rsidR="0054171F" w:rsidRPr="00521C37">
        <w:t>safe and effective.</w:t>
      </w:r>
      <w:r w:rsidR="00400DBB">
        <w:t xml:space="preserve"> The Medical Physicists Support Program (MPS Program) is a Commonwealth-funded program that is delivered by the Australasian College of Physical Scientists and Engineers in Medicine (ACPSEM). The MPS Program aims to </w:t>
      </w:r>
      <w:r w:rsidR="00400DBB" w:rsidRPr="00887163">
        <w:t xml:space="preserve">increase the capacity and upskilling of the medical physicist and </w:t>
      </w:r>
      <w:r w:rsidR="002026D8">
        <w:t>Radiopharmaceutical Science (</w:t>
      </w:r>
      <w:r w:rsidR="00400DBB">
        <w:t>RPS</w:t>
      </w:r>
      <w:r w:rsidR="002026D8">
        <w:t>)</w:t>
      </w:r>
      <w:r w:rsidR="00400DBB" w:rsidRPr="00887163">
        <w:t xml:space="preserve"> workforce</w:t>
      </w:r>
      <w:r w:rsidR="00400DBB">
        <w:t xml:space="preserve">. </w:t>
      </w:r>
      <w:r w:rsidR="00CD557B">
        <w:t xml:space="preserve">The three main disciplines of the medical physics workforce considered under the MPS Program are: </w:t>
      </w:r>
    </w:p>
    <w:p w14:paraId="3BC35BAC" w14:textId="77777777" w:rsidR="00CD557B" w:rsidRPr="00F87140" w:rsidRDefault="00CD557B" w:rsidP="00F87140">
      <w:pPr>
        <w:pStyle w:val="ListBullet"/>
      </w:pPr>
      <w:r w:rsidRPr="00F87140">
        <w:t>Radiation Oncology Medical Physics (ROMP</w:t>
      </w:r>
      <w:proofErr w:type="gramStart"/>
      <w:r w:rsidRPr="00F87140">
        <w:t>);</w:t>
      </w:r>
      <w:proofErr w:type="gramEnd"/>
    </w:p>
    <w:p w14:paraId="50A0A6A2" w14:textId="77777777" w:rsidR="00CD557B" w:rsidRPr="00F87140" w:rsidRDefault="00CD557B" w:rsidP="00F87140">
      <w:pPr>
        <w:pStyle w:val="ListBullet"/>
      </w:pPr>
      <w:r w:rsidRPr="00F87140">
        <w:t>Diagnostic Imaging Medical Physics (DIMP); and</w:t>
      </w:r>
    </w:p>
    <w:p w14:paraId="4DC86982" w14:textId="2ECB93EA" w:rsidR="00400DBB" w:rsidRPr="00F87140" w:rsidRDefault="00CD557B" w:rsidP="00F87140">
      <w:pPr>
        <w:pStyle w:val="ListBullet"/>
      </w:pPr>
      <w:r w:rsidRPr="00F87140">
        <w:t>RPS.</w:t>
      </w:r>
    </w:p>
    <w:p w14:paraId="7A75CAF0" w14:textId="23D7C1D7" w:rsidR="00400DBB" w:rsidRPr="00C067EC" w:rsidRDefault="00400DBB" w:rsidP="00400DBB">
      <w:pPr>
        <w:spacing w:before="0" w:after="160" w:line="259" w:lineRule="auto"/>
      </w:pPr>
      <w:r w:rsidRPr="00272246">
        <w:t>The MPS Program sits within the</w:t>
      </w:r>
      <w:r w:rsidR="00A90132" w:rsidRPr="00A90132">
        <w:t xml:space="preserve"> Specialist Training Program</w:t>
      </w:r>
      <w:r w:rsidRPr="00272246">
        <w:t xml:space="preserve"> </w:t>
      </w:r>
      <w:r w:rsidR="00A90132">
        <w:t>(</w:t>
      </w:r>
      <w:r>
        <w:t>STP</w:t>
      </w:r>
      <w:r w:rsidR="00A90132">
        <w:t>)</w:t>
      </w:r>
      <w:r w:rsidRPr="00272246">
        <w:t xml:space="preserve"> funded by the </w:t>
      </w:r>
      <w:r w:rsidR="00600467">
        <w:t>Department of Health, Disability and Ageing</w:t>
      </w:r>
      <w:r w:rsidR="00333DAA">
        <w:t xml:space="preserve"> (the Department)</w:t>
      </w:r>
      <w:r w:rsidRPr="00272246">
        <w:t xml:space="preserve">. </w:t>
      </w:r>
      <w:r>
        <w:t xml:space="preserve">The STP is administered by the Department </w:t>
      </w:r>
      <w:r w:rsidRPr="008B199A">
        <w:t>under Outcome 1: Health Access and Support Services, Program 1.4 Health Workforce, Priority 21 – Health Workforce and Rural Access Program.</w:t>
      </w:r>
      <w:r w:rsidR="005F7EBC">
        <w:rPr>
          <w:rFonts w:ascii="ZWAdobeF" w:hAnsi="ZWAdobeF" w:cs="ZWAdobeF"/>
          <w:sz w:val="2"/>
          <w:szCs w:val="2"/>
        </w:rPr>
        <w:t>0F</w:t>
      </w:r>
      <w:r w:rsidR="003822DA">
        <w:rPr>
          <w:rStyle w:val="FootnoteReference"/>
        </w:rPr>
        <w:footnoteReference w:id="2"/>
      </w:r>
      <w:r>
        <w:t xml:space="preserve"> The STP extends</w:t>
      </w:r>
      <w:r w:rsidRPr="00165BB8">
        <w:t xml:space="preserve"> vocational training for non-General Practice specialist registrars into</w:t>
      </w:r>
      <w:r>
        <w:t xml:space="preserve"> “expanded</w:t>
      </w:r>
      <w:r w:rsidRPr="00165BB8">
        <w:t xml:space="preserve"> settings</w:t>
      </w:r>
      <w:r>
        <w:t>”</w:t>
      </w:r>
      <w:r w:rsidRPr="00165BB8">
        <w:t xml:space="preserve">, including regional, rural and remote communities and private health facilities. </w:t>
      </w:r>
      <w:r>
        <w:t>The STP supports the provision of high-quality specialty training and aims to improve the quality of the future specialist workforce and positively influence future workforce supply and distribution.</w:t>
      </w:r>
      <w:r>
        <w:rPr>
          <w:rFonts w:ascii="ZWAdobeF" w:hAnsi="ZWAdobeF" w:cs="ZWAdobeF"/>
          <w:sz w:val="2"/>
          <w:szCs w:val="2"/>
        </w:rPr>
        <w:t>14F</w:t>
      </w:r>
      <w:r w:rsidR="005F7EBC">
        <w:rPr>
          <w:rFonts w:ascii="ZWAdobeF" w:hAnsi="ZWAdobeF" w:cs="ZWAdobeF"/>
          <w:sz w:val="2"/>
          <w:szCs w:val="2"/>
        </w:rPr>
        <w:t>1F</w:t>
      </w:r>
      <w:r>
        <w:rPr>
          <w:rStyle w:val="FootnoteReference"/>
        </w:rPr>
        <w:footnoteReference w:id="3"/>
      </w:r>
    </w:p>
    <w:p w14:paraId="104E3C30" w14:textId="159503BB" w:rsidR="008804B7" w:rsidRDefault="00BF65D4" w:rsidP="001D188A">
      <w:pPr>
        <w:pStyle w:val="BodyText"/>
      </w:pPr>
      <w:r>
        <w:t xml:space="preserve">The </w:t>
      </w:r>
      <w:r w:rsidR="00EF7E24">
        <w:t xml:space="preserve">Commonwealth has </w:t>
      </w:r>
      <w:r w:rsidR="0034396F">
        <w:t xml:space="preserve">provided funding to support the </w:t>
      </w:r>
      <w:r w:rsidR="0034396F" w:rsidRPr="00272246">
        <w:t>medical physics workforce since the early 2000s, initially through past Radiation Oncology Patient Access Workforce and Medical Physicists Trainee programs</w:t>
      </w:r>
      <w:r w:rsidR="0034396F">
        <w:t>.</w:t>
      </w:r>
      <w:r w:rsidR="00261924">
        <w:t xml:space="preserve"> The current</w:t>
      </w:r>
      <w:r w:rsidR="00EF7E24" w:rsidRPr="00272246">
        <w:t xml:space="preserve"> iteration of the MPS Program was established in 2018, </w:t>
      </w:r>
      <w:r w:rsidR="00642086">
        <w:t>with</w:t>
      </w:r>
      <w:r w:rsidR="00EF7E24" w:rsidRPr="00272246">
        <w:t xml:space="preserve"> the </w:t>
      </w:r>
      <w:r w:rsidR="00642086">
        <w:t>consolidation</w:t>
      </w:r>
      <w:r w:rsidR="00EF7E24" w:rsidRPr="00272246">
        <w:t xml:space="preserve"> </w:t>
      </w:r>
      <w:r w:rsidR="004E42EA">
        <w:t xml:space="preserve">of </w:t>
      </w:r>
      <w:r w:rsidR="00FA4729">
        <w:t xml:space="preserve">the </w:t>
      </w:r>
      <w:r w:rsidR="00EF7E24" w:rsidRPr="00272246">
        <w:t xml:space="preserve">two </w:t>
      </w:r>
      <w:r w:rsidR="00FA4729">
        <w:t>pre-</w:t>
      </w:r>
      <w:r w:rsidR="00EF7E24" w:rsidRPr="00272246">
        <w:t>existing programs</w:t>
      </w:r>
      <w:r w:rsidR="00186BAB">
        <w:t>.</w:t>
      </w:r>
      <w:r w:rsidR="00EF7E24" w:rsidRPr="00272246">
        <w:t xml:space="preserve"> </w:t>
      </w:r>
      <w:r w:rsidR="00186BAB">
        <w:t xml:space="preserve">Under the current </w:t>
      </w:r>
      <w:r w:rsidR="00CB4D96">
        <w:t>p</w:t>
      </w:r>
      <w:r w:rsidR="00186BAB">
        <w:t xml:space="preserve">rogram, </w:t>
      </w:r>
      <w:r w:rsidR="00EF7E24" w:rsidRPr="00272246">
        <w:t xml:space="preserve">ACPSEM </w:t>
      </w:r>
      <w:r w:rsidR="00186BAB">
        <w:t xml:space="preserve">is responsible for </w:t>
      </w:r>
      <w:r w:rsidR="00EF7E24" w:rsidRPr="00272246">
        <w:t>administer</w:t>
      </w:r>
      <w:r w:rsidR="00186BAB">
        <w:t>ing all</w:t>
      </w:r>
      <w:r w:rsidR="00EF7E24" w:rsidRPr="00272246">
        <w:t xml:space="preserve"> program activity</w:t>
      </w:r>
      <w:r w:rsidR="00E12DE3">
        <w:t>.</w:t>
      </w:r>
    </w:p>
    <w:p w14:paraId="41C1623F" w14:textId="4FEE8AE0" w:rsidR="00FA4BE0" w:rsidRDefault="00FA4BE0" w:rsidP="00FA4BE0">
      <w:pPr>
        <w:pStyle w:val="BodyText"/>
      </w:pPr>
      <w:r>
        <w:t>The objectives of the MPS Program are:</w:t>
      </w:r>
    </w:p>
    <w:p w14:paraId="72004EE7" w14:textId="408EE56F" w:rsidR="009C57ED" w:rsidRPr="00F87140" w:rsidRDefault="009C57ED" w:rsidP="00F87140">
      <w:pPr>
        <w:pStyle w:val="ListBullet"/>
      </w:pPr>
      <w:r w:rsidRPr="00887163">
        <w:t>T</w:t>
      </w:r>
      <w:r w:rsidRPr="00F87140">
        <w:t>o support the training, certification</w:t>
      </w:r>
      <w:r w:rsidR="003847B7" w:rsidRPr="00F87140">
        <w:t>, education</w:t>
      </w:r>
      <w:r w:rsidRPr="00F87140">
        <w:t xml:space="preserve"> and assessment of medical physicists (including RPSs) and associated </w:t>
      </w:r>
      <w:proofErr w:type="gramStart"/>
      <w:r w:rsidRPr="00F87140">
        <w:t>activities;</w:t>
      </w:r>
      <w:proofErr w:type="gramEnd"/>
      <w:r w:rsidRPr="00F87140">
        <w:t xml:space="preserve"> </w:t>
      </w:r>
    </w:p>
    <w:p w14:paraId="10DFE3A4" w14:textId="77777777" w:rsidR="009C57ED" w:rsidRPr="00F87140" w:rsidRDefault="009C57ED" w:rsidP="00F87140">
      <w:pPr>
        <w:pStyle w:val="ListBullet"/>
      </w:pPr>
      <w:r w:rsidRPr="00F87140">
        <w:t xml:space="preserve">Provide profession-led, competitive funding support for Trainees, paid to facilities employing the Trainee and for associated activities including the most efficient and equitable way to allocate such payments; and </w:t>
      </w:r>
    </w:p>
    <w:p w14:paraId="4EB83AAF" w14:textId="027E1DC6" w:rsidR="00FA4BE0" w:rsidRPr="00F87140" w:rsidRDefault="009C57ED" w:rsidP="00F87140">
      <w:pPr>
        <w:pStyle w:val="ListBullet"/>
      </w:pPr>
      <w:r w:rsidRPr="00F87140">
        <w:t xml:space="preserve">Support training and innovation which encourage optimal distribution of the medical physicist and RPS workforce.  </w:t>
      </w:r>
    </w:p>
    <w:p w14:paraId="1D9AD241" w14:textId="3299BB6E" w:rsidR="009F4B06" w:rsidRDefault="009F4B06" w:rsidP="009F4B06">
      <w:pPr>
        <w:pStyle w:val="BodyText"/>
      </w:pPr>
      <w:r>
        <w:t xml:space="preserve">Activity under the MPS Program falls within two streams: </w:t>
      </w:r>
    </w:p>
    <w:p w14:paraId="0D566963" w14:textId="62886C4D" w:rsidR="0064084D" w:rsidRDefault="00732354" w:rsidP="00584EC6">
      <w:pPr>
        <w:pStyle w:val="BodyText"/>
        <w:numPr>
          <w:ilvl w:val="0"/>
          <w:numId w:val="54"/>
        </w:numPr>
      </w:pPr>
      <w:r>
        <w:rPr>
          <w:b/>
          <w:bCs/>
        </w:rPr>
        <w:t>T</w:t>
      </w:r>
      <w:r w:rsidR="009F4B06" w:rsidRPr="00EF1923">
        <w:rPr>
          <w:b/>
          <w:bCs/>
        </w:rPr>
        <w:t>raining</w:t>
      </w:r>
      <w:r w:rsidR="009F4B06">
        <w:rPr>
          <w:b/>
          <w:bCs/>
        </w:rPr>
        <w:t xml:space="preserve">, </w:t>
      </w:r>
      <w:r>
        <w:rPr>
          <w:b/>
          <w:bCs/>
        </w:rPr>
        <w:t>E</w:t>
      </w:r>
      <w:r w:rsidR="009F4B06" w:rsidRPr="00EF1923">
        <w:rPr>
          <w:b/>
          <w:bCs/>
        </w:rPr>
        <w:t xml:space="preserve">ducation and </w:t>
      </w:r>
      <w:r>
        <w:rPr>
          <w:b/>
          <w:bCs/>
        </w:rPr>
        <w:t>A</w:t>
      </w:r>
      <w:r w:rsidR="009F4B06" w:rsidRPr="00EF1923">
        <w:rPr>
          <w:b/>
          <w:bCs/>
        </w:rPr>
        <w:t xml:space="preserve">ssessment </w:t>
      </w:r>
    </w:p>
    <w:p w14:paraId="32281886" w14:textId="375D54C4" w:rsidR="009F4B06" w:rsidRDefault="009F4B06" w:rsidP="00194457">
      <w:pPr>
        <w:pStyle w:val="BodyText"/>
      </w:pPr>
      <w:r>
        <w:t xml:space="preserve">ACPSEM is funded under this </w:t>
      </w:r>
      <w:r w:rsidR="00732354">
        <w:t>S</w:t>
      </w:r>
      <w:r>
        <w:t>tream to deliver training, education and assessment of medical physicists and RPSs</w:t>
      </w:r>
      <w:r w:rsidR="00AD5AA0">
        <w:t xml:space="preserve">. </w:t>
      </w:r>
      <w:r>
        <w:t xml:space="preserve">ACPSEM does </w:t>
      </w:r>
      <w:r w:rsidR="00AD5AA0">
        <w:t xml:space="preserve">this </w:t>
      </w:r>
      <w:r>
        <w:t>through the Training, Education and Assessment Program (TEAP)</w:t>
      </w:r>
      <w:r w:rsidR="00AD5AA0">
        <w:t xml:space="preserve">, which has </w:t>
      </w:r>
      <w:r w:rsidR="00BB3812">
        <w:t>four</w:t>
      </w:r>
      <w:r w:rsidR="00AD5AA0">
        <w:t xml:space="preserve"> </w:t>
      </w:r>
      <w:proofErr w:type="gramStart"/>
      <w:r w:rsidR="00AD5AA0">
        <w:t>streams;</w:t>
      </w:r>
      <w:proofErr w:type="gramEnd"/>
      <w:r w:rsidR="00AD5AA0">
        <w:t xml:space="preserve"> ROMP, DIMP </w:t>
      </w:r>
      <w:r w:rsidR="00BB3812">
        <w:t xml:space="preserve">– Radiology, DIMP – Nuclear Medicine, </w:t>
      </w:r>
      <w:r w:rsidR="00AD5AA0">
        <w:t>and RPS</w:t>
      </w:r>
      <w:r>
        <w:t>.</w:t>
      </w:r>
      <w:r w:rsidR="00217D33">
        <w:t xml:space="preserve"> </w:t>
      </w:r>
      <w:r w:rsidR="009E2FFA">
        <w:t>K</w:t>
      </w:r>
      <w:r w:rsidR="00AD5AA0">
        <w:t>ey activities funded u</w:t>
      </w:r>
      <w:r w:rsidR="00217D33">
        <w:t xml:space="preserve">nder this </w:t>
      </w:r>
      <w:r w:rsidR="00556741">
        <w:t>S</w:t>
      </w:r>
      <w:r w:rsidR="00217D33">
        <w:t>tream</w:t>
      </w:r>
      <w:r w:rsidR="00AD5AA0">
        <w:t xml:space="preserve"> include the development of </w:t>
      </w:r>
      <w:r w:rsidR="00217D33">
        <w:t xml:space="preserve">curricula and </w:t>
      </w:r>
      <w:r w:rsidR="00AD5AA0">
        <w:t xml:space="preserve">coordination of </w:t>
      </w:r>
      <w:r w:rsidR="00217D33">
        <w:t xml:space="preserve">training through the </w:t>
      </w:r>
      <w:r w:rsidR="00BB3812">
        <w:t>TEAP</w:t>
      </w:r>
      <w:r w:rsidR="00217D33">
        <w:t xml:space="preserve">, </w:t>
      </w:r>
      <w:r w:rsidR="00BB3812">
        <w:t xml:space="preserve">managing </w:t>
      </w:r>
      <w:r w:rsidR="00217D33">
        <w:t>the certification</w:t>
      </w:r>
      <w:r w:rsidR="00C917A4">
        <w:t xml:space="preserve"> of professional standards</w:t>
      </w:r>
      <w:r w:rsidR="00AD5AA0">
        <w:t xml:space="preserve">, </w:t>
      </w:r>
      <w:r w:rsidR="005B569E">
        <w:t>and scoping the role of medical physicists.</w:t>
      </w:r>
    </w:p>
    <w:p w14:paraId="088DF1A1" w14:textId="0160E946" w:rsidR="0064084D" w:rsidRDefault="009F4B06" w:rsidP="00584EC6">
      <w:pPr>
        <w:pStyle w:val="BodyText"/>
        <w:numPr>
          <w:ilvl w:val="0"/>
          <w:numId w:val="54"/>
        </w:numPr>
      </w:pPr>
      <w:r w:rsidRPr="00EF1923">
        <w:rPr>
          <w:b/>
          <w:bCs/>
        </w:rPr>
        <w:t>Medical Physicists Trainee Support – Grants</w:t>
      </w:r>
    </w:p>
    <w:p w14:paraId="5780CBB9" w14:textId="2C729674" w:rsidR="009F4B06" w:rsidRPr="00C75894" w:rsidRDefault="001D1486" w:rsidP="00194457">
      <w:pPr>
        <w:pStyle w:val="BodyText"/>
      </w:pPr>
      <w:r>
        <w:t>Under t</w:t>
      </w:r>
      <w:r w:rsidR="009F4B06" w:rsidRPr="00C75894">
        <w:t xml:space="preserve">his funding </w:t>
      </w:r>
      <w:r w:rsidR="00EE328D">
        <w:t>S</w:t>
      </w:r>
      <w:r w:rsidR="009F4B06" w:rsidRPr="00C75894">
        <w:t>tream</w:t>
      </w:r>
      <w:r>
        <w:t>, ACPSEM</w:t>
      </w:r>
      <w:r w:rsidR="009F4B06" w:rsidRPr="00C75894">
        <w:t xml:space="preserve"> </w:t>
      </w:r>
      <w:r w:rsidR="00DD7F25">
        <w:t xml:space="preserve">provides </w:t>
      </w:r>
      <w:r w:rsidR="00DA400E">
        <w:t xml:space="preserve">profession-led, competitive funding </w:t>
      </w:r>
      <w:r w:rsidR="009F4B06" w:rsidRPr="00C75894">
        <w:t>grant</w:t>
      </w:r>
      <w:r w:rsidR="00DA400E">
        <w:t>s</w:t>
      </w:r>
      <w:r w:rsidR="009F4B06" w:rsidRPr="00C75894">
        <w:t xml:space="preserve"> to facilities employing </w:t>
      </w:r>
      <w:r w:rsidR="00DD7F25">
        <w:t xml:space="preserve">TEAP </w:t>
      </w:r>
      <w:r w:rsidR="009F4B06">
        <w:t>Trainee</w:t>
      </w:r>
      <w:r w:rsidR="009F4B06" w:rsidRPr="00C75894">
        <w:t>s</w:t>
      </w:r>
      <w:r w:rsidR="00BA4CCE">
        <w:t xml:space="preserve">. ACPSEM </w:t>
      </w:r>
      <w:r w:rsidR="00DA400E">
        <w:t xml:space="preserve">must </w:t>
      </w:r>
      <w:r w:rsidR="00BA4CCE">
        <w:t xml:space="preserve">also </w:t>
      </w:r>
      <w:r w:rsidR="00792A1F">
        <w:t xml:space="preserve">determine the most efficient and equitable way to allocate payments and support innovation which encourages optimal workforce distribution. ACPSEM does this </w:t>
      </w:r>
      <w:r w:rsidR="00422167">
        <w:t xml:space="preserve">through </w:t>
      </w:r>
      <w:r w:rsidR="008847F9">
        <w:t xml:space="preserve">workforce modelling to assess workforce need, and </w:t>
      </w:r>
      <w:r w:rsidR="00422167">
        <w:t xml:space="preserve">the Regional Innovations Funding Pool (RIFP) </w:t>
      </w:r>
      <w:r w:rsidR="008847F9">
        <w:t xml:space="preserve">which </w:t>
      </w:r>
      <w:r w:rsidR="00A67B1A">
        <w:t xml:space="preserve">offers grants for initiatives which support </w:t>
      </w:r>
      <w:r w:rsidR="00A67B1A" w:rsidRPr="009B2B9A">
        <w:t>recruitment and retention of regional workforce</w:t>
      </w:r>
      <w:r w:rsidR="00EA0257">
        <w:t>.</w:t>
      </w:r>
      <w:r w:rsidR="00A67B1A">
        <w:t xml:space="preserve"> </w:t>
      </w:r>
    </w:p>
    <w:p w14:paraId="2A1154CB" w14:textId="0E41DD7D" w:rsidR="00425B3C" w:rsidRPr="00EF3A1A" w:rsidRDefault="003B4230" w:rsidP="00EF3A1A">
      <w:pPr>
        <w:spacing w:before="0" w:after="160" w:line="259" w:lineRule="auto"/>
      </w:pPr>
      <w:r w:rsidRPr="00EF3A1A">
        <w:t>The long</w:t>
      </w:r>
      <w:r w:rsidR="00425B3C" w:rsidRPr="00EF3A1A">
        <w:t>-</w:t>
      </w:r>
      <w:r w:rsidRPr="00EF3A1A">
        <w:t>term outcome of the MPS Program is the o</w:t>
      </w:r>
      <w:r w:rsidR="0083370D" w:rsidRPr="00EF3A1A">
        <w:t xml:space="preserve">ptimal workforce capacity and distribution of appropriately </w:t>
      </w:r>
      <w:r w:rsidR="00FB234A">
        <w:t>q</w:t>
      </w:r>
      <w:r w:rsidR="0083370D" w:rsidRPr="00EF3A1A">
        <w:t xml:space="preserve">ualified </w:t>
      </w:r>
      <w:r w:rsidR="00FB234A">
        <w:t>m</w:t>
      </w:r>
      <w:r w:rsidR="0083370D" w:rsidRPr="00EF3A1A">
        <w:t xml:space="preserve">edical </w:t>
      </w:r>
      <w:r w:rsidR="00FB234A">
        <w:t>p</w:t>
      </w:r>
      <w:r w:rsidR="0083370D" w:rsidRPr="00EF3A1A">
        <w:t xml:space="preserve">hysicists and </w:t>
      </w:r>
      <w:r w:rsidR="00A51C99" w:rsidRPr="00EF3A1A">
        <w:t>RPS</w:t>
      </w:r>
      <w:r w:rsidR="00517188">
        <w:t xml:space="preserve"> workforce to ensure quality and safety</w:t>
      </w:r>
      <w:r w:rsidR="004A067C" w:rsidRPr="00EF3A1A">
        <w:t>.</w:t>
      </w:r>
    </w:p>
    <w:p w14:paraId="6A6812FD" w14:textId="09C6E7F2" w:rsidR="00B875F4" w:rsidRPr="00B17278" w:rsidRDefault="00B875F4" w:rsidP="00B17278">
      <w:pPr>
        <w:pStyle w:val="Heading2nonumber"/>
      </w:pPr>
      <w:bookmarkStart w:id="6" w:name="_Toc184396557"/>
      <w:bookmarkStart w:id="7" w:name="_Toc216711558"/>
      <w:bookmarkStart w:id="8" w:name="_Toc216791984"/>
      <w:r w:rsidRPr="00B17278">
        <w:t>Evaluating the MPS Program</w:t>
      </w:r>
      <w:bookmarkEnd w:id="6"/>
      <w:bookmarkEnd w:id="7"/>
      <w:bookmarkEnd w:id="8"/>
    </w:p>
    <w:p w14:paraId="5F9FBC3C" w14:textId="0A594D85" w:rsidR="0089676F" w:rsidRPr="00242835" w:rsidRDefault="004C6A4C" w:rsidP="00242835">
      <w:r w:rsidRPr="00242835">
        <w:t xml:space="preserve">KPMG were engaged </w:t>
      </w:r>
      <w:r w:rsidR="006B412C" w:rsidRPr="00242835">
        <w:t xml:space="preserve">by the Department to conduct an independent evaluation </w:t>
      </w:r>
      <w:r w:rsidR="00C11CBC" w:rsidRPr="00242835">
        <w:t xml:space="preserve">of the MPS Program. KPMG </w:t>
      </w:r>
      <w:r w:rsidR="00735B02" w:rsidRPr="00242835">
        <w:t xml:space="preserve">has conducted a mixed-methods </w:t>
      </w:r>
      <w:r w:rsidR="00626D93" w:rsidRPr="00242835">
        <w:t>evaluation</w:t>
      </w:r>
      <w:r w:rsidR="00EF413E" w:rsidRPr="00242835">
        <w:t xml:space="preserve"> that is intended to evaluate the extent</w:t>
      </w:r>
      <w:r w:rsidR="00F6347E" w:rsidRPr="00242835">
        <w:t xml:space="preserve"> to which</w:t>
      </w:r>
      <w:r w:rsidR="00EF413E" w:rsidRPr="00242835">
        <w:t xml:space="preserve"> the MPS Program is:</w:t>
      </w:r>
    </w:p>
    <w:p w14:paraId="1685947D" w14:textId="61C34D06" w:rsidR="00071529" w:rsidRPr="00F87140" w:rsidRDefault="00071529" w:rsidP="00F87140">
      <w:pPr>
        <w:pStyle w:val="ListBullet"/>
      </w:pPr>
      <w:r w:rsidRPr="00F87140">
        <w:t xml:space="preserve">Appropriately designed </w:t>
      </w:r>
      <w:r w:rsidR="00072C6D" w:rsidRPr="00F87140">
        <w:t xml:space="preserve">to meet workforce needs and is the right response to workforce </w:t>
      </w:r>
      <w:proofErr w:type="gramStart"/>
      <w:r w:rsidR="00072C6D" w:rsidRPr="00F87140">
        <w:t>shortages;</w:t>
      </w:r>
      <w:proofErr w:type="gramEnd"/>
    </w:p>
    <w:p w14:paraId="1D9E4DB6" w14:textId="32E4E6FA" w:rsidR="00071529" w:rsidRPr="00F87140" w:rsidRDefault="00071529" w:rsidP="00F87140">
      <w:pPr>
        <w:pStyle w:val="ListBullet"/>
      </w:pPr>
      <w:r w:rsidRPr="00F87140">
        <w:t xml:space="preserve">Implemented and delivered </w:t>
      </w:r>
      <w:proofErr w:type="gramStart"/>
      <w:r w:rsidRPr="00F87140">
        <w:t>effectively</w:t>
      </w:r>
      <w:r w:rsidR="00FC74FC" w:rsidRPr="00F87140">
        <w:t>;</w:t>
      </w:r>
      <w:proofErr w:type="gramEnd"/>
    </w:p>
    <w:p w14:paraId="5D1811D6" w14:textId="3D558BC2" w:rsidR="00071529" w:rsidRPr="00F87140" w:rsidRDefault="00071529" w:rsidP="00F87140">
      <w:pPr>
        <w:pStyle w:val="ListBullet"/>
      </w:pPr>
      <w:r w:rsidRPr="00F87140">
        <w:t xml:space="preserve">Contributing to </w:t>
      </w:r>
      <w:proofErr w:type="gramStart"/>
      <w:r w:rsidRPr="00F87140">
        <w:t>outcomes</w:t>
      </w:r>
      <w:r w:rsidR="00C16EED" w:rsidRPr="00F87140">
        <w:t>;</w:t>
      </w:r>
      <w:proofErr w:type="gramEnd"/>
    </w:p>
    <w:p w14:paraId="7F712CF5" w14:textId="2CB374B0" w:rsidR="00071529" w:rsidRPr="00F87140" w:rsidRDefault="00071529" w:rsidP="00F87140">
      <w:pPr>
        <w:pStyle w:val="ListBullet"/>
      </w:pPr>
      <w:r w:rsidRPr="00F87140">
        <w:t>Efficiently utilising resources</w:t>
      </w:r>
      <w:r w:rsidR="00B46336" w:rsidRPr="00F87140">
        <w:t>;</w:t>
      </w:r>
      <w:r w:rsidR="00C16EED" w:rsidRPr="00F87140">
        <w:t xml:space="preserve"> and</w:t>
      </w:r>
    </w:p>
    <w:p w14:paraId="11948B02" w14:textId="5B6E7A0A" w:rsidR="00E712D9" w:rsidRPr="009F08A3" w:rsidRDefault="00E67C50" w:rsidP="00F87140">
      <w:pPr>
        <w:pStyle w:val="ListBullet"/>
        <w:rPr>
          <w:rFonts w:cs="Arial"/>
          <w:szCs w:val="20"/>
        </w:rPr>
      </w:pPr>
      <w:r w:rsidRPr="00F87140">
        <w:t>E</w:t>
      </w:r>
      <w:r w:rsidR="00E712D9" w:rsidRPr="00F87140">
        <w:t xml:space="preserve">xpected to continue or </w:t>
      </w:r>
      <w:r w:rsidR="00250FB8" w:rsidRPr="00F87140">
        <w:t xml:space="preserve">is </w:t>
      </w:r>
      <w:r w:rsidR="00E712D9" w:rsidRPr="00F87140">
        <w:t>likely to continue</w:t>
      </w:r>
      <w:r w:rsidRPr="00F87140">
        <w:t xml:space="preserve"> to </w:t>
      </w:r>
      <w:r>
        <w:rPr>
          <w:rFonts w:cs="Arial"/>
          <w:szCs w:val="20"/>
        </w:rPr>
        <w:t>provide benefits</w:t>
      </w:r>
      <w:r w:rsidR="00E712D9">
        <w:rPr>
          <w:rFonts w:cs="Arial"/>
          <w:szCs w:val="20"/>
        </w:rPr>
        <w:t xml:space="preserve"> into the future.</w:t>
      </w:r>
    </w:p>
    <w:p w14:paraId="5C19B580" w14:textId="45EEE0E6" w:rsidR="009E6531" w:rsidRDefault="00582DC4" w:rsidP="00242835">
      <w:r>
        <w:t>The mixed-method approach involved the systematic integration of quantitative and qualitative data sources to provide findings across the</w:t>
      </w:r>
      <w:r w:rsidR="00DA2840">
        <w:t xml:space="preserve"> five</w:t>
      </w:r>
      <w:r>
        <w:t xml:space="preserve"> </w:t>
      </w:r>
      <w:r w:rsidR="003B3C37">
        <w:t xml:space="preserve">evaluation domains of enquiry. </w:t>
      </w:r>
      <w:r w:rsidR="001B6A84">
        <w:t xml:space="preserve">Further detail has been provided in Section </w:t>
      </w:r>
      <w:r w:rsidR="001B6A84">
        <w:fldChar w:fldCharType="begin" w:fldLock="1"/>
      </w:r>
      <w:r w:rsidR="001B6A84">
        <w:instrText xml:space="preserve"> REF _Ref184119221 \r \h </w:instrText>
      </w:r>
      <w:r w:rsidR="001B6A84">
        <w:fldChar w:fldCharType="separate"/>
      </w:r>
      <w:r w:rsidR="001B6A84">
        <w:t>1.2</w:t>
      </w:r>
      <w:r w:rsidR="001B6A84">
        <w:fldChar w:fldCharType="end"/>
      </w:r>
      <w:r w:rsidR="001B6A84">
        <w:t xml:space="preserve"> </w:t>
      </w:r>
      <w:r w:rsidR="001B6A84">
        <w:fldChar w:fldCharType="begin" w:fldLock="1"/>
      </w:r>
      <w:r w:rsidR="001B6A84">
        <w:instrText xml:space="preserve"> REF _Ref184119221 \h </w:instrText>
      </w:r>
      <w:r w:rsidR="00242835">
        <w:instrText xml:space="preserve"> \* MERGEFORMAT </w:instrText>
      </w:r>
      <w:r w:rsidR="001B6A84">
        <w:fldChar w:fldCharType="separate"/>
      </w:r>
      <w:r w:rsidR="001B6A84">
        <w:t>Data collection and analytical framework</w:t>
      </w:r>
      <w:r w:rsidR="001B6A84">
        <w:fldChar w:fldCharType="end"/>
      </w:r>
      <w:r w:rsidR="001B6A84">
        <w:t xml:space="preserve"> and </w:t>
      </w:r>
      <w:r w:rsidR="001B6A84">
        <w:fldChar w:fldCharType="begin" w:fldLock="1"/>
      </w:r>
      <w:r w:rsidR="001B6A84">
        <w:instrText xml:space="preserve"> REF _Ref184119244 \h </w:instrText>
      </w:r>
      <w:r w:rsidR="001B6A84">
        <w:fldChar w:fldCharType="separate"/>
      </w:r>
      <w:r w:rsidR="001B6A84" w:rsidRPr="008D0928">
        <w:t>A</w:t>
      </w:r>
      <w:r w:rsidR="001B6A84">
        <w:t>ppendix</w:t>
      </w:r>
      <w:r w:rsidR="001B6A84" w:rsidRPr="008D0928">
        <w:t xml:space="preserve"> </w:t>
      </w:r>
      <w:r w:rsidR="001B6A84">
        <w:t>A</w:t>
      </w:r>
      <w:r w:rsidR="001B6A84" w:rsidRPr="008D0928">
        <w:t xml:space="preserve">: Evaluation </w:t>
      </w:r>
      <w:r w:rsidR="001B6A84">
        <w:t>approach</w:t>
      </w:r>
      <w:r w:rsidR="001B6A84">
        <w:fldChar w:fldCharType="end"/>
      </w:r>
      <w:r w:rsidR="001B6A84">
        <w:t>.</w:t>
      </w:r>
    </w:p>
    <w:p w14:paraId="185F3C38" w14:textId="77777777" w:rsidR="00050D19" w:rsidRPr="00242835" w:rsidRDefault="00050D19" w:rsidP="00242835">
      <w:r w:rsidRPr="00F15F98">
        <w:t>Data available to this evaluation included:</w:t>
      </w:r>
    </w:p>
    <w:p w14:paraId="2388F846" w14:textId="1CC348F4" w:rsidR="00F63768" w:rsidRPr="00F87140" w:rsidRDefault="00050D19" w:rsidP="00F87140">
      <w:pPr>
        <w:pStyle w:val="ListBullet"/>
      </w:pPr>
      <w:r w:rsidRPr="00D26A1F">
        <w:rPr>
          <w:rFonts w:cs="Arial"/>
          <w:szCs w:val="20"/>
        </w:rPr>
        <w:t>Stak</w:t>
      </w:r>
      <w:r w:rsidRPr="00F87140">
        <w:t>eholder consultation, through</w:t>
      </w:r>
      <w:r w:rsidR="00F63768" w:rsidRPr="00F87140">
        <w:t xml:space="preserve"> semi-structured interviews</w:t>
      </w:r>
      <w:r w:rsidR="00452947" w:rsidRPr="00F87140">
        <w:t>,</w:t>
      </w:r>
      <w:r w:rsidR="00F63768" w:rsidRPr="00F87140">
        <w:t xml:space="preserve"> with a range of stakeholders including State and Territory health departments</w:t>
      </w:r>
      <w:r w:rsidR="00452947" w:rsidRPr="00F87140">
        <w:t xml:space="preserve">, </w:t>
      </w:r>
      <w:r w:rsidR="000810AF" w:rsidRPr="00F87140">
        <w:t xml:space="preserve">the Department, including the </w:t>
      </w:r>
      <w:r w:rsidR="00FE4A76" w:rsidRPr="00F87140">
        <w:t>H</w:t>
      </w:r>
      <w:r w:rsidR="000810AF" w:rsidRPr="00F87140">
        <w:t xml:space="preserve">ealth Workforce Division, external stakeholders, </w:t>
      </w:r>
      <w:r w:rsidR="00957E32" w:rsidRPr="00F87140">
        <w:t xml:space="preserve">ACPSEM, </w:t>
      </w:r>
      <w:r w:rsidR="006924DE" w:rsidRPr="00F87140">
        <w:t>R</w:t>
      </w:r>
      <w:r w:rsidR="00957E32" w:rsidRPr="00F87140">
        <w:t>egistrars</w:t>
      </w:r>
      <w:r w:rsidR="00646E1D" w:rsidRPr="00F87140">
        <w:t>,</w:t>
      </w:r>
      <w:r w:rsidR="00957E32" w:rsidRPr="00F87140">
        <w:t xml:space="preserve"> and </w:t>
      </w:r>
      <w:proofErr w:type="gramStart"/>
      <w:r w:rsidR="006924DE" w:rsidRPr="00F87140">
        <w:t>S</w:t>
      </w:r>
      <w:r w:rsidR="00957E32" w:rsidRPr="00F87140">
        <w:t>upervisors</w:t>
      </w:r>
      <w:r w:rsidR="00E6429C" w:rsidRPr="00F87140">
        <w:t>;</w:t>
      </w:r>
      <w:proofErr w:type="gramEnd"/>
    </w:p>
    <w:p w14:paraId="1895E5B2" w14:textId="4154862F" w:rsidR="00050D19" w:rsidRPr="00F87140" w:rsidRDefault="00E6429C" w:rsidP="00F87140">
      <w:pPr>
        <w:pStyle w:val="ListBullet"/>
      </w:pPr>
      <w:r w:rsidRPr="00F87140">
        <w:t>S</w:t>
      </w:r>
      <w:r w:rsidR="00050D19" w:rsidRPr="00F87140">
        <w:t>urvey</w:t>
      </w:r>
      <w:r w:rsidRPr="00F87140">
        <w:t xml:space="preserve"> data from </w:t>
      </w:r>
      <w:r w:rsidR="006924DE" w:rsidRPr="00F87140">
        <w:t>R</w:t>
      </w:r>
      <w:r w:rsidRPr="00F87140">
        <w:t xml:space="preserve">egistrars and </w:t>
      </w:r>
      <w:r w:rsidR="006924DE" w:rsidRPr="00F87140">
        <w:t>S</w:t>
      </w:r>
      <w:r w:rsidRPr="00F87140">
        <w:t>upervisors</w:t>
      </w:r>
      <w:r w:rsidR="00646E1D" w:rsidRPr="00F87140">
        <w:t>;</w:t>
      </w:r>
      <w:r w:rsidRPr="00F87140">
        <w:t xml:space="preserve"> and</w:t>
      </w:r>
    </w:p>
    <w:p w14:paraId="3A51D35E" w14:textId="0FDAE036" w:rsidR="00050D19" w:rsidRPr="00D26A1F" w:rsidRDefault="00050D19" w:rsidP="00F87140">
      <w:pPr>
        <w:pStyle w:val="ListBullet"/>
        <w:rPr>
          <w:rFonts w:cs="Arial"/>
          <w:szCs w:val="20"/>
        </w:rPr>
      </w:pPr>
      <w:r w:rsidRPr="00F87140">
        <w:t>MPS Program data an</w:t>
      </w:r>
      <w:r w:rsidRPr="00D26A1F">
        <w:rPr>
          <w:rFonts w:cs="Arial"/>
          <w:szCs w:val="20"/>
        </w:rPr>
        <w:t>d performance reporting</w:t>
      </w:r>
      <w:r w:rsidR="00646E1D">
        <w:rPr>
          <w:rFonts w:cs="Arial"/>
          <w:szCs w:val="20"/>
        </w:rPr>
        <w:t>.</w:t>
      </w:r>
    </w:p>
    <w:p w14:paraId="504FF42E" w14:textId="332D9B8E" w:rsidR="004A745B" w:rsidRPr="0095300A" w:rsidRDefault="00646E1D" w:rsidP="00DC27F5">
      <w:pPr>
        <w:pStyle w:val="BodyText"/>
        <w:rPr>
          <w:rFonts w:cs="Arial"/>
          <w:szCs w:val="20"/>
        </w:rPr>
      </w:pPr>
      <w:r w:rsidRPr="002E2C1F">
        <w:rPr>
          <w:rFonts w:cs="Arial"/>
          <w:szCs w:val="20"/>
        </w:rPr>
        <w:t>To</w:t>
      </w:r>
      <w:r w:rsidR="004A745B" w:rsidRPr="002E2C1F">
        <w:rPr>
          <w:rFonts w:cs="Arial"/>
          <w:szCs w:val="20"/>
        </w:rPr>
        <w:t xml:space="preserve"> evaluate the </w:t>
      </w:r>
      <w:r w:rsidR="004A745B">
        <w:rPr>
          <w:rFonts w:cs="Arial"/>
          <w:szCs w:val="20"/>
        </w:rPr>
        <w:t>MPS Program</w:t>
      </w:r>
      <w:r w:rsidR="004A745B" w:rsidRPr="002E2C1F">
        <w:rPr>
          <w:rFonts w:cs="Arial"/>
          <w:szCs w:val="20"/>
        </w:rPr>
        <w:t xml:space="preserve"> against each of these domains of interest, a strength of evidence rubric </w:t>
      </w:r>
      <w:r w:rsidR="004A745B">
        <w:rPr>
          <w:rFonts w:cs="Arial"/>
          <w:szCs w:val="20"/>
        </w:rPr>
        <w:t>has</w:t>
      </w:r>
      <w:r w:rsidR="004A745B" w:rsidRPr="002E2C1F">
        <w:rPr>
          <w:rFonts w:cs="Arial"/>
          <w:szCs w:val="20"/>
        </w:rPr>
        <w:t xml:space="preserve"> been used as a consistent framework throughout this report.</w:t>
      </w:r>
      <w:r w:rsidR="004A745B">
        <w:rPr>
          <w:rFonts w:cs="Arial"/>
          <w:szCs w:val="20"/>
        </w:rPr>
        <w:t xml:space="preserve"> </w:t>
      </w:r>
      <w:r w:rsidR="004A745B" w:rsidRPr="002E2C1F">
        <w:rPr>
          <w:lang w:val="en-US"/>
        </w:rPr>
        <w:t xml:space="preserve">The evaluation has applied the following guide in assessing the strength of evidence in determining the findings for each </w:t>
      </w:r>
      <w:r w:rsidR="00AF3CBC">
        <w:rPr>
          <w:lang w:val="en-US"/>
        </w:rPr>
        <w:t>K</w:t>
      </w:r>
      <w:r w:rsidR="004A745B" w:rsidRPr="002E2C1F">
        <w:rPr>
          <w:lang w:val="en-US"/>
        </w:rPr>
        <w:t xml:space="preserve">ey </w:t>
      </w:r>
      <w:r w:rsidR="00AF3CBC">
        <w:rPr>
          <w:lang w:val="en-US"/>
        </w:rPr>
        <w:t>E</w:t>
      </w:r>
      <w:r w:rsidR="004A745B" w:rsidRPr="002E2C1F">
        <w:rPr>
          <w:lang w:val="en-US"/>
        </w:rPr>
        <w:t xml:space="preserve">valuation </w:t>
      </w:r>
      <w:r w:rsidR="00AF3CBC">
        <w:rPr>
          <w:lang w:val="en-US"/>
        </w:rPr>
        <w:t>Q</w:t>
      </w:r>
      <w:r w:rsidR="004A745B" w:rsidRPr="002E2C1F">
        <w:rPr>
          <w:lang w:val="en-US"/>
        </w:rPr>
        <w:t>uestion</w:t>
      </w:r>
      <w:r w:rsidR="00AF3CBC">
        <w:rPr>
          <w:lang w:val="en-US"/>
        </w:rPr>
        <w:t xml:space="preserve"> (KEQ)</w:t>
      </w:r>
      <w:r w:rsidR="004A745B" w:rsidRPr="002E2C1F">
        <w:rPr>
          <w:lang w:val="en-US"/>
        </w:rPr>
        <w:t>:</w:t>
      </w:r>
    </w:p>
    <w:p w14:paraId="23E7655B" w14:textId="56F32F58" w:rsidR="00DA6B87" w:rsidRPr="00F87140" w:rsidRDefault="00DA6B87" w:rsidP="00F87140">
      <w:pPr>
        <w:pStyle w:val="ListBullet"/>
      </w:pPr>
      <w:r w:rsidRPr="00F87140">
        <w:rPr>
          <w:rStyle w:val="Strong"/>
        </w:rPr>
        <w:t>Sufficient evidence</w:t>
      </w:r>
      <w:r w:rsidRPr="00F87140">
        <w:t xml:space="preserve">: where the evidence is sufficient to draw a largely unqualified conclusion regarding the evaluation question because either there </w:t>
      </w:r>
      <w:proofErr w:type="gramStart"/>
      <w:r w:rsidRPr="00F87140">
        <w:t>is</w:t>
      </w:r>
      <w:proofErr w:type="gramEnd"/>
      <w:r w:rsidRPr="00F87140">
        <w:t xml:space="preserve"> a single source of quality data or multiple sources of data with no major quality issues, and which consistently point to the conclusion reached.</w:t>
      </w:r>
    </w:p>
    <w:p w14:paraId="7F28159E" w14:textId="0F9E0CA6" w:rsidR="00DA6B87" w:rsidRPr="00F87140" w:rsidRDefault="00DA6B87" w:rsidP="00F87140">
      <w:pPr>
        <w:pStyle w:val="ListBullet"/>
      </w:pPr>
      <w:r w:rsidRPr="00F87140">
        <w:rPr>
          <w:rStyle w:val="Strong"/>
        </w:rPr>
        <w:t>Some evidence</w:t>
      </w:r>
      <w:r w:rsidRPr="00F87140">
        <w:t>: where the evidence suggests the observation is true but there are data limitations, such that the finding is qualified and further and/or different data (which may have been unavailable to this evaluation) would need to be sourced to be more confident in the conclusion reached.</w:t>
      </w:r>
    </w:p>
    <w:p w14:paraId="3FD24C21" w14:textId="0F51DEA6" w:rsidR="00DA6B87" w:rsidRPr="00F87140" w:rsidRDefault="00DA6B87" w:rsidP="00F87140">
      <w:pPr>
        <w:pStyle w:val="ListBullet"/>
      </w:pPr>
      <w:r w:rsidRPr="00F87140">
        <w:rPr>
          <w:rStyle w:val="Strong"/>
        </w:rPr>
        <w:t>Weak evidence</w:t>
      </w:r>
      <w:r w:rsidRPr="00F87140">
        <w:t>: where the evidence is indicative of a finding but there are major shortcomings in the data such that limited confidence can be placed on the conclusion.</w:t>
      </w:r>
    </w:p>
    <w:p w14:paraId="01BF600A" w14:textId="0A9D4B22" w:rsidR="00DA6B87" w:rsidRDefault="00DA6B87" w:rsidP="00F87140">
      <w:pPr>
        <w:pStyle w:val="ListBullet"/>
        <w:rPr>
          <w:rFonts w:cs="Arial"/>
          <w:szCs w:val="20"/>
        </w:rPr>
      </w:pPr>
      <w:r w:rsidRPr="00F87140">
        <w:rPr>
          <w:rStyle w:val="Strong"/>
        </w:rPr>
        <w:t>No evidence</w:t>
      </w:r>
      <w:r w:rsidRPr="00F87140">
        <w:t>: where n</w:t>
      </w:r>
      <w:r w:rsidRPr="005C6A51">
        <w:rPr>
          <w:rFonts w:cs="Arial"/>
          <w:szCs w:val="20"/>
        </w:rPr>
        <w:t xml:space="preserve">o data exists upon which to make any finding. </w:t>
      </w:r>
    </w:p>
    <w:p w14:paraId="12BD546E" w14:textId="0AD267B3" w:rsidR="00F86986" w:rsidRPr="00194457" w:rsidRDefault="00414EAD">
      <w:pPr>
        <w:spacing w:before="0" w:after="160" w:line="259" w:lineRule="auto"/>
        <w:rPr>
          <w:rFonts w:cs="Arial"/>
          <w:szCs w:val="20"/>
        </w:rPr>
      </w:pPr>
      <w:r>
        <w:rPr>
          <w:rFonts w:cs="Calibri"/>
          <w:lang w:val="en-US"/>
        </w:rPr>
        <w:t>The strength of evidence assessment</w:t>
      </w:r>
      <w:r w:rsidR="00500EE2">
        <w:rPr>
          <w:rFonts w:cs="Calibri"/>
          <w:lang w:val="en-US"/>
        </w:rPr>
        <w:t xml:space="preserve">s </w:t>
      </w:r>
      <w:proofErr w:type="gramStart"/>
      <w:r w:rsidR="00500EE2">
        <w:rPr>
          <w:rFonts w:cs="Calibri"/>
          <w:lang w:val="en-US"/>
        </w:rPr>
        <w:t>were</w:t>
      </w:r>
      <w:proofErr w:type="gramEnd"/>
      <w:r w:rsidR="00500EE2">
        <w:rPr>
          <w:rFonts w:cs="Calibri"/>
          <w:lang w:val="en-US"/>
        </w:rPr>
        <w:t xml:space="preserve"> reviewed by multiple reviewers, with any </w:t>
      </w:r>
      <w:r w:rsidR="005D3D3B">
        <w:rPr>
          <w:rFonts w:cs="Calibri"/>
          <w:lang w:val="en-US"/>
        </w:rPr>
        <w:t xml:space="preserve">differences resolved through discussion amongst </w:t>
      </w:r>
      <w:r w:rsidR="00FE0866">
        <w:rPr>
          <w:rFonts w:cs="Calibri"/>
          <w:lang w:val="en-US"/>
        </w:rPr>
        <w:t>the evaluation team</w:t>
      </w:r>
      <w:r w:rsidR="005D3D3B">
        <w:rPr>
          <w:rFonts w:cs="Calibri"/>
          <w:lang w:val="en-US"/>
        </w:rPr>
        <w:t>.</w:t>
      </w:r>
    </w:p>
    <w:p w14:paraId="05D879F7" w14:textId="0240911D" w:rsidR="00F86986" w:rsidRPr="00990159" w:rsidRDefault="00F86986" w:rsidP="00990159">
      <w:pPr>
        <w:rPr>
          <w:rStyle w:val="Strong"/>
        </w:rPr>
      </w:pPr>
      <w:r w:rsidRPr="00990159">
        <w:rPr>
          <w:rStyle w:val="Strong"/>
        </w:rPr>
        <w:t xml:space="preserve">Data Limitations </w:t>
      </w:r>
    </w:p>
    <w:p w14:paraId="73C81385" w14:textId="77777777" w:rsidR="00F86986" w:rsidRPr="00990159" w:rsidRDefault="00F86986" w:rsidP="00990159">
      <w:r w:rsidRPr="00DD1BA7">
        <w:rPr>
          <w:lang w:val="en-US"/>
        </w:rPr>
        <w:t>There were several data limitations including:</w:t>
      </w:r>
    </w:p>
    <w:p w14:paraId="5DA1B825" w14:textId="064B14D6" w:rsidR="00F86986" w:rsidRPr="00F87140" w:rsidRDefault="00F86986" w:rsidP="00F87140">
      <w:pPr>
        <w:pStyle w:val="ListBullet"/>
      </w:pPr>
      <w:r w:rsidRPr="00990159">
        <w:rPr>
          <w:rStyle w:val="Strong"/>
        </w:rPr>
        <w:t>Information availability</w:t>
      </w:r>
      <w:r w:rsidRPr="00990159">
        <w:t xml:space="preserve">: </w:t>
      </w:r>
      <w:r w:rsidR="0001332F" w:rsidRPr="00990159">
        <w:t>a</w:t>
      </w:r>
      <w:r w:rsidRPr="00990159">
        <w:t>s this review</w:t>
      </w:r>
      <w:r w:rsidRPr="00F87140">
        <w:t xml:space="preserve"> looks at the period from 2018, there was a reliance on historically collected and available information from the Department and ACPSEM. </w:t>
      </w:r>
    </w:p>
    <w:p w14:paraId="202253C3" w14:textId="69D4C072" w:rsidR="00F86986" w:rsidRPr="00F87140" w:rsidRDefault="00F86986" w:rsidP="00F87140">
      <w:pPr>
        <w:pStyle w:val="ListBullet"/>
      </w:pPr>
      <w:r w:rsidRPr="00F87140">
        <w:rPr>
          <w:rStyle w:val="Strong"/>
        </w:rPr>
        <w:t>Third party information</w:t>
      </w:r>
      <w:r w:rsidRPr="00F87140">
        <w:t xml:space="preserve">: </w:t>
      </w:r>
      <w:r w:rsidR="0001332F" w:rsidRPr="00F87140">
        <w:t>i</w:t>
      </w:r>
      <w:r w:rsidRPr="00F87140">
        <w:t xml:space="preserve">nformation provided by the Department and ACPSEM were not subjected to examination and were taken as correct for the purpose of this review. </w:t>
      </w:r>
    </w:p>
    <w:p w14:paraId="746CB12D" w14:textId="531B012D" w:rsidR="00F86986" w:rsidRPr="00F87140" w:rsidRDefault="00F86986" w:rsidP="00F87140">
      <w:pPr>
        <w:pStyle w:val="ListBullet"/>
      </w:pPr>
      <w:r w:rsidRPr="00F87140">
        <w:rPr>
          <w:rStyle w:val="Strong"/>
        </w:rPr>
        <w:t>Multiple data sources</w:t>
      </w:r>
      <w:r w:rsidRPr="00F87140">
        <w:t xml:space="preserve">: </w:t>
      </w:r>
      <w:r w:rsidR="0001332F" w:rsidRPr="00F87140">
        <w:t>d</w:t>
      </w:r>
      <w:r w:rsidRPr="00F87140">
        <w:t xml:space="preserve">ue to information availability limitations, analysis undertaken drew from multiple data sources to bridge data gaps from one source. Where information provided was misaligned, data provided by the Department was taken as the source of truth. To ensure transparency, sources have been provided after each table and figure within this report. </w:t>
      </w:r>
    </w:p>
    <w:p w14:paraId="08D5F8AC" w14:textId="4D11F005" w:rsidR="00F86986" w:rsidRPr="00F87140" w:rsidRDefault="00F86986" w:rsidP="00F87140">
      <w:pPr>
        <w:pStyle w:val="ListBullet"/>
      </w:pPr>
      <w:r w:rsidRPr="00F87140">
        <w:rPr>
          <w:rStyle w:val="Strong"/>
        </w:rPr>
        <w:t>Stakeholder consultation pool</w:t>
      </w:r>
      <w:r w:rsidRPr="00F87140">
        <w:t xml:space="preserve">: </w:t>
      </w:r>
      <w:r w:rsidR="0001332F" w:rsidRPr="00F87140">
        <w:t>s</w:t>
      </w:r>
      <w:r w:rsidRPr="00F87140">
        <w:t>takeholder</w:t>
      </w:r>
      <w:r w:rsidR="008C65E6" w:rsidRPr="00F87140">
        <w:t xml:space="preserve"> contacts</w:t>
      </w:r>
      <w:r w:rsidRPr="00F87140">
        <w:t xml:space="preserve"> to consult with (see Appendix E) were provided by ACPSEM, with many having roles within </w:t>
      </w:r>
      <w:r w:rsidR="00FF3A23" w:rsidRPr="00F87140">
        <w:t>ACPSEM</w:t>
      </w:r>
      <w:r w:rsidRPr="00F87140">
        <w:t>. As such</w:t>
      </w:r>
      <w:r w:rsidR="00F13447" w:rsidRPr="00F87140">
        <w:t>,</w:t>
      </w:r>
      <w:r w:rsidRPr="00F87140">
        <w:t xml:space="preserve"> consultation findings are indicative and may not be representative of the workforce in its entirety. </w:t>
      </w:r>
    </w:p>
    <w:p w14:paraId="13B19290" w14:textId="6C423145" w:rsidR="00F86986" w:rsidRPr="00F87140" w:rsidRDefault="00F86986" w:rsidP="00F87140">
      <w:pPr>
        <w:pStyle w:val="ListBullet"/>
      </w:pPr>
      <w:r w:rsidRPr="00F87140">
        <w:rPr>
          <w:rStyle w:val="Strong"/>
        </w:rPr>
        <w:t>Lack of comparison group</w:t>
      </w:r>
      <w:r w:rsidRPr="00F87140">
        <w:t xml:space="preserve">: </w:t>
      </w:r>
      <w:r w:rsidR="0001332F" w:rsidRPr="00F87140">
        <w:t>t</w:t>
      </w:r>
      <w:r w:rsidRPr="00F87140">
        <w:t xml:space="preserve">he evaluation did not include a counterfactual or comparison group to determine the impact on the </w:t>
      </w:r>
      <w:r w:rsidR="00A618A3" w:rsidRPr="00F87140">
        <w:t>m</w:t>
      </w:r>
      <w:r w:rsidRPr="00F87140">
        <w:t xml:space="preserve">edical </w:t>
      </w:r>
      <w:r w:rsidR="00A618A3" w:rsidRPr="00F87140">
        <w:t>p</w:t>
      </w:r>
      <w:r w:rsidRPr="00F87140">
        <w:t>hysicist workforce in the absence of the MPS Program.</w:t>
      </w:r>
    </w:p>
    <w:p w14:paraId="450FDA4E" w14:textId="5229394B" w:rsidR="00B27B95" w:rsidRPr="00990159" w:rsidRDefault="00F86986" w:rsidP="005806C5">
      <w:pPr>
        <w:pStyle w:val="ListBullet"/>
      </w:pPr>
      <w:r w:rsidRPr="00F87140">
        <w:rPr>
          <w:rStyle w:val="Strong"/>
        </w:rPr>
        <w:t>RPS limitations</w:t>
      </w:r>
      <w:r w:rsidRPr="00F87140">
        <w:t xml:space="preserve">: </w:t>
      </w:r>
      <w:r w:rsidR="0001332F" w:rsidRPr="00F87140">
        <w:t>s</w:t>
      </w:r>
      <w:r w:rsidRPr="00F87140">
        <w:t>takeholder consultation pool limitations were further constrained for the RPS workforce. Stakeholders consisted of one RPS contact who was not a member of ACPSEM, five Registrar survey respondents</w:t>
      </w:r>
      <w:r w:rsidR="00D05451" w:rsidRPr="00F87140">
        <w:t>,</w:t>
      </w:r>
      <w:r w:rsidRPr="00F87140">
        <w:t xml:space="preserve"> and two Supervisor survey respondents. As a result, some analysis focuses more on ROMP and DIMP </w:t>
      </w:r>
      <w:r w:rsidR="005F65E1" w:rsidRPr="00F87140">
        <w:t>S</w:t>
      </w:r>
      <w:r w:rsidRPr="00F87140">
        <w:t>treams</w:t>
      </w:r>
      <w:r w:rsidRPr="00990159">
        <w:t xml:space="preserve">, and there are no specific findings for the RPS workforce. </w:t>
      </w:r>
    </w:p>
    <w:p w14:paraId="64B17DEB" w14:textId="3739ED43" w:rsidR="001240E9" w:rsidRPr="00B17278" w:rsidRDefault="0015077D" w:rsidP="00B17278">
      <w:pPr>
        <w:pStyle w:val="Heading2nonumber"/>
      </w:pPr>
      <w:bookmarkStart w:id="9" w:name="_Toc216711559"/>
      <w:bookmarkStart w:id="10" w:name="_Toc216791985"/>
      <w:r w:rsidRPr="00B17278">
        <w:t>Summary of key findings</w:t>
      </w:r>
      <w:bookmarkEnd w:id="9"/>
      <w:bookmarkEnd w:id="10"/>
    </w:p>
    <w:p w14:paraId="3E77579B" w14:textId="443AEDF6" w:rsidR="0005583D" w:rsidRDefault="00946B6B" w:rsidP="00990159">
      <w:r>
        <w:fldChar w:fldCharType="begin" w:fldLock="1"/>
      </w:r>
      <w:r>
        <w:instrText xml:space="preserve"> REF _Ref184045341 \h </w:instrText>
      </w:r>
      <w:r>
        <w:fldChar w:fldCharType="separate"/>
      </w:r>
      <w:r>
        <w:t xml:space="preserve">Table </w:t>
      </w:r>
      <w:r>
        <w:rPr>
          <w:noProof/>
        </w:rPr>
        <w:t>1</w:t>
      </w:r>
      <w:r>
        <w:fldChar w:fldCharType="end"/>
      </w:r>
      <w:r>
        <w:t xml:space="preserve"> </w:t>
      </w:r>
      <w:r w:rsidR="001240E9">
        <w:t>below provides a summary of the high-level evaluation findings for each KEQ.</w:t>
      </w:r>
      <w:r w:rsidR="00F91DDB">
        <w:t xml:space="preserve"> </w:t>
      </w:r>
      <w:r w:rsidR="004C4ADF">
        <w:t>Findings have been developed following consideration of the evidence collected as part of evaluation</w:t>
      </w:r>
      <w:r w:rsidR="00313E2D">
        <w:t xml:space="preserve"> activities</w:t>
      </w:r>
      <w:r w:rsidR="0089312C">
        <w:t>. The strength of evidence was determined by considering the</w:t>
      </w:r>
      <w:r w:rsidR="00530604">
        <w:t xml:space="preserve"> ability to </w:t>
      </w:r>
      <w:r w:rsidR="00116F7E">
        <w:t xml:space="preserve">draw conclusions from the data, noting the </w:t>
      </w:r>
      <w:r w:rsidR="00CB50DA">
        <w:t xml:space="preserve">number, </w:t>
      </w:r>
      <w:r w:rsidR="0089312C">
        <w:t>quality and completeness of</w:t>
      </w:r>
      <w:r w:rsidR="00611611">
        <w:t xml:space="preserve"> data sources and </w:t>
      </w:r>
      <w:r w:rsidR="00CB50DA">
        <w:t xml:space="preserve">any limitations </w:t>
      </w:r>
      <w:r w:rsidR="000C7AB3">
        <w:t>present within data sources.</w:t>
      </w:r>
      <w:r w:rsidR="00611611">
        <w:t xml:space="preserve"> </w:t>
      </w:r>
      <w:r w:rsidR="000973D3">
        <w:t xml:space="preserve">Findings are </w:t>
      </w:r>
      <w:r w:rsidR="00286CBF">
        <w:t xml:space="preserve">split by TEAP funding stream where appropriate. Given the complementary nature of the streams, some findings </w:t>
      </w:r>
      <w:r w:rsidR="006B1FC2">
        <w:t xml:space="preserve">are consistent across the Program and </w:t>
      </w:r>
      <w:r w:rsidR="00286CBF">
        <w:t>are indicated as overarching.</w:t>
      </w:r>
      <w:r w:rsidR="00877D70">
        <w:t xml:space="preserve"> </w:t>
      </w:r>
      <w:r w:rsidR="00AD4B5B">
        <w:t>Due to RPS stakeholder consultation pool limitations</w:t>
      </w:r>
      <w:r w:rsidR="00053BC0">
        <w:t xml:space="preserve"> (see Section </w:t>
      </w:r>
      <w:r w:rsidR="00053BC0">
        <w:fldChar w:fldCharType="begin" w:fldLock="1"/>
      </w:r>
      <w:r w:rsidR="00053BC0">
        <w:instrText xml:space="preserve"> REF _Ref184199303 \r \h </w:instrText>
      </w:r>
      <w:r w:rsidR="00053BC0">
        <w:fldChar w:fldCharType="separate"/>
      </w:r>
      <w:r w:rsidR="00053BC0">
        <w:t>1.3.2</w:t>
      </w:r>
      <w:r w:rsidR="00053BC0">
        <w:fldChar w:fldCharType="end"/>
      </w:r>
      <w:r w:rsidR="00053BC0">
        <w:t xml:space="preserve"> </w:t>
      </w:r>
      <w:r w:rsidR="00053BC0">
        <w:fldChar w:fldCharType="begin" w:fldLock="1"/>
      </w:r>
      <w:r w:rsidR="00053BC0">
        <w:instrText xml:space="preserve"> REF _Ref184199303 \h </w:instrText>
      </w:r>
      <w:r w:rsidR="00053BC0">
        <w:fldChar w:fldCharType="separate"/>
      </w:r>
      <w:r w:rsidR="00053BC0" w:rsidRPr="00D32009">
        <w:t>Data limitations</w:t>
      </w:r>
      <w:r w:rsidR="00053BC0">
        <w:fldChar w:fldCharType="end"/>
      </w:r>
      <w:r w:rsidR="00053BC0">
        <w:t>)</w:t>
      </w:r>
      <w:r w:rsidR="00AD4B5B">
        <w:t>, there are no specific findings for the RPS workforce.</w:t>
      </w:r>
    </w:p>
    <w:p w14:paraId="1191A14E" w14:textId="6ED7DAD5" w:rsidR="004D3CE7" w:rsidRPr="00127C1F" w:rsidRDefault="001240E9" w:rsidP="007B623B">
      <w:pPr>
        <w:pStyle w:val="Caption"/>
        <w:rPr>
          <w:rFonts w:eastAsiaTheme="minorHAnsi"/>
        </w:rPr>
      </w:pPr>
      <w:bookmarkStart w:id="11" w:name="_Ref184045341"/>
      <w:r>
        <w:t xml:space="preserve">Table </w:t>
      </w:r>
      <w:r>
        <w:fldChar w:fldCharType="begin"/>
      </w:r>
      <w:r>
        <w:instrText xml:space="preserve"> SEQ Table \* ARABIC </w:instrText>
      </w:r>
      <w:r>
        <w:fldChar w:fldCharType="separate"/>
      </w:r>
      <w:r w:rsidR="005F7EBC">
        <w:rPr>
          <w:noProof/>
        </w:rPr>
        <w:t>1</w:t>
      </w:r>
      <w:r>
        <w:fldChar w:fldCharType="end"/>
      </w:r>
      <w:bookmarkEnd w:id="11"/>
      <w:r>
        <w:t>: Key overarching findings from the evaluation of the MPS Program</w:t>
      </w:r>
    </w:p>
    <w:tbl>
      <w:tblPr>
        <w:tblStyle w:val="GridTable1Light-Accent1"/>
        <w:tblW w:w="9923" w:type="dxa"/>
        <w:tblLayout w:type="fixed"/>
        <w:tblLook w:val="04A0" w:firstRow="1" w:lastRow="0" w:firstColumn="1" w:lastColumn="0" w:noHBand="0" w:noVBand="1"/>
      </w:tblPr>
      <w:tblGrid>
        <w:gridCol w:w="2001"/>
        <w:gridCol w:w="7922"/>
      </w:tblGrid>
      <w:tr w:rsidR="004C6A1D" w:rsidRPr="0048051A" w14:paraId="5E26B827" w14:textId="289F07D1" w:rsidTr="002A53B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01" w:type="dxa"/>
            <w:tcBorders>
              <w:top w:val="nil"/>
              <w:left w:val="nil"/>
            </w:tcBorders>
            <w:shd w:val="clear" w:color="auto" w:fill="F1F4FE"/>
          </w:tcPr>
          <w:p w14:paraId="7F71CBDE" w14:textId="77777777" w:rsidR="004C6A1D" w:rsidRPr="00990159" w:rsidRDefault="004C6A1D" w:rsidP="002A53BA">
            <w:r w:rsidRPr="00990159">
              <w:t>KEQ</w:t>
            </w:r>
          </w:p>
        </w:tc>
        <w:tc>
          <w:tcPr>
            <w:tcW w:w="7922" w:type="dxa"/>
            <w:tcBorders>
              <w:top w:val="nil"/>
              <w:right w:val="nil"/>
            </w:tcBorders>
          </w:tcPr>
          <w:p w14:paraId="77FBB7D0" w14:textId="148A1870" w:rsidR="004C6A1D" w:rsidRPr="00990159" w:rsidRDefault="004C6A1D" w:rsidP="002A53BA">
            <w:pPr>
              <w:cnfStyle w:val="100000000000" w:firstRow="1" w:lastRow="0" w:firstColumn="0" w:lastColumn="0" w:oddVBand="0" w:evenVBand="0" w:oddHBand="0" w:evenHBand="0" w:firstRowFirstColumn="0" w:firstRowLastColumn="0" w:lastRowFirstColumn="0" w:lastRowLastColumn="0"/>
            </w:pPr>
            <w:r w:rsidRPr="00990159">
              <w:t>Key findings</w:t>
            </w:r>
          </w:p>
        </w:tc>
      </w:tr>
      <w:tr w:rsidR="00E64E7B" w14:paraId="2439B733" w14:textId="56995044" w:rsidTr="002A53BA">
        <w:trPr>
          <w:cantSplit/>
        </w:trPr>
        <w:tc>
          <w:tcPr>
            <w:cnfStyle w:val="001000000000" w:firstRow="0" w:lastRow="0" w:firstColumn="1" w:lastColumn="0" w:oddVBand="0" w:evenVBand="0" w:oddHBand="0" w:evenHBand="0" w:firstRowFirstColumn="0" w:firstRowLastColumn="0" w:lastRowFirstColumn="0" w:lastRowLastColumn="0"/>
            <w:tcW w:w="2001" w:type="dxa"/>
            <w:tcBorders>
              <w:left w:val="nil"/>
            </w:tcBorders>
            <w:shd w:val="clear" w:color="auto" w:fill="F1F4FE"/>
          </w:tcPr>
          <w:p w14:paraId="02EF4FFA" w14:textId="36C1DAC5" w:rsidR="00E64E7B" w:rsidRPr="00E944E9" w:rsidRDefault="00E64E7B" w:rsidP="002A53BA">
            <w:r w:rsidRPr="00990159">
              <w:rPr>
                <w:rStyle w:val="Strong"/>
              </w:rPr>
              <w:t>KEQ1:</w:t>
            </w:r>
            <w:r w:rsidR="00990159">
              <w:rPr>
                <w:rStyle w:val="Strong"/>
              </w:rPr>
              <w:t xml:space="preserve"> </w:t>
            </w:r>
            <w:r w:rsidRPr="00C36F0A">
              <w:rPr>
                <w:b w:val="0"/>
                <w:iCs/>
              </w:rPr>
              <w:t>Has the MPS Program been implemented as intended?</w:t>
            </w:r>
          </w:p>
        </w:tc>
        <w:tc>
          <w:tcPr>
            <w:tcW w:w="7922" w:type="dxa"/>
            <w:tcBorders>
              <w:top w:val="single" w:sz="12" w:space="0" w:color="2171FF" w:themeColor="accent1" w:themeTint="99"/>
              <w:bottom w:val="single" w:sz="4" w:space="0" w:color="6BA0FF" w:themeColor="accent1" w:themeTint="66"/>
              <w:right w:val="nil"/>
            </w:tcBorders>
          </w:tcPr>
          <w:p w14:paraId="251893C8" w14:textId="77777777" w:rsidR="00E64E7B" w:rsidRPr="00990159" w:rsidRDefault="00E64E7B" w:rsidP="002A53BA">
            <w:pPr>
              <w:cnfStyle w:val="000000000000" w:firstRow="0" w:lastRow="0" w:firstColumn="0" w:lastColumn="0" w:oddVBand="0" w:evenVBand="0" w:oddHBand="0" w:evenHBand="0" w:firstRowFirstColumn="0" w:firstRowLastColumn="0" w:lastRowFirstColumn="0" w:lastRowLastColumn="0"/>
              <w:rPr>
                <w:rStyle w:val="Strong"/>
              </w:rPr>
            </w:pPr>
            <w:r w:rsidRPr="00990159">
              <w:rPr>
                <w:rStyle w:val="Strong"/>
              </w:rPr>
              <w:t>Overall assessment</w:t>
            </w:r>
          </w:p>
          <w:p w14:paraId="52A927E1" w14:textId="4B89E779" w:rsidR="00E64E7B" w:rsidRPr="00990159" w:rsidRDefault="00E64E7B" w:rsidP="002A53BA">
            <w:pPr>
              <w:cnfStyle w:val="000000000000" w:firstRow="0" w:lastRow="0" w:firstColumn="0" w:lastColumn="0" w:oddVBand="0" w:evenVBand="0" w:oddHBand="0" w:evenHBand="0" w:firstRowFirstColumn="0" w:firstRowLastColumn="0" w:lastRowFirstColumn="0" w:lastRowLastColumn="0"/>
            </w:pPr>
            <w:r w:rsidRPr="00FF2C09">
              <w:rPr>
                <w:bCs/>
                <w:iCs/>
              </w:rPr>
              <w:t>The MPS Program has largely been implemented as intended, however several barriers to implementation exist</w:t>
            </w:r>
            <w:r>
              <w:rPr>
                <w:bCs/>
                <w:iCs/>
              </w:rPr>
              <w:t>.</w:t>
            </w:r>
          </w:p>
        </w:tc>
      </w:tr>
      <w:tr w:rsidR="00E64E7B" w:rsidRPr="008034E8" w14:paraId="1002DDA6" w14:textId="77777777" w:rsidTr="002A53BA">
        <w:trPr>
          <w:cantSplit/>
        </w:trPr>
        <w:tc>
          <w:tcPr>
            <w:cnfStyle w:val="001000000000" w:firstRow="0" w:lastRow="0" w:firstColumn="1" w:lastColumn="0" w:oddVBand="0" w:evenVBand="0" w:oddHBand="0" w:evenHBand="0" w:firstRowFirstColumn="0" w:firstRowLastColumn="0" w:lastRowFirstColumn="0" w:lastRowLastColumn="0"/>
            <w:tcW w:w="2001" w:type="dxa"/>
            <w:vMerge w:val="restart"/>
            <w:tcBorders>
              <w:left w:val="nil"/>
            </w:tcBorders>
            <w:shd w:val="clear" w:color="auto" w:fill="F1F4FE"/>
          </w:tcPr>
          <w:p w14:paraId="16020A88" w14:textId="77777777" w:rsidR="00E64E7B" w:rsidRPr="00764402" w:rsidRDefault="00E64E7B" w:rsidP="002A53BA">
            <w:pPr>
              <w:pStyle w:val="Caption"/>
              <w:keepNext w:val="0"/>
              <w:rPr>
                <w:rFonts w:eastAsiaTheme="minorHAnsi" w:cstheme="minorBidi"/>
                <w:b w:val="0"/>
                <w:bCs/>
                <w:iCs/>
                <w:color w:val="auto"/>
                <w:szCs w:val="22"/>
                <w:lang w:eastAsia="en-US"/>
              </w:rPr>
            </w:pPr>
          </w:p>
        </w:tc>
        <w:tc>
          <w:tcPr>
            <w:tcW w:w="7922" w:type="dxa"/>
            <w:tcBorders>
              <w:right w:val="nil"/>
            </w:tcBorders>
          </w:tcPr>
          <w:p w14:paraId="49CDC171" w14:textId="77777777" w:rsidR="00E64E7B" w:rsidRDefault="00E64E7B" w:rsidP="002A53BA">
            <w:pPr>
              <w:pStyle w:val="BodyText"/>
              <w:cnfStyle w:val="000000000000" w:firstRow="0" w:lastRow="0" w:firstColumn="0" w:lastColumn="0" w:oddVBand="0" w:evenVBand="0" w:oddHBand="0" w:evenHBand="0" w:firstRowFirstColumn="0" w:firstRowLastColumn="0" w:lastRowFirstColumn="0" w:lastRowLastColumn="0"/>
              <w:rPr>
                <w:bCs/>
                <w:iCs/>
              </w:rPr>
            </w:pPr>
            <w:r w:rsidRPr="00FF2C09">
              <w:rPr>
                <w:b/>
                <w:iCs/>
                <w:color w:val="1E49E2" w:themeColor="accent2"/>
              </w:rPr>
              <w:t>Strength of evidence</w:t>
            </w:r>
            <w:r>
              <w:rPr>
                <w:b/>
                <w:bCs/>
                <w:iCs/>
                <w:color w:val="1E49E2" w:themeColor="accent2"/>
              </w:rPr>
              <w:t xml:space="preserve">: </w:t>
            </w:r>
            <w:r w:rsidRPr="00FF2C09">
              <w:rPr>
                <w:bCs/>
                <w:iCs/>
              </w:rPr>
              <w:t>Sufficient evidence</w:t>
            </w:r>
            <w:r>
              <w:rPr>
                <w:bCs/>
                <w:iCs/>
              </w:rPr>
              <w:t>.</w:t>
            </w:r>
          </w:p>
          <w:p w14:paraId="2234552F" w14:textId="77777777" w:rsidR="002A53BA" w:rsidRDefault="002A53BA" w:rsidP="002A53BA">
            <w:pPr>
              <w:pStyle w:val="BodyText"/>
              <w:cnfStyle w:val="000000000000" w:firstRow="0" w:lastRow="0" w:firstColumn="0" w:lastColumn="0" w:oddVBand="0" w:evenVBand="0" w:oddHBand="0" w:evenHBand="0" w:firstRowFirstColumn="0" w:firstRowLastColumn="0" w:lastRowFirstColumn="0" w:lastRowLastColumn="0"/>
              <w:rPr>
                <w:b/>
                <w:bCs/>
              </w:rPr>
            </w:pPr>
            <w:r>
              <w:rPr>
                <w:b/>
                <w:iCs/>
                <w:color w:val="1E49E2" w:themeColor="accent2"/>
              </w:rPr>
              <w:t>Key findings</w:t>
            </w:r>
          </w:p>
          <w:p w14:paraId="4CB4B3DB" w14:textId="77777777" w:rsidR="002A53BA" w:rsidRDefault="002A53BA" w:rsidP="002A53BA">
            <w:pPr>
              <w:pStyle w:val="BodyText"/>
              <w:cnfStyle w:val="000000000000" w:firstRow="0" w:lastRow="0" w:firstColumn="0" w:lastColumn="0" w:oddVBand="0" w:evenVBand="0" w:oddHBand="0" w:evenHBand="0" w:firstRowFirstColumn="0" w:firstRowLastColumn="0" w:lastRowFirstColumn="0" w:lastRowLastColumn="0"/>
              <w:rPr>
                <w:b/>
                <w:bCs/>
                <w:color w:val="00338D" w:themeColor="accent1"/>
              </w:rPr>
            </w:pPr>
            <w:r>
              <w:t>The MPS Program allows ACPSEM flexibility to implement the program as they see fit, with some program elements, such as the TEAP curriculum, supports and resources, and the Learning Management System (LMS), under ACPSEM’s control. Additionally, some enablers and barriers of the MPS Program, such as availability of employment positions, are largely determined by facilities and jurisdictions, and are therefore outside the control of both ACPSEM and the Department. These have been included to provide a holistic view of the MPS Program, its nuances, and factors influencing its ability to achieve its intended outcomes.</w:t>
            </w:r>
          </w:p>
          <w:p w14:paraId="7999E1F2" w14:textId="77777777" w:rsidR="002A53BA" w:rsidRPr="00194457" w:rsidRDefault="002A53BA" w:rsidP="002A53BA">
            <w:pPr>
              <w:pStyle w:val="BodyText"/>
              <w:cnfStyle w:val="000000000000" w:firstRow="0" w:lastRow="0" w:firstColumn="0" w:lastColumn="0" w:oddVBand="0" w:evenVBand="0" w:oddHBand="0" w:evenHBand="0" w:firstRowFirstColumn="0" w:firstRowLastColumn="0" w:lastRowFirstColumn="0" w:lastRowLastColumn="0"/>
              <w:rPr>
                <w:b/>
              </w:rPr>
            </w:pPr>
            <w:r w:rsidRPr="00194457">
              <w:rPr>
                <w:b/>
              </w:rPr>
              <w:t>Training, Education and Assessment Stream</w:t>
            </w:r>
          </w:p>
          <w:p w14:paraId="1F7DF701" w14:textId="77777777" w:rsidR="002A53BA" w:rsidRPr="00FF2C09" w:rsidRDefault="002A53BA" w:rsidP="002A53BA">
            <w:pPr>
              <w:pStyle w:val="BodyText"/>
              <w:cnfStyle w:val="000000000000" w:firstRow="0" w:lastRow="0" w:firstColumn="0" w:lastColumn="0" w:oddVBand="0" w:evenVBand="0" w:oddHBand="0" w:evenHBand="0" w:firstRowFirstColumn="0" w:firstRowLastColumn="0" w:lastRowFirstColumn="0" w:lastRowLastColumn="0"/>
              <w:rPr>
                <w:i/>
              </w:rPr>
            </w:pPr>
            <w:r w:rsidRPr="00FF2C09">
              <w:rPr>
                <w:i/>
              </w:rPr>
              <w:t xml:space="preserve">Delivery of training through TEAP </w:t>
            </w:r>
          </w:p>
          <w:p w14:paraId="5AD6BC30" w14:textId="77777777" w:rsidR="002A53BA" w:rsidRDefault="002A53BA" w:rsidP="002A53BA">
            <w:pPr>
              <w:pStyle w:val="BodyText"/>
              <w:cnfStyle w:val="000000000000" w:firstRow="0" w:lastRow="0" w:firstColumn="0" w:lastColumn="0" w:oddVBand="0" w:evenVBand="0" w:oddHBand="0" w:evenHBand="0" w:firstRowFirstColumn="0" w:firstRowLastColumn="0" w:lastRowFirstColumn="0" w:lastRowLastColumn="0"/>
            </w:pPr>
            <w:r>
              <w:t>Supervisors play a critical role in the delivery of training through the TEAP. They are also an important enabler of the TEAP as they provide support to Registrars and facilitate access to equipment and contacts to enable Registrars to complete the program. Supervisors were found to heavily influence the depth and quality of training, with implications for standardisation of teaching.</w:t>
            </w:r>
          </w:p>
          <w:p w14:paraId="22541DAB" w14:textId="083D15DD" w:rsidR="002A53BA" w:rsidRPr="009E2005" w:rsidRDefault="002A53BA" w:rsidP="009E2005">
            <w:pPr>
              <w:pStyle w:val="BodyText"/>
              <w:cnfStyle w:val="000000000000" w:firstRow="0" w:lastRow="0" w:firstColumn="0" w:lastColumn="0" w:oddVBand="0" w:evenVBand="0" w:oddHBand="0" w:evenHBand="0" w:firstRowFirstColumn="0" w:firstRowLastColumn="0" w:lastRowFirstColumn="0" w:lastRowLastColumn="0"/>
            </w:pPr>
            <w:r>
              <w:t xml:space="preserve">Registrars and Supervisors commented on variability in TEAP experiences and the level of support and resources across facilities, jurisdictions, and TEAP streams. </w:t>
            </w:r>
          </w:p>
        </w:tc>
      </w:tr>
      <w:tr w:rsidR="00D07F54" w:rsidRPr="008034E8" w14:paraId="619262DA" w14:textId="3FD81C68" w:rsidTr="002A53BA">
        <w:trPr>
          <w:cantSplit/>
        </w:trPr>
        <w:tc>
          <w:tcPr>
            <w:cnfStyle w:val="001000000000" w:firstRow="0" w:lastRow="0" w:firstColumn="1" w:lastColumn="0" w:oddVBand="0" w:evenVBand="0" w:oddHBand="0" w:evenHBand="0" w:firstRowFirstColumn="0" w:firstRowLastColumn="0" w:lastRowFirstColumn="0" w:lastRowLastColumn="0"/>
            <w:tcW w:w="2001" w:type="dxa"/>
            <w:vMerge/>
            <w:tcBorders>
              <w:left w:val="nil"/>
            </w:tcBorders>
            <w:shd w:val="clear" w:color="auto" w:fill="F1F4FE"/>
          </w:tcPr>
          <w:p w14:paraId="5535DA45" w14:textId="77777777" w:rsidR="00D07F54" w:rsidRPr="00764402" w:rsidRDefault="00D07F54" w:rsidP="002A53BA">
            <w:pPr>
              <w:pStyle w:val="Caption"/>
              <w:rPr>
                <w:rFonts w:eastAsiaTheme="minorHAnsi" w:cstheme="minorBidi"/>
                <w:b w:val="0"/>
                <w:bCs/>
                <w:iCs/>
                <w:color w:val="auto"/>
                <w:szCs w:val="22"/>
                <w:lang w:eastAsia="en-US"/>
              </w:rPr>
            </w:pPr>
          </w:p>
        </w:tc>
        <w:tc>
          <w:tcPr>
            <w:tcW w:w="7922" w:type="dxa"/>
            <w:tcBorders>
              <w:bottom w:val="single" w:sz="4" w:space="0" w:color="6BA0FF" w:themeColor="accent1" w:themeTint="66"/>
              <w:right w:val="nil"/>
            </w:tcBorders>
          </w:tcPr>
          <w:p w14:paraId="68D4F579" w14:textId="1C46FFB4" w:rsidR="00DB61E4" w:rsidRDefault="00DB61E4" w:rsidP="002A53BA">
            <w:pPr>
              <w:pStyle w:val="BodyText"/>
              <w:cnfStyle w:val="000000000000" w:firstRow="0" w:lastRow="0" w:firstColumn="0" w:lastColumn="0" w:oddVBand="0" w:evenVBand="0" w:oddHBand="0" w:evenHBand="0" w:firstRowFirstColumn="0" w:firstRowLastColumn="0" w:lastRowFirstColumn="0" w:lastRowLastColumn="0"/>
            </w:pPr>
            <w:r>
              <w:t>ACPSEM provides some supporting materials</w:t>
            </w:r>
            <w:r w:rsidR="007156BC">
              <w:t xml:space="preserve"> and funds TEAP Coordinators</w:t>
            </w:r>
            <w:r w:rsidR="00596F22">
              <w:t xml:space="preserve"> which were </w:t>
            </w:r>
            <w:r w:rsidR="007156BC">
              <w:t>valued</w:t>
            </w:r>
            <w:r w:rsidR="00596F22">
              <w:t xml:space="preserve"> by stakeholders</w:t>
            </w:r>
            <w:r>
              <w:t xml:space="preserve">, </w:t>
            </w:r>
            <w:r w:rsidR="007156BC">
              <w:t xml:space="preserve">however, </w:t>
            </w:r>
            <w:r>
              <w:t>there is an onus on facilities, Supervisors</w:t>
            </w:r>
            <w:r w:rsidR="004B3BA3">
              <w:t>,</w:t>
            </w:r>
            <w:r>
              <w:t xml:space="preserve"> and some jurisdictions to develop training resources and provide support in response to program gaps, resulting in some duplication of effort. Additionally, there is flexibility in the implementation of TEAP at the facility level, with facilities determining the split between clinical responsibilities and protected TEAP time of their </w:t>
            </w:r>
            <w:proofErr w:type="gramStart"/>
            <w:r>
              <w:t>Supervisors</w:t>
            </w:r>
            <w:proofErr w:type="gramEnd"/>
            <w:r>
              <w:t>. This flexibility contributes to variability in TEAP experiences.</w:t>
            </w:r>
          </w:p>
          <w:p w14:paraId="4CDA09C2" w14:textId="77777777" w:rsidR="00DB61E4" w:rsidRPr="00194457" w:rsidRDefault="00DB61E4" w:rsidP="002A53BA">
            <w:pPr>
              <w:pStyle w:val="BodyText"/>
              <w:cnfStyle w:val="000000000000" w:firstRow="0" w:lastRow="0" w:firstColumn="0" w:lastColumn="0" w:oddVBand="0" w:evenVBand="0" w:oddHBand="0" w:evenHBand="0" w:firstRowFirstColumn="0" w:firstRowLastColumn="0" w:lastRowFirstColumn="0" w:lastRowLastColumn="0"/>
              <w:rPr>
                <w:b/>
              </w:rPr>
            </w:pPr>
            <w:r w:rsidRPr="00194457">
              <w:rPr>
                <w:b/>
              </w:rPr>
              <w:t>Medical Physicists Trainee Support Stream</w:t>
            </w:r>
          </w:p>
          <w:p w14:paraId="63B53968" w14:textId="77777777" w:rsidR="00DB61E4" w:rsidRPr="00FF2C09" w:rsidRDefault="00DB61E4" w:rsidP="002A53BA">
            <w:pPr>
              <w:pStyle w:val="BodyText"/>
              <w:cnfStyle w:val="000000000000" w:firstRow="0" w:lastRow="0" w:firstColumn="0" w:lastColumn="0" w:oddVBand="0" w:evenVBand="0" w:oddHBand="0" w:evenHBand="0" w:firstRowFirstColumn="0" w:firstRowLastColumn="0" w:lastRowFirstColumn="0" w:lastRowLastColumn="0"/>
              <w:rPr>
                <w:i/>
              </w:rPr>
            </w:pPr>
            <w:r w:rsidRPr="00FF2C09">
              <w:rPr>
                <w:i/>
              </w:rPr>
              <w:t xml:space="preserve">Grant funding for facilities employing TEAP Registrars </w:t>
            </w:r>
          </w:p>
          <w:p w14:paraId="3A683422" w14:textId="4302A659" w:rsidR="00DB61E4" w:rsidRDefault="00DB61E4" w:rsidP="002A53BA">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ACPSEM grants to facilities employing TEAP Registrars are frequently cited by facilities as an important enabler for facilities to employ TEAP Registrars, however facilities report that the funding is insufficient and has not kept up with rising costs. Grants are distributed in accordance with workforce need, with grants to regional facilities prioritised by ACPSEM where possible. Workforce modelling enables monitoring of workforce need, and the RIFP funds initiatives that support Registrars in regional and remote areas.</w:t>
            </w:r>
          </w:p>
          <w:p w14:paraId="4AA4BEAA" w14:textId="77777777" w:rsidR="00DB61E4" w:rsidRPr="00194457" w:rsidRDefault="00DB61E4" w:rsidP="002A53BA">
            <w:pPr>
              <w:pStyle w:val="BodyText"/>
              <w:cnfStyle w:val="000000000000" w:firstRow="0" w:lastRow="0" w:firstColumn="0" w:lastColumn="0" w:oddVBand="0" w:evenVBand="0" w:oddHBand="0" w:evenHBand="0" w:firstRowFirstColumn="0" w:firstRowLastColumn="0" w:lastRowFirstColumn="0" w:lastRowLastColumn="0"/>
              <w:rPr>
                <w:b/>
              </w:rPr>
            </w:pPr>
            <w:r w:rsidRPr="00194457">
              <w:rPr>
                <w:b/>
              </w:rPr>
              <w:t>Overarching findings</w:t>
            </w:r>
          </w:p>
          <w:p w14:paraId="2D335015" w14:textId="77777777" w:rsidR="00DB61E4" w:rsidRPr="00FF2C09" w:rsidRDefault="00DB61E4" w:rsidP="002A53BA">
            <w:pPr>
              <w:pStyle w:val="BodyText"/>
              <w:cnfStyle w:val="000000000000" w:firstRow="0" w:lastRow="0" w:firstColumn="0" w:lastColumn="0" w:oddVBand="0" w:evenVBand="0" w:oddHBand="0" w:evenHBand="0" w:firstRowFirstColumn="0" w:firstRowLastColumn="0" w:lastRowFirstColumn="0" w:lastRowLastColumn="0"/>
              <w:rPr>
                <w:rFonts w:cs="Arial"/>
                <w:i/>
              </w:rPr>
            </w:pPr>
            <w:r w:rsidRPr="00FF2C09">
              <w:rPr>
                <w:rFonts w:cs="Arial"/>
                <w:i/>
              </w:rPr>
              <w:t xml:space="preserve">Limited professional recognition </w:t>
            </w:r>
            <w:r>
              <w:rPr>
                <w:rFonts w:cs="Arial"/>
                <w:i/>
              </w:rPr>
              <w:t>and employment opportunities</w:t>
            </w:r>
          </w:p>
          <w:p w14:paraId="249404AE" w14:textId="2FCAD9D9" w:rsidR="00DB61E4" w:rsidRDefault="00DB61E4" w:rsidP="002A53BA">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The medical physicist workforce is small and generally poorly understood. A lack of professional recognition</w:t>
            </w:r>
            <w:r w:rsidR="004C1593">
              <w:rPr>
                <w:rFonts w:cs="Arial"/>
              </w:rPr>
              <w:t xml:space="preserve"> and registrat</w:t>
            </w:r>
            <w:r w:rsidR="00CD6510">
              <w:rPr>
                <w:rFonts w:cs="Arial"/>
              </w:rPr>
              <w:t>ion</w:t>
            </w:r>
            <w:r>
              <w:rPr>
                <w:rFonts w:cs="Arial"/>
              </w:rPr>
              <w:t xml:space="preserve"> in Australia is creating challenges to creating permanent employment positions for medical physicists and makes it challenging for TEAP Registrars to find employment following program completion. </w:t>
            </w:r>
          </w:p>
          <w:p w14:paraId="60C6A6DC" w14:textId="5D8452E3" w:rsidR="00D07F54" w:rsidRPr="00194457" w:rsidRDefault="00DB61E4" w:rsidP="002A53BA">
            <w:pPr>
              <w:pStyle w:val="BodyText"/>
              <w:cnfStyle w:val="000000000000" w:firstRow="0" w:lastRow="0" w:firstColumn="0" w:lastColumn="0" w:oddVBand="0" w:evenVBand="0" w:oddHBand="0" w:evenHBand="0" w:firstRowFirstColumn="0" w:firstRowLastColumn="0" w:lastRowFirstColumn="0" w:lastRowLastColumn="0"/>
            </w:pPr>
            <w:r>
              <w:rPr>
                <w:rFonts w:cs="Arial"/>
              </w:rPr>
              <w:t>Other barriers identified across the Training, Education and Assessment stream include a lack of resources and support, limited professional experience of TEAP candidates, and access to supervisors.</w:t>
            </w:r>
          </w:p>
        </w:tc>
      </w:tr>
      <w:tr w:rsidR="00E64E7B" w14:paraId="20150FB4" w14:textId="77777777" w:rsidTr="002A53BA">
        <w:tc>
          <w:tcPr>
            <w:cnfStyle w:val="001000000000" w:firstRow="0" w:lastRow="0" w:firstColumn="1" w:lastColumn="0" w:oddVBand="0" w:evenVBand="0" w:oddHBand="0" w:evenHBand="0" w:firstRowFirstColumn="0" w:firstRowLastColumn="0" w:lastRowFirstColumn="0" w:lastRowLastColumn="0"/>
            <w:tcW w:w="2001" w:type="dxa"/>
            <w:vMerge w:val="restart"/>
            <w:tcBorders>
              <w:left w:val="nil"/>
            </w:tcBorders>
            <w:shd w:val="clear" w:color="auto" w:fill="F1F4FE"/>
          </w:tcPr>
          <w:p w14:paraId="7D48C117" w14:textId="72C16D92" w:rsidR="00E64E7B" w:rsidRPr="00E944E9" w:rsidRDefault="00E64E7B" w:rsidP="002A53BA">
            <w:pPr>
              <w:pStyle w:val="BodyText"/>
              <w:rPr>
                <w:b w:val="0"/>
                <w:bCs w:val="0"/>
              </w:rPr>
            </w:pPr>
            <w:r w:rsidRPr="00E944E9">
              <w:t>KEQ2:</w:t>
            </w:r>
          </w:p>
          <w:p w14:paraId="7A90F55A" w14:textId="788FEC8E" w:rsidR="00E64E7B" w:rsidRPr="00E944E9" w:rsidRDefault="00E64E7B" w:rsidP="002A53BA">
            <w:pPr>
              <w:pStyle w:val="Caption"/>
            </w:pPr>
            <w:r w:rsidRPr="0011326A">
              <w:rPr>
                <w:rFonts w:eastAsiaTheme="minorHAnsi" w:cstheme="minorBidi"/>
                <w:b w:val="0"/>
                <w:bCs/>
                <w:iCs/>
                <w:color w:val="auto"/>
                <w:szCs w:val="22"/>
                <w:lang w:eastAsia="en-US"/>
              </w:rPr>
              <w:t>Is the MPS Program still the right response?</w:t>
            </w:r>
          </w:p>
        </w:tc>
        <w:tc>
          <w:tcPr>
            <w:tcW w:w="7922" w:type="dxa"/>
            <w:tcBorders>
              <w:bottom w:val="single" w:sz="4" w:space="0" w:color="6BA0FF" w:themeColor="accent1" w:themeTint="66"/>
              <w:right w:val="nil"/>
            </w:tcBorders>
          </w:tcPr>
          <w:p w14:paraId="5802EC4F" w14:textId="77777777" w:rsidR="00E64E7B" w:rsidRDefault="00E64E7B"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194457">
              <w:rPr>
                <w:b/>
                <w:color w:val="1E49E2" w:themeColor="accent2"/>
              </w:rPr>
              <w:t>Overall assessment</w:t>
            </w:r>
          </w:p>
          <w:p w14:paraId="45ED5904" w14:textId="77777777" w:rsidR="00E64E7B" w:rsidRDefault="00E64E7B" w:rsidP="002A53BA">
            <w:pPr>
              <w:pStyle w:val="BodyText"/>
              <w:cnfStyle w:val="000000000000" w:firstRow="0" w:lastRow="0" w:firstColumn="0" w:lastColumn="0" w:oddVBand="0" w:evenVBand="0" w:oddHBand="0" w:evenHBand="0" w:firstRowFirstColumn="0" w:firstRowLastColumn="0" w:lastRowFirstColumn="0" w:lastRowLastColumn="0"/>
            </w:pPr>
            <w:r w:rsidRPr="0011326A">
              <w:t>The MPS Program remains an appropriate response to address medical physicist and RPS workforce demand, challenges and future needs.</w:t>
            </w:r>
          </w:p>
          <w:p w14:paraId="6CBCBFC0" w14:textId="3505111D" w:rsidR="000421BC" w:rsidRPr="0011326A" w:rsidRDefault="000421BC" w:rsidP="002A53BA">
            <w:pPr>
              <w:pStyle w:val="BodyText"/>
              <w:cnfStyle w:val="000000000000" w:firstRow="0" w:lastRow="0" w:firstColumn="0" w:lastColumn="0" w:oddVBand="0" w:evenVBand="0" w:oddHBand="0" w:evenHBand="0" w:firstRowFirstColumn="0" w:firstRowLastColumn="0" w:lastRowFirstColumn="0" w:lastRowLastColumn="0"/>
            </w:pPr>
          </w:p>
        </w:tc>
      </w:tr>
      <w:tr w:rsidR="00E64E7B" w14:paraId="2C2B2A09" w14:textId="77777777" w:rsidTr="002A53BA">
        <w:tc>
          <w:tcPr>
            <w:cnfStyle w:val="001000000000" w:firstRow="0" w:lastRow="0" w:firstColumn="1" w:lastColumn="0" w:oddVBand="0" w:evenVBand="0" w:oddHBand="0" w:evenHBand="0" w:firstRowFirstColumn="0" w:firstRowLastColumn="0" w:lastRowFirstColumn="0" w:lastRowLastColumn="0"/>
            <w:tcW w:w="2001" w:type="dxa"/>
            <w:vMerge/>
            <w:tcBorders>
              <w:left w:val="nil"/>
            </w:tcBorders>
            <w:shd w:val="clear" w:color="auto" w:fill="F1F4FE"/>
          </w:tcPr>
          <w:p w14:paraId="113C0796" w14:textId="11A62AAE" w:rsidR="00E64E7B" w:rsidRPr="00E944E9" w:rsidRDefault="00E64E7B" w:rsidP="002A53BA">
            <w:pPr>
              <w:pStyle w:val="Caption"/>
            </w:pPr>
          </w:p>
        </w:tc>
        <w:tc>
          <w:tcPr>
            <w:tcW w:w="7922" w:type="dxa"/>
            <w:tcBorders>
              <w:top w:val="single" w:sz="4" w:space="0" w:color="6BA0FF" w:themeColor="accent1" w:themeTint="66"/>
              <w:bottom w:val="single" w:sz="4" w:space="0" w:color="6BA0FF" w:themeColor="accent1" w:themeTint="66"/>
              <w:right w:val="nil"/>
            </w:tcBorders>
          </w:tcPr>
          <w:p w14:paraId="435843BB" w14:textId="6FB7F04F" w:rsidR="00E64E7B" w:rsidRPr="00E64E7B" w:rsidRDefault="00E64E7B"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FF2C09">
              <w:rPr>
                <w:b/>
                <w:iCs/>
                <w:color w:val="1E49E2" w:themeColor="accent2"/>
              </w:rPr>
              <w:t>Strength of evidence</w:t>
            </w:r>
            <w:r>
              <w:rPr>
                <w:b/>
                <w:bCs/>
                <w:iCs/>
                <w:color w:val="1E49E2" w:themeColor="accent2"/>
              </w:rPr>
              <w:t xml:space="preserve">: </w:t>
            </w:r>
            <w:r w:rsidRPr="0011326A">
              <w:t>Some evidence</w:t>
            </w:r>
            <w:r>
              <w:t>.</w:t>
            </w:r>
          </w:p>
        </w:tc>
      </w:tr>
      <w:tr w:rsidR="0011326A" w14:paraId="3976E8E0" w14:textId="0A667C20" w:rsidTr="002A53BA">
        <w:tc>
          <w:tcPr>
            <w:cnfStyle w:val="001000000000" w:firstRow="0" w:lastRow="0" w:firstColumn="1" w:lastColumn="0" w:oddVBand="0" w:evenVBand="0" w:oddHBand="0" w:evenHBand="0" w:firstRowFirstColumn="0" w:firstRowLastColumn="0" w:lastRowFirstColumn="0" w:lastRowLastColumn="0"/>
            <w:tcW w:w="2001" w:type="dxa"/>
            <w:vMerge/>
            <w:tcBorders>
              <w:left w:val="nil"/>
              <w:bottom w:val="single" w:sz="2" w:space="0" w:color="6BA0FF" w:themeColor="accent1" w:themeTint="66"/>
            </w:tcBorders>
            <w:shd w:val="clear" w:color="auto" w:fill="F1F4FE"/>
          </w:tcPr>
          <w:p w14:paraId="0DE85108" w14:textId="431FD25A" w:rsidR="0011326A" w:rsidRPr="00764402" w:rsidRDefault="0011326A" w:rsidP="002A53BA">
            <w:pPr>
              <w:pStyle w:val="Caption"/>
              <w:rPr>
                <w:rFonts w:eastAsiaTheme="minorHAnsi" w:cstheme="minorBidi"/>
                <w:b w:val="0"/>
                <w:bCs/>
                <w:iCs/>
                <w:color w:val="auto"/>
                <w:szCs w:val="22"/>
                <w:lang w:eastAsia="en-US"/>
              </w:rPr>
            </w:pPr>
          </w:p>
        </w:tc>
        <w:tc>
          <w:tcPr>
            <w:tcW w:w="7922" w:type="dxa"/>
            <w:tcBorders>
              <w:top w:val="single" w:sz="4" w:space="0" w:color="6BA0FF" w:themeColor="accent1" w:themeTint="66"/>
              <w:bottom w:val="single" w:sz="2" w:space="0" w:color="6BA0FF" w:themeColor="accent1" w:themeTint="66"/>
              <w:right w:val="nil"/>
            </w:tcBorders>
          </w:tcPr>
          <w:p w14:paraId="291FFE52" w14:textId="341A710E" w:rsidR="00552F40" w:rsidRDefault="00552F40" w:rsidP="002A53BA">
            <w:pPr>
              <w:pStyle w:val="BodyText"/>
              <w:cnfStyle w:val="000000000000" w:firstRow="0" w:lastRow="0" w:firstColumn="0" w:lastColumn="0" w:oddVBand="0" w:evenVBand="0" w:oddHBand="0" w:evenHBand="0" w:firstRowFirstColumn="0" w:firstRowLastColumn="0" w:lastRowFirstColumn="0" w:lastRowLastColumn="0"/>
              <w:rPr>
                <w:b/>
                <w:bCs/>
              </w:rPr>
            </w:pPr>
            <w:r>
              <w:rPr>
                <w:b/>
                <w:iCs/>
                <w:color w:val="1E49E2" w:themeColor="accent2"/>
              </w:rPr>
              <w:t>Key findings</w:t>
            </w:r>
          </w:p>
          <w:p w14:paraId="78F7D388" w14:textId="2EDFBD70" w:rsidR="0011326A" w:rsidRPr="00194457" w:rsidRDefault="0011326A" w:rsidP="002A53BA">
            <w:pPr>
              <w:pStyle w:val="BodyText"/>
              <w:cnfStyle w:val="000000000000" w:firstRow="0" w:lastRow="0" w:firstColumn="0" w:lastColumn="0" w:oddVBand="0" w:evenVBand="0" w:oddHBand="0" w:evenHBand="0" w:firstRowFirstColumn="0" w:firstRowLastColumn="0" w:lastRowFirstColumn="0" w:lastRowLastColumn="0"/>
            </w:pPr>
            <w:r>
              <w:rPr>
                <w:b/>
                <w:bCs/>
              </w:rPr>
              <w:t>Overarching</w:t>
            </w:r>
            <w:r w:rsidRPr="0011326A">
              <w:rPr>
                <w:b/>
                <w:bCs/>
              </w:rPr>
              <w:t xml:space="preserve"> findings </w:t>
            </w:r>
          </w:p>
          <w:p w14:paraId="567B0E01" w14:textId="77777777" w:rsidR="0011326A" w:rsidRPr="00194457" w:rsidRDefault="0011326A" w:rsidP="002A53BA">
            <w:pPr>
              <w:pStyle w:val="BodyText"/>
              <w:cnfStyle w:val="000000000000" w:firstRow="0" w:lastRow="0" w:firstColumn="0" w:lastColumn="0" w:oddVBand="0" w:evenVBand="0" w:oddHBand="0" w:evenHBand="0" w:firstRowFirstColumn="0" w:firstRowLastColumn="0" w:lastRowFirstColumn="0" w:lastRowLastColumn="0"/>
              <w:rPr>
                <w:i/>
              </w:rPr>
            </w:pPr>
            <w:r w:rsidRPr="00194457">
              <w:rPr>
                <w:i/>
              </w:rPr>
              <w:t>Appropriateness of TEAP</w:t>
            </w:r>
          </w:p>
          <w:p w14:paraId="49D5111B" w14:textId="01955DD9" w:rsidR="0011326A" w:rsidRPr="0011326A" w:rsidRDefault="0011326A" w:rsidP="002A53BA">
            <w:pPr>
              <w:pStyle w:val="BodyText"/>
              <w:cnfStyle w:val="000000000000" w:firstRow="0" w:lastRow="0" w:firstColumn="0" w:lastColumn="0" w:oddVBand="0" w:evenVBand="0" w:oddHBand="0" w:evenHBand="0" w:firstRowFirstColumn="0" w:firstRowLastColumn="0" w:lastRowFirstColumn="0" w:lastRowLastColumn="0"/>
            </w:pPr>
            <w:r w:rsidRPr="0011326A">
              <w:t xml:space="preserve">Medical physicists form a small yet critical component of the medical workforce in Australia, playing an important role in ensuring the safety, quality and effectiveness of patient diagnosis and treatment in areas including radiotherapy, nuclear medicine, and diagnostic radiology. TEAP enables the development of a robust pipeline of QMPs to respond to rising demand for medical physicist services and increasing emphasis on quality and safety into the future. </w:t>
            </w:r>
          </w:p>
          <w:p w14:paraId="34101243" w14:textId="77777777" w:rsidR="00C30C25" w:rsidRDefault="0011326A" w:rsidP="002A53BA">
            <w:pPr>
              <w:pStyle w:val="BodyText"/>
              <w:cnfStyle w:val="000000000000" w:firstRow="0" w:lastRow="0" w:firstColumn="0" w:lastColumn="0" w:oddVBand="0" w:evenVBand="0" w:oddHBand="0" w:evenHBand="0" w:firstRowFirstColumn="0" w:firstRowLastColumn="0" w:lastRowFirstColumn="0" w:lastRowLastColumn="0"/>
              <w:rPr>
                <w:i/>
              </w:rPr>
            </w:pPr>
            <w:r w:rsidRPr="00194457">
              <w:rPr>
                <w:i/>
              </w:rPr>
              <w:t>Meeting w</w:t>
            </w:r>
            <w:r w:rsidR="008872E1">
              <w:rPr>
                <w:i/>
              </w:rPr>
              <w:t>o</w:t>
            </w:r>
            <w:r w:rsidRPr="00194457">
              <w:rPr>
                <w:i/>
              </w:rPr>
              <w:t>rkforce demand</w:t>
            </w:r>
          </w:p>
          <w:p w14:paraId="549AA2F6" w14:textId="6BD131A1" w:rsidR="009562C5" w:rsidRPr="0011326A" w:rsidRDefault="0011326A" w:rsidP="002A53BA">
            <w:pPr>
              <w:pStyle w:val="BodyText"/>
              <w:cnfStyle w:val="000000000000" w:firstRow="0" w:lastRow="0" w:firstColumn="0" w:lastColumn="0" w:oddVBand="0" w:evenVBand="0" w:oddHBand="0" w:evenHBand="0" w:firstRowFirstColumn="0" w:firstRowLastColumn="0" w:lastRowFirstColumn="0" w:lastRowLastColumn="0"/>
            </w:pPr>
            <w:r w:rsidRPr="0011326A">
              <w:t>Limitations in workforce data and modelling, as well as the lack of a reliable workforce dataset, impact the ability to determine whether the pipeline of TEAP graduates is meeting workforce demand. Despite a high number of university graduates, the availability of TEAP training positions and subsequent permanent employment opportunities remains limited. This issue is driven by the high cost of employing medical physicists, prioritisation and funding of the workforce by jurisdictions, and a lack of broader recognition of the value of the workforce.</w:t>
            </w:r>
          </w:p>
          <w:p w14:paraId="1D45FCD5" w14:textId="77777777" w:rsidR="0011326A" w:rsidRPr="00194457" w:rsidRDefault="0011326A" w:rsidP="002A53BA">
            <w:pPr>
              <w:pStyle w:val="BodyText"/>
              <w:cnfStyle w:val="000000000000" w:firstRow="0" w:lastRow="0" w:firstColumn="0" w:lastColumn="0" w:oddVBand="0" w:evenVBand="0" w:oddHBand="0" w:evenHBand="0" w:firstRowFirstColumn="0" w:firstRowLastColumn="0" w:lastRowFirstColumn="0" w:lastRowLastColumn="0"/>
              <w:rPr>
                <w:i/>
              </w:rPr>
            </w:pPr>
            <w:r w:rsidRPr="00194457">
              <w:rPr>
                <w:i/>
              </w:rPr>
              <w:t xml:space="preserve">Appropriateness of other MPS Program activities </w:t>
            </w:r>
          </w:p>
          <w:p w14:paraId="75296143" w14:textId="289E6740" w:rsidR="004C65B1" w:rsidRPr="0011326A" w:rsidRDefault="0011326A" w:rsidP="002A53BA">
            <w:pPr>
              <w:pStyle w:val="BodyText"/>
              <w:cnfStyle w:val="000000000000" w:firstRow="0" w:lastRow="0" w:firstColumn="0" w:lastColumn="0" w:oddVBand="0" w:evenVBand="0" w:oddHBand="0" w:evenHBand="0" w:firstRowFirstColumn="0" w:firstRowLastColumn="0" w:lastRowFirstColumn="0" w:lastRowLastColumn="0"/>
            </w:pPr>
            <w:r w:rsidRPr="0011326A">
              <w:t xml:space="preserve">Other activities funded through the MPS Program are an appropriate response to challenges of recruiting and retaining workforce in regional and remote areas, responding to advancements in technologies and practices and increasing treatment complexity, and developing workforce maturity and professional recognition. Examples of MPS Program activities which have been designed to address these workforce needs include the prioritisation of TEAP grants for regional and remote facilities, the RIFP, dynamic TEAP curriculum review, </w:t>
            </w:r>
            <w:r w:rsidR="00F10C13">
              <w:t>Continuing Professional Development (</w:t>
            </w:r>
            <w:r w:rsidRPr="0011326A">
              <w:t>CPD</w:t>
            </w:r>
            <w:r w:rsidR="00F10C13">
              <w:t>)</w:t>
            </w:r>
            <w:r w:rsidRPr="0011326A">
              <w:t xml:space="preserve"> activities, and developing Scopes of Practices.</w:t>
            </w:r>
          </w:p>
          <w:p w14:paraId="441DED82" w14:textId="77777777" w:rsidR="0011326A" w:rsidRPr="00194457" w:rsidRDefault="0011326A" w:rsidP="002A53BA">
            <w:pPr>
              <w:pStyle w:val="BodyText"/>
              <w:cnfStyle w:val="000000000000" w:firstRow="0" w:lastRow="0" w:firstColumn="0" w:lastColumn="0" w:oddVBand="0" w:evenVBand="0" w:oddHBand="0" w:evenHBand="0" w:firstRowFirstColumn="0" w:firstRowLastColumn="0" w:lastRowFirstColumn="0" w:lastRowLastColumn="0"/>
              <w:rPr>
                <w:i/>
              </w:rPr>
            </w:pPr>
            <w:r w:rsidRPr="00194457">
              <w:rPr>
                <w:i/>
              </w:rPr>
              <w:t xml:space="preserve">Program alignment </w:t>
            </w:r>
          </w:p>
          <w:p w14:paraId="18B485DC" w14:textId="177488FF" w:rsidR="0011326A" w:rsidRDefault="0011326A"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11326A">
              <w:rPr>
                <w:bCs/>
                <w:iCs/>
              </w:rPr>
              <w:t>The MPS Program is broadly aligned with the training and workforce distribution components of strategies and plans that have been developed at both a State and National level. Outside the STP, the MPS Program is unique in the funding that it provides to support trainees and for the funding provided to ACPSEM for the development of the TEAP curriculum.</w:t>
            </w:r>
          </w:p>
        </w:tc>
      </w:tr>
      <w:tr w:rsidR="004503D9" w14:paraId="5C8A7889" w14:textId="77777777" w:rsidTr="002A53BA">
        <w:trPr>
          <w:cantSplit/>
        </w:trPr>
        <w:tc>
          <w:tcPr>
            <w:cnfStyle w:val="001000000000" w:firstRow="0" w:lastRow="0" w:firstColumn="1" w:lastColumn="0" w:oddVBand="0" w:evenVBand="0" w:oddHBand="0" w:evenHBand="0" w:firstRowFirstColumn="0" w:firstRowLastColumn="0" w:lastRowFirstColumn="0" w:lastRowLastColumn="0"/>
            <w:tcW w:w="2001" w:type="dxa"/>
            <w:vMerge w:val="restart"/>
            <w:tcBorders>
              <w:top w:val="single" w:sz="2" w:space="0" w:color="6BA0FF" w:themeColor="accent1" w:themeTint="66"/>
              <w:left w:val="nil"/>
            </w:tcBorders>
            <w:shd w:val="clear" w:color="auto" w:fill="F1F4FE"/>
          </w:tcPr>
          <w:p w14:paraId="13A430C4" w14:textId="6CB85D6D" w:rsidR="004503D9" w:rsidRPr="00E944E9" w:rsidRDefault="004503D9" w:rsidP="002A53BA">
            <w:pPr>
              <w:pStyle w:val="BodyText"/>
              <w:rPr>
                <w:b w:val="0"/>
                <w:bCs w:val="0"/>
              </w:rPr>
            </w:pPr>
            <w:r w:rsidRPr="00E944E9">
              <w:t>KEQ3:</w:t>
            </w:r>
          </w:p>
          <w:p w14:paraId="59833C44" w14:textId="53AE636A" w:rsidR="004503D9" w:rsidRPr="0011326A" w:rsidRDefault="004503D9" w:rsidP="002A53BA">
            <w:pPr>
              <w:pStyle w:val="Caption"/>
              <w:rPr>
                <w:iCs/>
              </w:rPr>
            </w:pPr>
            <w:r w:rsidRPr="0011326A">
              <w:rPr>
                <w:rFonts w:eastAsiaTheme="minorHAnsi" w:cstheme="minorBidi"/>
                <w:b w:val="0"/>
                <w:bCs/>
                <w:iCs/>
                <w:color w:val="auto"/>
                <w:szCs w:val="22"/>
                <w:lang w:eastAsia="en-US"/>
              </w:rPr>
              <w:t>How efficient is the MPS Program?</w:t>
            </w:r>
          </w:p>
        </w:tc>
        <w:tc>
          <w:tcPr>
            <w:tcW w:w="7922" w:type="dxa"/>
            <w:tcBorders>
              <w:top w:val="single" w:sz="2" w:space="0" w:color="6BA0FF" w:themeColor="accent1" w:themeTint="66"/>
              <w:bottom w:val="single" w:sz="2" w:space="0" w:color="6BA0FF" w:themeColor="accent1" w:themeTint="66"/>
              <w:right w:val="nil"/>
            </w:tcBorders>
          </w:tcPr>
          <w:p w14:paraId="3A5E87C2" w14:textId="77777777" w:rsidR="004503D9" w:rsidRDefault="004503D9"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194457">
              <w:rPr>
                <w:b/>
                <w:color w:val="1E49E2" w:themeColor="accent2"/>
              </w:rPr>
              <w:t>Overall assessment</w:t>
            </w:r>
          </w:p>
          <w:p w14:paraId="50A81DC2" w14:textId="76AF33AE" w:rsidR="004503D9" w:rsidRPr="0011326A" w:rsidRDefault="004503D9" w:rsidP="002A53BA">
            <w:pPr>
              <w:pStyle w:val="BodyText"/>
              <w:cnfStyle w:val="000000000000" w:firstRow="0" w:lastRow="0" w:firstColumn="0" w:lastColumn="0" w:oddVBand="0" w:evenVBand="0" w:oddHBand="0" w:evenHBand="0" w:firstRowFirstColumn="0" w:firstRowLastColumn="0" w:lastRowFirstColumn="0" w:lastRowLastColumn="0"/>
            </w:pPr>
            <w:r w:rsidRPr="0011326A">
              <w:t>Due to substantial data limitations, an accurate assessment of the efficiency of resource use by the MPS Program could not be made. However, some administrative inefficiencies exist.</w:t>
            </w:r>
          </w:p>
        </w:tc>
      </w:tr>
      <w:tr w:rsidR="004503D9" w14:paraId="5E23E0A0" w14:textId="77777777" w:rsidTr="002A53BA">
        <w:trPr>
          <w:cantSplit/>
        </w:trPr>
        <w:tc>
          <w:tcPr>
            <w:cnfStyle w:val="001000000000" w:firstRow="0" w:lastRow="0" w:firstColumn="1" w:lastColumn="0" w:oddVBand="0" w:evenVBand="0" w:oddHBand="0" w:evenHBand="0" w:firstRowFirstColumn="0" w:firstRowLastColumn="0" w:lastRowFirstColumn="0" w:lastRowLastColumn="0"/>
            <w:tcW w:w="2001" w:type="dxa"/>
            <w:vMerge/>
            <w:tcBorders>
              <w:left w:val="nil"/>
            </w:tcBorders>
            <w:shd w:val="clear" w:color="auto" w:fill="F1F4FE"/>
          </w:tcPr>
          <w:p w14:paraId="20AB9DC1" w14:textId="3469D49F" w:rsidR="004503D9" w:rsidRPr="00E944E9" w:rsidRDefault="004503D9" w:rsidP="002A53BA">
            <w:pPr>
              <w:pStyle w:val="Caption"/>
            </w:pPr>
          </w:p>
        </w:tc>
        <w:tc>
          <w:tcPr>
            <w:tcW w:w="7922" w:type="dxa"/>
            <w:tcBorders>
              <w:top w:val="single" w:sz="2" w:space="0" w:color="6BA0FF" w:themeColor="accent1" w:themeTint="66"/>
              <w:bottom w:val="single" w:sz="2" w:space="0" w:color="6BA0FF" w:themeColor="accent1" w:themeTint="66"/>
              <w:right w:val="nil"/>
            </w:tcBorders>
          </w:tcPr>
          <w:p w14:paraId="2D03F7CC" w14:textId="77777777" w:rsidR="004503D9" w:rsidRDefault="004503D9"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FF2C09">
              <w:rPr>
                <w:b/>
                <w:iCs/>
                <w:color w:val="1E49E2" w:themeColor="accent2"/>
              </w:rPr>
              <w:t>Strength of evidence</w:t>
            </w:r>
          </w:p>
          <w:p w14:paraId="2660798D" w14:textId="77E500AD" w:rsidR="004503D9" w:rsidRDefault="004503D9" w:rsidP="002A53BA">
            <w:pPr>
              <w:pStyle w:val="BodyText"/>
              <w:cnfStyle w:val="000000000000" w:firstRow="0" w:lastRow="0" w:firstColumn="0" w:lastColumn="0" w:oddVBand="0" w:evenVBand="0" w:oddHBand="0" w:evenHBand="0" w:firstRowFirstColumn="0" w:firstRowLastColumn="0" w:lastRowFirstColumn="0" w:lastRowLastColumn="0"/>
              <w:rPr>
                <w:b/>
                <w:bCs/>
              </w:rPr>
            </w:pPr>
            <w:r>
              <w:t>Weak evidence for financial efficiency, and some</w:t>
            </w:r>
            <w:r w:rsidRPr="00FC0CB6">
              <w:t xml:space="preserve"> evidence</w:t>
            </w:r>
            <w:r>
              <w:t xml:space="preserve"> for administrative efficiency.</w:t>
            </w:r>
          </w:p>
        </w:tc>
      </w:tr>
      <w:tr w:rsidR="0011326A" w14:paraId="7E3C808F" w14:textId="486353EC" w:rsidTr="002A53BA">
        <w:trPr>
          <w:cantSplit/>
        </w:trPr>
        <w:tc>
          <w:tcPr>
            <w:cnfStyle w:val="001000000000" w:firstRow="0" w:lastRow="0" w:firstColumn="1" w:lastColumn="0" w:oddVBand="0" w:evenVBand="0" w:oddHBand="0" w:evenHBand="0" w:firstRowFirstColumn="0" w:firstRowLastColumn="0" w:lastRowFirstColumn="0" w:lastRowLastColumn="0"/>
            <w:tcW w:w="2001" w:type="dxa"/>
            <w:vMerge/>
            <w:tcBorders>
              <w:left w:val="nil"/>
              <w:bottom w:val="single" w:sz="2" w:space="0" w:color="6BA0FF" w:themeColor="accent1" w:themeTint="66"/>
            </w:tcBorders>
            <w:shd w:val="clear" w:color="auto" w:fill="F1F4FE"/>
          </w:tcPr>
          <w:p w14:paraId="1F27C716" w14:textId="2CAF194B" w:rsidR="0011326A" w:rsidRPr="00764402" w:rsidRDefault="0011326A" w:rsidP="002A53BA">
            <w:pPr>
              <w:pStyle w:val="Caption"/>
              <w:rPr>
                <w:rFonts w:eastAsiaTheme="minorHAnsi" w:cstheme="minorBidi"/>
                <w:b w:val="0"/>
                <w:bCs/>
                <w:i/>
                <w:color w:val="auto"/>
                <w:szCs w:val="22"/>
                <w:lang w:eastAsia="en-US"/>
              </w:rPr>
            </w:pPr>
          </w:p>
        </w:tc>
        <w:tc>
          <w:tcPr>
            <w:tcW w:w="7922" w:type="dxa"/>
            <w:tcBorders>
              <w:top w:val="single" w:sz="2" w:space="0" w:color="6BA0FF" w:themeColor="accent1" w:themeTint="66"/>
              <w:bottom w:val="single" w:sz="2" w:space="0" w:color="6BA0FF" w:themeColor="accent1" w:themeTint="66"/>
              <w:right w:val="nil"/>
            </w:tcBorders>
          </w:tcPr>
          <w:p w14:paraId="5140969E" w14:textId="52BC3E72" w:rsidR="00552F40" w:rsidRDefault="00552F40" w:rsidP="002A53BA">
            <w:pPr>
              <w:pStyle w:val="BodyText"/>
              <w:cnfStyle w:val="000000000000" w:firstRow="0" w:lastRow="0" w:firstColumn="0" w:lastColumn="0" w:oddVBand="0" w:evenVBand="0" w:oddHBand="0" w:evenHBand="0" w:firstRowFirstColumn="0" w:firstRowLastColumn="0" w:lastRowFirstColumn="0" w:lastRowLastColumn="0"/>
              <w:rPr>
                <w:b/>
                <w:bCs/>
              </w:rPr>
            </w:pPr>
            <w:r>
              <w:rPr>
                <w:b/>
                <w:iCs/>
                <w:color w:val="1E49E2" w:themeColor="accent2"/>
              </w:rPr>
              <w:t>Key findings</w:t>
            </w:r>
          </w:p>
          <w:p w14:paraId="2C56D23C" w14:textId="77777777" w:rsidR="0011326A" w:rsidRPr="0011326A" w:rsidRDefault="0011326A"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11326A">
              <w:rPr>
                <w:b/>
                <w:bCs/>
              </w:rPr>
              <w:t>Overarching findings</w:t>
            </w:r>
          </w:p>
          <w:p w14:paraId="19CC2409" w14:textId="77777777" w:rsidR="0011326A" w:rsidRPr="00194457" w:rsidRDefault="0011326A" w:rsidP="002A53BA">
            <w:pPr>
              <w:pStyle w:val="BodyText"/>
              <w:cnfStyle w:val="000000000000" w:firstRow="0" w:lastRow="0" w:firstColumn="0" w:lastColumn="0" w:oddVBand="0" w:evenVBand="0" w:oddHBand="0" w:evenHBand="0" w:firstRowFirstColumn="0" w:firstRowLastColumn="0" w:lastRowFirstColumn="0" w:lastRowLastColumn="0"/>
              <w:rPr>
                <w:i/>
              </w:rPr>
            </w:pPr>
            <w:r w:rsidRPr="00194457">
              <w:rPr>
                <w:i/>
              </w:rPr>
              <w:t>Financial efficiency</w:t>
            </w:r>
          </w:p>
          <w:p w14:paraId="478F37C0" w14:textId="2757E436" w:rsidR="0011326A" w:rsidRPr="0011326A" w:rsidRDefault="0011326A" w:rsidP="002A53BA">
            <w:pPr>
              <w:pStyle w:val="BodyText"/>
              <w:cnfStyle w:val="000000000000" w:firstRow="0" w:lastRow="0" w:firstColumn="0" w:lastColumn="0" w:oddVBand="0" w:evenVBand="0" w:oddHBand="0" w:evenHBand="0" w:firstRowFirstColumn="0" w:firstRowLastColumn="0" w:lastRowFirstColumn="0" w:lastRowLastColumn="0"/>
            </w:pPr>
            <w:r w:rsidRPr="0011326A">
              <w:t>There are challenges to determining financial efficiency of the MPS Program due to inconsistent reporting and activities over time, financial data limitations, and a lack of benchmarking data.</w:t>
            </w:r>
            <w:r w:rsidR="00096749">
              <w:t xml:space="preserve"> This is an identified area for improvement in the overall administration of the </w:t>
            </w:r>
            <w:r w:rsidR="006C6459">
              <w:t>MPS P</w:t>
            </w:r>
            <w:r w:rsidR="00096749">
              <w:t>rogram.</w:t>
            </w:r>
          </w:p>
          <w:p w14:paraId="5C5A895B" w14:textId="77777777" w:rsidR="0011326A" w:rsidRPr="00194457" w:rsidRDefault="0011326A" w:rsidP="002A53BA">
            <w:pPr>
              <w:pStyle w:val="BodyText"/>
              <w:cnfStyle w:val="000000000000" w:firstRow="0" w:lastRow="0" w:firstColumn="0" w:lastColumn="0" w:oddVBand="0" w:evenVBand="0" w:oddHBand="0" w:evenHBand="0" w:firstRowFirstColumn="0" w:firstRowLastColumn="0" w:lastRowFirstColumn="0" w:lastRowLastColumn="0"/>
              <w:rPr>
                <w:i/>
              </w:rPr>
            </w:pPr>
            <w:r w:rsidRPr="00194457">
              <w:rPr>
                <w:i/>
              </w:rPr>
              <w:t>Administrative efficiency</w:t>
            </w:r>
          </w:p>
          <w:p w14:paraId="259759EE" w14:textId="5E196A87" w:rsidR="0011326A" w:rsidRDefault="0011326A"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11326A">
              <w:rPr>
                <w:bCs/>
                <w:iCs/>
              </w:rPr>
              <w:t xml:space="preserve">Supervisor and Registrars commonly encounter administrative inefficiencies, citing challenges with </w:t>
            </w:r>
            <w:r w:rsidR="00834482">
              <w:rPr>
                <w:bCs/>
                <w:iCs/>
              </w:rPr>
              <w:t>ACPSEM</w:t>
            </w:r>
            <w:r w:rsidRPr="0011326A">
              <w:rPr>
                <w:bCs/>
                <w:iCs/>
              </w:rPr>
              <w:t xml:space="preserve"> response times as well as the user friendliness and efficiency of the LMS, ALEX.</w:t>
            </w:r>
          </w:p>
        </w:tc>
      </w:tr>
      <w:tr w:rsidR="00552F40" w:rsidRPr="00965F3A" w14:paraId="6801EFFB" w14:textId="77777777" w:rsidTr="002A53BA">
        <w:tc>
          <w:tcPr>
            <w:cnfStyle w:val="001000000000" w:firstRow="0" w:lastRow="0" w:firstColumn="1" w:lastColumn="0" w:oddVBand="0" w:evenVBand="0" w:oddHBand="0" w:evenHBand="0" w:firstRowFirstColumn="0" w:firstRowLastColumn="0" w:lastRowFirstColumn="0" w:lastRowLastColumn="0"/>
            <w:tcW w:w="2001" w:type="dxa"/>
            <w:vMerge w:val="restart"/>
            <w:tcBorders>
              <w:top w:val="single" w:sz="2" w:space="0" w:color="6BA0FF" w:themeColor="accent1" w:themeTint="66"/>
              <w:left w:val="single" w:sz="2" w:space="0" w:color="FFFFFF" w:themeColor="background1"/>
            </w:tcBorders>
            <w:shd w:val="clear" w:color="auto" w:fill="F1F4FE"/>
          </w:tcPr>
          <w:p w14:paraId="42CFBA09" w14:textId="71DAACBA" w:rsidR="00552F40" w:rsidRPr="00E944E9" w:rsidRDefault="00552F40" w:rsidP="002A53BA">
            <w:pPr>
              <w:pStyle w:val="BodyText"/>
              <w:rPr>
                <w:b w:val="0"/>
                <w:bCs w:val="0"/>
              </w:rPr>
            </w:pPr>
            <w:r w:rsidRPr="00E944E9">
              <w:t>KEQ4:</w:t>
            </w:r>
          </w:p>
          <w:p w14:paraId="594E89ED" w14:textId="26AF3624" w:rsidR="00552F40" w:rsidRPr="00E944E9" w:rsidRDefault="00552F40" w:rsidP="002A53BA">
            <w:pPr>
              <w:pStyle w:val="Caption"/>
            </w:pPr>
            <w:r w:rsidRPr="0011326A">
              <w:rPr>
                <w:rFonts w:eastAsiaTheme="minorHAnsi" w:cstheme="minorBidi"/>
                <w:b w:val="0"/>
                <w:bCs/>
                <w:iCs/>
                <w:color w:val="auto"/>
                <w:szCs w:val="22"/>
                <w:lang w:eastAsia="en-US"/>
              </w:rPr>
              <w:t>How sustainable is the MPS Program over the long term, and what evidence supports its continued viability to justify ongoing funding support?</w:t>
            </w:r>
          </w:p>
        </w:tc>
        <w:tc>
          <w:tcPr>
            <w:tcW w:w="7922" w:type="dxa"/>
            <w:tcBorders>
              <w:top w:val="single" w:sz="2" w:space="0" w:color="6BA0FF" w:themeColor="accent1" w:themeTint="66"/>
              <w:bottom w:val="single" w:sz="2" w:space="0" w:color="6BA0FF" w:themeColor="accent1" w:themeTint="66"/>
              <w:right w:val="single" w:sz="2" w:space="0" w:color="FFFFFF" w:themeColor="background1"/>
            </w:tcBorders>
          </w:tcPr>
          <w:p w14:paraId="3259E531" w14:textId="77777777" w:rsidR="00552F40" w:rsidRDefault="00552F40"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194457">
              <w:rPr>
                <w:b/>
                <w:color w:val="1E49E2" w:themeColor="accent2"/>
              </w:rPr>
              <w:t>Overall assessment</w:t>
            </w:r>
          </w:p>
          <w:p w14:paraId="75340CE7" w14:textId="77777777" w:rsidR="00552F40" w:rsidRDefault="00552F40" w:rsidP="002A53BA">
            <w:pPr>
              <w:pStyle w:val="BodyText"/>
              <w:cnfStyle w:val="000000000000" w:firstRow="0" w:lastRow="0" w:firstColumn="0" w:lastColumn="0" w:oddVBand="0" w:evenVBand="0" w:oddHBand="0" w:evenHBand="0" w:firstRowFirstColumn="0" w:firstRowLastColumn="0" w:lastRowFirstColumn="0" w:lastRowLastColumn="0"/>
            </w:pPr>
            <w:r w:rsidRPr="004503D9">
              <w:t xml:space="preserve">The MPS Program is essential for the continued viability of the </w:t>
            </w:r>
            <w:r w:rsidR="00A618A3">
              <w:t>m</w:t>
            </w:r>
            <w:r w:rsidR="004503D9" w:rsidRPr="004503D9">
              <w:t xml:space="preserve">edical </w:t>
            </w:r>
            <w:r w:rsidR="00A618A3">
              <w:t>p</w:t>
            </w:r>
            <w:r w:rsidR="004503D9" w:rsidRPr="004503D9">
              <w:t>hysicist</w:t>
            </w:r>
            <w:r w:rsidRPr="004503D9">
              <w:t xml:space="preserve"> workforce to ensure workforce demand is met.</w:t>
            </w:r>
          </w:p>
          <w:p w14:paraId="79AFCABF" w14:textId="0BCF90FA" w:rsidR="000421BC" w:rsidRPr="004503D9" w:rsidRDefault="000421BC" w:rsidP="002A53BA">
            <w:pPr>
              <w:pStyle w:val="BodyText"/>
              <w:cnfStyle w:val="000000000000" w:firstRow="0" w:lastRow="0" w:firstColumn="0" w:lastColumn="0" w:oddVBand="0" w:evenVBand="0" w:oddHBand="0" w:evenHBand="0" w:firstRowFirstColumn="0" w:firstRowLastColumn="0" w:lastRowFirstColumn="0" w:lastRowLastColumn="0"/>
            </w:pPr>
          </w:p>
        </w:tc>
      </w:tr>
      <w:tr w:rsidR="00552F40" w:rsidRPr="00965F3A" w14:paraId="6B658CD4" w14:textId="77777777" w:rsidTr="002A53BA">
        <w:tc>
          <w:tcPr>
            <w:cnfStyle w:val="001000000000" w:firstRow="0" w:lastRow="0" w:firstColumn="1" w:lastColumn="0" w:oddVBand="0" w:evenVBand="0" w:oddHBand="0" w:evenHBand="0" w:firstRowFirstColumn="0" w:firstRowLastColumn="0" w:lastRowFirstColumn="0" w:lastRowLastColumn="0"/>
            <w:tcW w:w="2001" w:type="dxa"/>
            <w:vMerge/>
            <w:tcBorders>
              <w:left w:val="single" w:sz="2" w:space="0" w:color="FFFFFF" w:themeColor="background1"/>
            </w:tcBorders>
            <w:shd w:val="clear" w:color="auto" w:fill="F1F4FE"/>
          </w:tcPr>
          <w:p w14:paraId="7C6829D5" w14:textId="7D555DFF" w:rsidR="00552F40" w:rsidRPr="00E944E9" w:rsidRDefault="00552F40" w:rsidP="002A53BA">
            <w:pPr>
              <w:pStyle w:val="Caption"/>
            </w:pPr>
          </w:p>
        </w:tc>
        <w:tc>
          <w:tcPr>
            <w:tcW w:w="7922" w:type="dxa"/>
            <w:tcBorders>
              <w:top w:val="single" w:sz="2" w:space="0" w:color="6BA0FF" w:themeColor="accent1" w:themeTint="66"/>
              <w:bottom w:val="single" w:sz="2" w:space="0" w:color="6BA0FF" w:themeColor="accent1" w:themeTint="66"/>
              <w:right w:val="single" w:sz="2" w:space="0" w:color="FFFFFF" w:themeColor="background1"/>
            </w:tcBorders>
          </w:tcPr>
          <w:p w14:paraId="4E4FEDE0" w14:textId="3F9EE0B6" w:rsidR="00552F40" w:rsidRPr="00552F40" w:rsidRDefault="00552F40"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FF2C09">
              <w:rPr>
                <w:b/>
                <w:iCs/>
                <w:color w:val="1E49E2" w:themeColor="accent2"/>
              </w:rPr>
              <w:t>Strength of evidence</w:t>
            </w:r>
            <w:r>
              <w:rPr>
                <w:b/>
                <w:bCs/>
                <w:iCs/>
                <w:color w:val="1E49E2" w:themeColor="accent2"/>
              </w:rPr>
              <w:t xml:space="preserve">: </w:t>
            </w:r>
            <w:r w:rsidRPr="00552F40">
              <w:t>Some evidence.</w:t>
            </w:r>
          </w:p>
        </w:tc>
      </w:tr>
      <w:tr w:rsidR="0011326A" w:rsidRPr="00965F3A" w14:paraId="1C211AD8" w14:textId="4C3E76B2" w:rsidTr="002A53BA">
        <w:trPr>
          <w:cantSplit/>
        </w:trPr>
        <w:tc>
          <w:tcPr>
            <w:cnfStyle w:val="001000000000" w:firstRow="0" w:lastRow="0" w:firstColumn="1" w:lastColumn="0" w:oddVBand="0" w:evenVBand="0" w:oddHBand="0" w:evenHBand="0" w:firstRowFirstColumn="0" w:firstRowLastColumn="0" w:lastRowFirstColumn="0" w:lastRowLastColumn="0"/>
            <w:tcW w:w="2001" w:type="dxa"/>
            <w:vMerge/>
            <w:tcBorders>
              <w:left w:val="single" w:sz="2" w:space="0" w:color="FFFFFF" w:themeColor="background1"/>
              <w:bottom w:val="nil"/>
            </w:tcBorders>
            <w:shd w:val="clear" w:color="auto" w:fill="F1F4FE"/>
          </w:tcPr>
          <w:p w14:paraId="4B16FFBD" w14:textId="216EC05F" w:rsidR="0011326A" w:rsidRPr="00764402" w:rsidRDefault="0011326A" w:rsidP="002A53BA">
            <w:pPr>
              <w:pStyle w:val="Caption"/>
              <w:rPr>
                <w:rFonts w:eastAsiaTheme="minorHAnsi" w:cstheme="minorBidi"/>
                <w:b w:val="0"/>
                <w:bCs/>
                <w:iCs/>
                <w:color w:val="auto"/>
                <w:szCs w:val="22"/>
                <w:lang w:eastAsia="en-US"/>
              </w:rPr>
            </w:pPr>
          </w:p>
        </w:tc>
        <w:tc>
          <w:tcPr>
            <w:tcW w:w="7922" w:type="dxa"/>
            <w:tcBorders>
              <w:top w:val="single" w:sz="2" w:space="0" w:color="6BA0FF" w:themeColor="accent1" w:themeTint="66"/>
              <w:bottom w:val="single" w:sz="4" w:space="0" w:color="6BA0FF" w:themeColor="accent1" w:themeTint="66"/>
              <w:right w:val="single" w:sz="2" w:space="0" w:color="FFFFFF" w:themeColor="background1"/>
            </w:tcBorders>
          </w:tcPr>
          <w:p w14:paraId="45285E04" w14:textId="02479A11" w:rsidR="00552F40" w:rsidRDefault="00552F40" w:rsidP="002A53BA">
            <w:pPr>
              <w:pStyle w:val="BodyText"/>
              <w:cnfStyle w:val="000000000000" w:firstRow="0" w:lastRow="0" w:firstColumn="0" w:lastColumn="0" w:oddVBand="0" w:evenVBand="0" w:oddHBand="0" w:evenHBand="0" w:firstRowFirstColumn="0" w:firstRowLastColumn="0" w:lastRowFirstColumn="0" w:lastRowLastColumn="0"/>
              <w:rPr>
                <w:b/>
                <w:bCs/>
              </w:rPr>
            </w:pPr>
            <w:r>
              <w:rPr>
                <w:b/>
                <w:iCs/>
                <w:color w:val="1E49E2" w:themeColor="accent2"/>
              </w:rPr>
              <w:t>Key findings</w:t>
            </w:r>
          </w:p>
          <w:p w14:paraId="2FE66D55" w14:textId="77777777" w:rsidR="004503D9" w:rsidRPr="00554665" w:rsidRDefault="004503D9" w:rsidP="002A53BA">
            <w:pPr>
              <w:pStyle w:val="BodyText"/>
              <w:cnfStyle w:val="000000000000" w:firstRow="0" w:lastRow="0" w:firstColumn="0" w:lastColumn="0" w:oddVBand="0" w:evenVBand="0" w:oddHBand="0" w:evenHBand="0" w:firstRowFirstColumn="0" w:firstRowLastColumn="0" w:lastRowFirstColumn="0" w:lastRowLastColumn="0"/>
              <w:rPr>
                <w:b/>
              </w:rPr>
            </w:pPr>
            <w:r w:rsidRPr="00552F40">
              <w:rPr>
                <w:b/>
              </w:rPr>
              <w:t>Overarching findings</w:t>
            </w:r>
          </w:p>
          <w:p w14:paraId="35FD2FB8" w14:textId="77777777" w:rsidR="004503D9" w:rsidRPr="00194457" w:rsidRDefault="004503D9" w:rsidP="002A53BA">
            <w:pPr>
              <w:pStyle w:val="Caption"/>
              <w:spacing w:after="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2"/>
                <w:lang w:eastAsia="en-US"/>
              </w:rPr>
            </w:pPr>
            <w:r w:rsidRPr="00194457">
              <w:rPr>
                <w:rFonts w:eastAsiaTheme="minorHAnsi" w:cstheme="minorBidi"/>
                <w:color w:val="auto"/>
                <w:szCs w:val="22"/>
                <w:lang w:eastAsia="en-US"/>
              </w:rPr>
              <w:t xml:space="preserve">Career pathway </w:t>
            </w:r>
          </w:p>
          <w:p w14:paraId="53E2FFC8" w14:textId="3B2BF3B2" w:rsidR="00C2020B" w:rsidRDefault="004503D9" w:rsidP="002A53BA">
            <w:pPr>
              <w:pStyle w:val="BodyText"/>
              <w:spacing w:before="60"/>
              <w:cnfStyle w:val="000000000000" w:firstRow="0" w:lastRow="0" w:firstColumn="0" w:lastColumn="0" w:oddVBand="0" w:evenVBand="0" w:oddHBand="0" w:evenHBand="0" w:firstRowFirstColumn="0" w:firstRowLastColumn="0" w:lastRowFirstColumn="0" w:lastRowLastColumn="0"/>
            </w:pPr>
            <w:r>
              <w:t>The MPS Program focuses on new workforce entrants obtaining qualifications through the TEAP Pathway. Consultations continually highlighted that the workforce is oversubscribed at the entrant level, and that facilities are experiencing a skills gap between qualified and experienced QMPs. The gap in recruiting experienced QMPs, particularly in regional and remote settings, is being</w:t>
            </w:r>
            <w:r w:rsidR="00C34218">
              <w:t xml:space="preserve"> partially</w:t>
            </w:r>
            <w:r>
              <w:t xml:space="preserve"> filled by internationally trained </w:t>
            </w:r>
            <w:r w:rsidR="00D35E9B">
              <w:t>medical physicists</w:t>
            </w:r>
            <w:r>
              <w:t>.</w:t>
            </w:r>
          </w:p>
          <w:p w14:paraId="5821DC57" w14:textId="77777777" w:rsidR="004503D9" w:rsidRPr="00194457" w:rsidRDefault="004503D9" w:rsidP="002A53BA">
            <w:pPr>
              <w:pStyle w:val="BodyText"/>
              <w:spacing w:after="60"/>
              <w:cnfStyle w:val="000000000000" w:firstRow="0" w:lastRow="0" w:firstColumn="0" w:lastColumn="0" w:oddVBand="0" w:evenVBand="0" w:oddHBand="0" w:evenHBand="0" w:firstRowFirstColumn="0" w:firstRowLastColumn="0" w:lastRowFirstColumn="0" w:lastRowLastColumn="0"/>
              <w:rPr>
                <w:i/>
              </w:rPr>
            </w:pPr>
            <w:r w:rsidRPr="00194457">
              <w:rPr>
                <w:i/>
              </w:rPr>
              <w:t>Funding model</w:t>
            </w:r>
          </w:p>
          <w:p w14:paraId="260EEA32" w14:textId="77777777" w:rsidR="004503D9" w:rsidRDefault="004503D9" w:rsidP="002A53BA">
            <w:pPr>
              <w:pStyle w:val="BodyText"/>
              <w:spacing w:before="60"/>
              <w:cnfStyle w:val="000000000000" w:firstRow="0" w:lastRow="0" w:firstColumn="0" w:lastColumn="0" w:oddVBand="0" w:evenVBand="0" w:oddHBand="0" w:evenHBand="0" w:firstRowFirstColumn="0" w:firstRowLastColumn="0" w:lastRowFirstColumn="0" w:lastRowLastColumn="0"/>
              <w:rPr>
                <w:b/>
                <w:bCs/>
              </w:rPr>
            </w:pPr>
            <w:r>
              <w:t xml:space="preserve">The funding model and </w:t>
            </w:r>
            <w:proofErr w:type="gramStart"/>
            <w:r>
              <w:t>in particular the</w:t>
            </w:r>
            <w:proofErr w:type="gramEnd"/>
            <w:r>
              <w:t xml:space="preserve"> Base and Regional Loading grant funding amounts, have remained unchanged since the 2018 grant agreement while Registrar costs have increased. </w:t>
            </w:r>
            <w:r w:rsidRPr="00833CE1">
              <w:t>Facilities commonly raised that they find it challenging to find funds to cover the salary gap</w:t>
            </w:r>
            <w:r>
              <w:t xml:space="preserve">. </w:t>
            </w:r>
          </w:p>
          <w:p w14:paraId="253B4BEB" w14:textId="77777777" w:rsidR="004503D9" w:rsidRPr="00457A0C" w:rsidRDefault="004503D9" w:rsidP="002A53BA">
            <w:pPr>
              <w:pStyle w:val="Caption"/>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194457">
              <w:rPr>
                <w:rFonts w:eastAsiaTheme="minorHAnsi" w:cstheme="minorBidi"/>
                <w:color w:val="auto"/>
                <w:szCs w:val="22"/>
                <w:lang w:eastAsia="en-US"/>
              </w:rPr>
              <w:t>Administering the MPS Program</w:t>
            </w:r>
          </w:p>
          <w:p w14:paraId="6EDC4259" w14:textId="421301EC" w:rsidR="004503D9" w:rsidRDefault="004503D9" w:rsidP="002A53BA">
            <w:pPr>
              <w:pStyle w:val="BodyText"/>
              <w:spacing w:before="60"/>
              <w:cnfStyle w:val="000000000000" w:firstRow="0" w:lastRow="0" w:firstColumn="0" w:lastColumn="0" w:oddVBand="0" w:evenVBand="0" w:oddHBand="0" w:evenHBand="0" w:firstRowFirstColumn="0" w:firstRowLastColumn="0" w:lastRowFirstColumn="0" w:lastRowLastColumn="0"/>
            </w:pPr>
            <w:r>
              <w:t>T</w:t>
            </w:r>
            <w:r w:rsidRPr="00FC0CB6">
              <w:t>he MPS Program plays a significant role in provid</w:t>
            </w:r>
            <w:r w:rsidRPr="00EE7C52">
              <w:t xml:space="preserve">ing </w:t>
            </w:r>
            <w:r w:rsidRPr="00FC0CB6">
              <w:t>training</w:t>
            </w:r>
            <w:r>
              <w:t xml:space="preserve">, </w:t>
            </w:r>
            <w:r w:rsidRPr="00EE7C52">
              <w:t>certificatio</w:t>
            </w:r>
            <w:r w:rsidRPr="00FC0CB6">
              <w:t>n</w:t>
            </w:r>
            <w:r>
              <w:t xml:space="preserve"> and assessment </w:t>
            </w:r>
            <w:r w:rsidRPr="00FC0CB6">
              <w:t>of the small but critical medical physics workforce</w:t>
            </w:r>
            <w:r>
              <w:t xml:space="preserve"> to ensure safe, efficient</w:t>
            </w:r>
            <w:r w:rsidR="00B8496A">
              <w:t>,</w:t>
            </w:r>
            <w:r>
              <w:t xml:space="preserve"> and quality service delivery.</w:t>
            </w:r>
          </w:p>
          <w:p w14:paraId="12EA3138" w14:textId="4F7D3649" w:rsidR="004503D9" w:rsidRDefault="004503D9" w:rsidP="002A53BA">
            <w:pPr>
              <w:pStyle w:val="BodyText"/>
              <w:cnfStyle w:val="000000000000" w:firstRow="0" w:lastRow="0" w:firstColumn="0" w:lastColumn="0" w:oddVBand="0" w:evenVBand="0" w:oddHBand="0" w:evenHBand="0" w:firstRowFirstColumn="0" w:firstRowLastColumn="0" w:lastRowFirstColumn="0" w:lastRowLastColumn="0"/>
            </w:pPr>
            <w:r>
              <w:t xml:space="preserve">Jurisdictions prioritise the </w:t>
            </w:r>
            <w:r w:rsidR="00A618A3">
              <w:t>m</w:t>
            </w:r>
            <w:r>
              <w:t xml:space="preserve">edical </w:t>
            </w:r>
            <w:r w:rsidR="00A618A3">
              <w:t>p</w:t>
            </w:r>
            <w:r>
              <w:t xml:space="preserve">hysicist and RPS workforce differently and take varying approaches to supporting the workforce, impacting MPS Program implementation and effectiveness in each state and territory. </w:t>
            </w:r>
          </w:p>
          <w:p w14:paraId="135C6BA0" w14:textId="1E5A2854" w:rsidR="0011326A" w:rsidRDefault="004503D9" w:rsidP="002A53BA">
            <w:pPr>
              <w:pStyle w:val="BodyText"/>
              <w:cnfStyle w:val="000000000000" w:firstRow="0" w:lastRow="0" w:firstColumn="0" w:lastColumn="0" w:oddVBand="0" w:evenVBand="0" w:oddHBand="0" w:evenHBand="0" w:firstRowFirstColumn="0" w:firstRowLastColumn="0" w:lastRowFirstColumn="0" w:lastRowLastColumn="0"/>
              <w:rPr>
                <w:b/>
                <w:bCs/>
              </w:rPr>
            </w:pPr>
            <w:r>
              <w:t xml:space="preserve">MPS Program funding is ACPSEM’s largest revenue stream, </w:t>
            </w:r>
            <w:r w:rsidR="006C7342">
              <w:t>accounting for</w:t>
            </w:r>
            <w:r>
              <w:t xml:space="preserve"> approximately 60%</w:t>
            </w:r>
            <w:r w:rsidR="005A3A1A">
              <w:t xml:space="preserve"> of total revenue</w:t>
            </w:r>
            <w:r>
              <w:t>, from publicly available financial statements (note: this is excluding the Medical Physicists Trainees Support stream, as this is assumed to be pass through). Any changes to the MPS Program funding model may significantly impact the operations of ACPSEM and the services they deliver.</w:t>
            </w:r>
          </w:p>
        </w:tc>
      </w:tr>
      <w:tr w:rsidR="00552F40" w14:paraId="7F74434A" w14:textId="77777777" w:rsidTr="002A53BA">
        <w:trPr>
          <w:cantSplit/>
        </w:trPr>
        <w:tc>
          <w:tcPr>
            <w:cnfStyle w:val="001000000000" w:firstRow="0" w:lastRow="0" w:firstColumn="1" w:lastColumn="0" w:oddVBand="0" w:evenVBand="0" w:oddHBand="0" w:evenHBand="0" w:firstRowFirstColumn="0" w:firstRowLastColumn="0" w:lastRowFirstColumn="0" w:lastRowLastColumn="0"/>
            <w:tcW w:w="2001" w:type="dxa"/>
            <w:vMerge w:val="restart"/>
            <w:tcBorders>
              <w:left w:val="single" w:sz="2" w:space="0" w:color="FFFFFF" w:themeColor="background1"/>
            </w:tcBorders>
            <w:shd w:val="clear" w:color="auto" w:fill="F1F4FE"/>
          </w:tcPr>
          <w:p w14:paraId="624EAC37" w14:textId="6F2ED651" w:rsidR="00552F40" w:rsidRPr="00E944E9" w:rsidRDefault="00552F40" w:rsidP="002A53BA">
            <w:pPr>
              <w:pStyle w:val="BodyText"/>
              <w:rPr>
                <w:b w:val="0"/>
                <w:bCs w:val="0"/>
              </w:rPr>
            </w:pPr>
            <w:r w:rsidRPr="00E944E9">
              <w:t>KEQ5:</w:t>
            </w:r>
          </w:p>
          <w:p w14:paraId="56DCCE74" w14:textId="3099C884" w:rsidR="00552F40" w:rsidRPr="00E944E9" w:rsidRDefault="00552F40" w:rsidP="002A53BA">
            <w:pPr>
              <w:pStyle w:val="Caption"/>
            </w:pPr>
            <w:r w:rsidRPr="0011326A">
              <w:rPr>
                <w:rFonts w:eastAsiaTheme="minorHAnsi" w:cstheme="minorBidi"/>
                <w:b w:val="0"/>
                <w:bCs/>
                <w:iCs/>
                <w:color w:val="auto"/>
                <w:szCs w:val="22"/>
                <w:lang w:eastAsia="en-US"/>
              </w:rPr>
              <w:t>How effective is the MPS Program in meeting its intended objectives?</w:t>
            </w:r>
          </w:p>
        </w:tc>
        <w:tc>
          <w:tcPr>
            <w:tcW w:w="7922" w:type="dxa"/>
            <w:tcBorders>
              <w:bottom w:val="single" w:sz="4" w:space="0" w:color="6BA0FF" w:themeColor="accent1" w:themeTint="66"/>
              <w:right w:val="single" w:sz="2" w:space="0" w:color="FFFFFF" w:themeColor="background1"/>
            </w:tcBorders>
          </w:tcPr>
          <w:p w14:paraId="1E89116A" w14:textId="77777777" w:rsidR="00552F40" w:rsidRDefault="00552F40"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194457">
              <w:rPr>
                <w:b/>
                <w:color w:val="1E49E2" w:themeColor="accent2"/>
              </w:rPr>
              <w:t>Overall assessment</w:t>
            </w:r>
          </w:p>
          <w:p w14:paraId="6F3B7AAB" w14:textId="77777777" w:rsidR="00552F40" w:rsidRDefault="00552F40" w:rsidP="002A53BA">
            <w:pPr>
              <w:pStyle w:val="BodyText"/>
              <w:cnfStyle w:val="000000000000" w:firstRow="0" w:lastRow="0" w:firstColumn="0" w:lastColumn="0" w:oddVBand="0" w:evenVBand="0" w:oddHBand="0" w:evenHBand="0" w:firstRowFirstColumn="0" w:firstRowLastColumn="0" w:lastRowFirstColumn="0" w:lastRowLastColumn="0"/>
            </w:pPr>
            <w:r w:rsidRPr="00552F40">
              <w:t>The MPS Program was found to be somewhat effective at meeting its intended objectives.</w:t>
            </w:r>
          </w:p>
          <w:p w14:paraId="5D1B6811" w14:textId="66211755" w:rsidR="000421BC" w:rsidRPr="00552F40" w:rsidRDefault="000421BC" w:rsidP="002A53BA">
            <w:pPr>
              <w:pStyle w:val="BodyText"/>
              <w:cnfStyle w:val="000000000000" w:firstRow="0" w:lastRow="0" w:firstColumn="0" w:lastColumn="0" w:oddVBand="0" w:evenVBand="0" w:oddHBand="0" w:evenHBand="0" w:firstRowFirstColumn="0" w:firstRowLastColumn="0" w:lastRowFirstColumn="0" w:lastRowLastColumn="0"/>
            </w:pPr>
          </w:p>
        </w:tc>
      </w:tr>
      <w:tr w:rsidR="00552F40" w14:paraId="7F50C49A" w14:textId="77777777" w:rsidTr="002A53BA">
        <w:tc>
          <w:tcPr>
            <w:cnfStyle w:val="001000000000" w:firstRow="0" w:lastRow="0" w:firstColumn="1" w:lastColumn="0" w:oddVBand="0" w:evenVBand="0" w:oddHBand="0" w:evenHBand="0" w:firstRowFirstColumn="0" w:firstRowLastColumn="0" w:lastRowFirstColumn="0" w:lastRowLastColumn="0"/>
            <w:tcW w:w="2001" w:type="dxa"/>
            <w:vMerge/>
            <w:tcBorders>
              <w:left w:val="single" w:sz="2" w:space="0" w:color="FFFFFF" w:themeColor="background1"/>
            </w:tcBorders>
            <w:shd w:val="clear" w:color="auto" w:fill="F1F4FE"/>
          </w:tcPr>
          <w:p w14:paraId="7DBAF5E0" w14:textId="41AD1F73" w:rsidR="00552F40" w:rsidRPr="00E944E9" w:rsidRDefault="00552F40" w:rsidP="002A53BA">
            <w:pPr>
              <w:pStyle w:val="Caption"/>
            </w:pPr>
          </w:p>
        </w:tc>
        <w:tc>
          <w:tcPr>
            <w:tcW w:w="7922" w:type="dxa"/>
            <w:tcBorders>
              <w:right w:val="single" w:sz="2" w:space="0" w:color="FFFFFF" w:themeColor="background1"/>
            </w:tcBorders>
          </w:tcPr>
          <w:p w14:paraId="6EE5C202" w14:textId="0AB6AF7B" w:rsidR="00552F40" w:rsidRPr="00552F40" w:rsidRDefault="00552F40"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FF2C09">
              <w:rPr>
                <w:b/>
                <w:iCs/>
                <w:color w:val="1E49E2" w:themeColor="accent2"/>
              </w:rPr>
              <w:t>Strength of evidence</w:t>
            </w:r>
            <w:r>
              <w:rPr>
                <w:b/>
                <w:bCs/>
                <w:iCs/>
                <w:color w:val="1E49E2" w:themeColor="accent2"/>
              </w:rPr>
              <w:t xml:space="preserve">: </w:t>
            </w:r>
            <w:r w:rsidRPr="00552F40">
              <w:t>Some evidence.</w:t>
            </w:r>
          </w:p>
        </w:tc>
      </w:tr>
      <w:tr w:rsidR="0011326A" w14:paraId="3B170642" w14:textId="3996F2A3" w:rsidTr="002A53BA">
        <w:tc>
          <w:tcPr>
            <w:cnfStyle w:val="001000000000" w:firstRow="0" w:lastRow="0" w:firstColumn="1" w:lastColumn="0" w:oddVBand="0" w:evenVBand="0" w:oddHBand="0" w:evenHBand="0" w:firstRowFirstColumn="0" w:firstRowLastColumn="0" w:lastRowFirstColumn="0" w:lastRowLastColumn="0"/>
            <w:tcW w:w="2001" w:type="dxa"/>
            <w:vMerge/>
            <w:tcBorders>
              <w:left w:val="single" w:sz="2" w:space="0" w:color="FFFFFF" w:themeColor="background1"/>
            </w:tcBorders>
            <w:shd w:val="clear" w:color="auto" w:fill="F1F4FE"/>
          </w:tcPr>
          <w:p w14:paraId="4C079F95" w14:textId="7D37BE1E" w:rsidR="0011326A" w:rsidRPr="0048051A" w:rsidRDefault="0011326A" w:rsidP="002A53BA">
            <w:pPr>
              <w:pStyle w:val="Caption"/>
              <w:rPr>
                <w:rFonts w:eastAsiaTheme="minorHAnsi" w:cstheme="minorBidi"/>
                <w:b w:val="0"/>
                <w:bCs/>
                <w:iCs/>
                <w:color w:val="auto"/>
                <w:szCs w:val="22"/>
                <w:lang w:eastAsia="en-US"/>
              </w:rPr>
            </w:pPr>
          </w:p>
        </w:tc>
        <w:tc>
          <w:tcPr>
            <w:tcW w:w="7922" w:type="dxa"/>
            <w:tcBorders>
              <w:right w:val="single" w:sz="2" w:space="0" w:color="FFFFFF" w:themeColor="background1"/>
            </w:tcBorders>
          </w:tcPr>
          <w:p w14:paraId="4930C4BD" w14:textId="53F6CA35" w:rsidR="00552F40" w:rsidRPr="00552F40" w:rsidRDefault="00552F40" w:rsidP="002A53BA">
            <w:pPr>
              <w:pStyle w:val="BodyText"/>
              <w:cnfStyle w:val="000000000000" w:firstRow="0" w:lastRow="0" w:firstColumn="0" w:lastColumn="0" w:oddVBand="0" w:evenVBand="0" w:oddHBand="0" w:evenHBand="0" w:firstRowFirstColumn="0" w:firstRowLastColumn="0" w:lastRowFirstColumn="0" w:lastRowLastColumn="0"/>
              <w:rPr>
                <w:b/>
                <w:bCs/>
              </w:rPr>
            </w:pPr>
            <w:r>
              <w:rPr>
                <w:b/>
                <w:iCs/>
                <w:color w:val="1E49E2" w:themeColor="accent2"/>
              </w:rPr>
              <w:t>Key findings</w:t>
            </w:r>
          </w:p>
          <w:p w14:paraId="4DF0BC06" w14:textId="2A6D966E" w:rsidR="00552F40" w:rsidRPr="00552F40" w:rsidRDefault="00552F40"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552F40">
              <w:rPr>
                <w:b/>
                <w:bCs/>
              </w:rPr>
              <w:t>Training, Education and Assessment Stream</w:t>
            </w:r>
          </w:p>
          <w:p w14:paraId="2ADA67CD" w14:textId="48C09F75" w:rsidR="00552F40" w:rsidRDefault="00552F40" w:rsidP="002A53BA">
            <w:pPr>
              <w:pStyle w:val="BodyText"/>
              <w:cnfStyle w:val="000000000000" w:firstRow="0" w:lastRow="0" w:firstColumn="0" w:lastColumn="0" w:oddVBand="0" w:evenVBand="0" w:oddHBand="0" w:evenHBand="0" w:firstRowFirstColumn="0" w:firstRowLastColumn="0" w:lastRowFirstColumn="0" w:lastRowLastColumn="0"/>
            </w:pPr>
            <w:r w:rsidRPr="00D81908">
              <w:t xml:space="preserve">72% of </w:t>
            </w:r>
            <w:r w:rsidR="00BF51D5">
              <w:t>S</w:t>
            </w:r>
            <w:r w:rsidRPr="00D81908">
              <w:t xml:space="preserve">upervisors surveyed </w:t>
            </w:r>
            <w:r>
              <w:t>(39 respondents)</w:t>
            </w:r>
            <w:r w:rsidRPr="00D81908">
              <w:t xml:space="preserve"> as part of this evaluation agree that TEAP is positively impacting the number of certified professionals in their discipline in their region/facility</w:t>
            </w:r>
            <w:r>
              <w:t xml:space="preserve"> (n=54). During the review period, TEAP enrolments remained consistent, while completion numbers increased. Additionally, TEAP completions were responsible for 55% of the registered workforce growth during the review period. </w:t>
            </w:r>
          </w:p>
          <w:p w14:paraId="17CCE0FE" w14:textId="4C4D1D7A" w:rsidR="00552F40" w:rsidRPr="00194457" w:rsidRDefault="00552F40" w:rsidP="002A53BA">
            <w:pPr>
              <w:pStyle w:val="BodyText"/>
              <w:cnfStyle w:val="000000000000" w:firstRow="0" w:lastRow="0" w:firstColumn="0" w:lastColumn="0" w:oddVBand="0" w:evenVBand="0" w:oddHBand="0" w:evenHBand="0" w:firstRowFirstColumn="0" w:firstRowLastColumn="0" w:lastRowFirstColumn="0" w:lastRowLastColumn="0"/>
              <w:rPr>
                <w:b/>
                <w:color w:val="00338D" w:themeColor="accent1"/>
              </w:rPr>
            </w:pPr>
            <w:r w:rsidRPr="00552F40">
              <w:rPr>
                <w:b/>
                <w:bCs/>
              </w:rPr>
              <w:t>Medical Physicists Trainee Support Stream</w:t>
            </w:r>
          </w:p>
          <w:p w14:paraId="29E0289F" w14:textId="45709ECC" w:rsidR="00552F40" w:rsidRPr="004E3CF0" w:rsidRDefault="00552F40" w:rsidP="002A53BA">
            <w:pPr>
              <w:pStyle w:val="BodyText"/>
              <w:cnfStyle w:val="000000000000" w:firstRow="0" w:lastRow="0" w:firstColumn="0" w:lastColumn="0" w:oddVBand="0" w:evenVBand="0" w:oddHBand="0" w:evenHBand="0" w:firstRowFirstColumn="0" w:firstRowLastColumn="0" w:lastRowFirstColumn="0" w:lastRowLastColumn="0"/>
            </w:pPr>
            <w:r w:rsidRPr="005A2996">
              <w:t>Facility applications for Commonwealth funded Registrar positions have been in decline since 2019</w:t>
            </w:r>
            <w:r>
              <w:t xml:space="preserve">, with a significant drop in 2023 that was predominately driven by ROMP. This could be driven by </w:t>
            </w:r>
            <w:proofErr w:type="gramStart"/>
            <w:r>
              <w:t>a number of</w:t>
            </w:r>
            <w:proofErr w:type="gramEnd"/>
            <w:r>
              <w:t xml:space="preserve"> factors such as </w:t>
            </w:r>
            <w:r w:rsidR="00BF51D5">
              <w:t>S</w:t>
            </w:r>
            <w:r>
              <w:t xml:space="preserve">upervisor and facility capacity and the reduced funding incentivisation. </w:t>
            </w:r>
          </w:p>
          <w:p w14:paraId="17832605" w14:textId="77777777" w:rsidR="00552F40" w:rsidRDefault="00552F40"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552F40">
              <w:rPr>
                <w:b/>
                <w:bCs/>
              </w:rPr>
              <w:t>Overarching findings</w:t>
            </w:r>
          </w:p>
          <w:p w14:paraId="1D564185" w14:textId="77777777" w:rsidR="00552F40" w:rsidRPr="00194457" w:rsidRDefault="00552F40" w:rsidP="002A53BA">
            <w:pPr>
              <w:pStyle w:val="BodyText"/>
              <w:spacing w:after="60"/>
              <w:cnfStyle w:val="000000000000" w:firstRow="0" w:lastRow="0" w:firstColumn="0" w:lastColumn="0" w:oddVBand="0" w:evenVBand="0" w:oddHBand="0" w:evenHBand="0" w:firstRowFirstColumn="0" w:firstRowLastColumn="0" w:lastRowFirstColumn="0" w:lastRowLastColumn="0"/>
              <w:rPr>
                <w:i/>
              </w:rPr>
            </w:pPr>
            <w:r w:rsidRPr="00194457">
              <w:rPr>
                <w:i/>
              </w:rPr>
              <w:t>Workforce distribution</w:t>
            </w:r>
          </w:p>
          <w:p w14:paraId="111C4B88" w14:textId="4E6102B8" w:rsidR="00552F40" w:rsidRPr="00FB26C1" w:rsidRDefault="00552F40" w:rsidP="002A53BA">
            <w:pPr>
              <w:pStyle w:val="BodyText"/>
              <w:spacing w:before="60"/>
              <w:cnfStyle w:val="000000000000" w:firstRow="0" w:lastRow="0" w:firstColumn="0" w:lastColumn="0" w:oddVBand="0" w:evenVBand="0" w:oddHBand="0" w:evenHBand="0" w:firstRowFirstColumn="0" w:firstRowLastColumn="0" w:lastRowFirstColumn="0" w:lastRowLastColumn="0"/>
            </w:pPr>
            <w:r w:rsidRPr="005A2996">
              <w:t xml:space="preserve">Successful grants are distributed amongst jurisdictions, with </w:t>
            </w:r>
            <w:r>
              <w:t>New South Wales (</w:t>
            </w:r>
            <w:r w:rsidRPr="005A2996">
              <w:t>NSW</w:t>
            </w:r>
            <w:r>
              <w:t>)</w:t>
            </w:r>
            <w:r w:rsidRPr="005A2996">
              <w:t xml:space="preserve"> and </w:t>
            </w:r>
            <w:r>
              <w:t>Queensland (</w:t>
            </w:r>
            <w:r w:rsidRPr="005A2996">
              <w:t>QLD</w:t>
            </w:r>
            <w:r>
              <w:t>)</w:t>
            </w:r>
            <w:r w:rsidRPr="005A2996">
              <w:t xml:space="preserve"> receiving the majority. Grants predominately </w:t>
            </w:r>
            <w:r>
              <w:t>went</w:t>
            </w:r>
            <w:r w:rsidRPr="005A2996">
              <w:t xml:space="preserve"> to </w:t>
            </w:r>
            <w:r>
              <w:t>MM1</w:t>
            </w:r>
            <w:r w:rsidRPr="005A2996">
              <w:t xml:space="preserve"> facilities</w:t>
            </w:r>
            <w:r>
              <w:t>, with only 20% to 29% of grants being provided to regional centres between 2021 and 2023</w:t>
            </w:r>
            <w:r w:rsidRPr="005A2996">
              <w:t>.</w:t>
            </w:r>
            <w:r>
              <w:t xml:space="preserve"> Not only does current distribution of the </w:t>
            </w:r>
            <w:r w:rsidR="0021223D">
              <w:t>m</w:t>
            </w:r>
            <w:r>
              <w:t xml:space="preserve">edical </w:t>
            </w:r>
            <w:r w:rsidR="0021223D">
              <w:t>p</w:t>
            </w:r>
            <w:r>
              <w:t xml:space="preserve">hysicist workforce impact patient access to treatment but also has ongoing implications for future workforce distribution. </w:t>
            </w:r>
          </w:p>
          <w:p w14:paraId="058A6D70" w14:textId="77777777" w:rsidR="00552F40" w:rsidRPr="00194457" w:rsidRDefault="00552F40" w:rsidP="002A53BA">
            <w:pPr>
              <w:pStyle w:val="BodyText"/>
              <w:cnfStyle w:val="000000000000" w:firstRow="0" w:lastRow="0" w:firstColumn="0" w:lastColumn="0" w:oddVBand="0" w:evenVBand="0" w:oddHBand="0" w:evenHBand="0" w:firstRowFirstColumn="0" w:firstRowLastColumn="0" w:lastRowFirstColumn="0" w:lastRowLastColumn="0"/>
              <w:rPr>
                <w:i/>
              </w:rPr>
            </w:pPr>
            <w:r w:rsidRPr="00194457">
              <w:rPr>
                <w:i/>
              </w:rPr>
              <w:t xml:space="preserve">MPS Program Outcomes </w:t>
            </w:r>
          </w:p>
          <w:p w14:paraId="6EE73566" w14:textId="211D8D27" w:rsidR="0011326A" w:rsidRDefault="00552F40" w:rsidP="002A53BA">
            <w:pPr>
              <w:pStyle w:val="BodyText"/>
              <w:cnfStyle w:val="000000000000" w:firstRow="0" w:lastRow="0" w:firstColumn="0" w:lastColumn="0" w:oddVBand="0" w:evenVBand="0" w:oddHBand="0" w:evenHBand="0" w:firstRowFirstColumn="0" w:firstRowLastColumn="0" w:lastRowFirstColumn="0" w:lastRowLastColumn="0"/>
              <w:rPr>
                <w:b/>
                <w:bCs/>
              </w:rPr>
            </w:pPr>
            <w:r w:rsidRPr="00780311">
              <w:rPr>
                <w:rFonts w:cs="Arial"/>
              </w:rPr>
              <w:t xml:space="preserve">The Department affords flexibility to ACPSEM to deliver the MPS Program as they seem fit, allowing them to respond to the changing needs of the workforce. </w:t>
            </w:r>
            <w:r>
              <w:rPr>
                <w:rFonts w:cs="Arial"/>
              </w:rPr>
              <w:br/>
            </w:r>
            <w:r w:rsidRPr="00780311">
              <w:rPr>
                <w:bCs/>
                <w:iCs/>
              </w:rPr>
              <w:t xml:space="preserve">Evidence observed against MPS Program short- and medium-term outcomes was limited, however majority of outcomes had emerging findings. Alignment between activities funded and completed under the MPS Program and required reporting, did not highlight a clear linkage to the intended or desired impact for the </w:t>
            </w:r>
            <w:r w:rsidR="0021223D">
              <w:rPr>
                <w:bCs/>
                <w:iCs/>
              </w:rPr>
              <w:t>m</w:t>
            </w:r>
            <w:r w:rsidRPr="00780311">
              <w:rPr>
                <w:bCs/>
                <w:iCs/>
              </w:rPr>
              <w:t xml:space="preserve">edical </w:t>
            </w:r>
            <w:r w:rsidR="0021223D">
              <w:rPr>
                <w:bCs/>
                <w:iCs/>
              </w:rPr>
              <w:t>p</w:t>
            </w:r>
            <w:r w:rsidRPr="00780311">
              <w:rPr>
                <w:bCs/>
                <w:iCs/>
              </w:rPr>
              <w:t>hysicists and RPS workforce.</w:t>
            </w:r>
          </w:p>
        </w:tc>
      </w:tr>
    </w:tbl>
    <w:p w14:paraId="35BB1015" w14:textId="77777777" w:rsidR="002314D7" w:rsidRPr="00B17278" w:rsidRDefault="002314D7" w:rsidP="00B17278">
      <w:pPr>
        <w:pStyle w:val="Footer"/>
      </w:pPr>
      <w:r w:rsidRPr="00B17278">
        <w:t>Source: KPMG, 2024.</w:t>
      </w:r>
    </w:p>
    <w:p w14:paraId="74505D5B" w14:textId="77777777" w:rsidR="002314D7" w:rsidRDefault="002314D7" w:rsidP="001240E9">
      <w:pPr>
        <w:pStyle w:val="Caption"/>
        <w:rPr>
          <w:rFonts w:eastAsiaTheme="minorHAnsi" w:cstheme="minorBidi"/>
          <w:bCs w:val="0"/>
          <w:i/>
          <w:color w:val="auto"/>
          <w:szCs w:val="22"/>
          <w:lang w:eastAsia="en-US"/>
        </w:rPr>
      </w:pPr>
    </w:p>
    <w:p w14:paraId="52FED432" w14:textId="77777777" w:rsidR="00717E54" w:rsidRDefault="00717E54" w:rsidP="00194457">
      <w:pPr>
        <w:spacing w:before="0" w:after="160" w:line="259" w:lineRule="auto"/>
        <w:sectPr w:rsidR="00717E54" w:rsidSect="001153D5">
          <w:headerReference w:type="default" r:id="rId18"/>
          <w:pgSz w:w="11906" w:h="16838"/>
          <w:pgMar w:top="1134" w:right="1134" w:bottom="1134" w:left="1134" w:header="709" w:footer="709" w:gutter="0"/>
          <w:pgNumType w:fmt="lowerRoman"/>
          <w:cols w:space="708"/>
          <w:docGrid w:linePitch="360"/>
        </w:sectPr>
      </w:pPr>
    </w:p>
    <w:p w14:paraId="7690714E" w14:textId="1593F714" w:rsidR="001240E9" w:rsidRPr="00B17278" w:rsidRDefault="001240E9" w:rsidP="00B17278">
      <w:pPr>
        <w:pStyle w:val="Heading2nonumber"/>
      </w:pPr>
      <w:bookmarkStart w:id="12" w:name="_Toc184396558"/>
      <w:bookmarkStart w:id="13" w:name="_Toc216711560"/>
      <w:bookmarkStart w:id="14" w:name="_Toc216791986"/>
      <w:r w:rsidRPr="00B17278">
        <w:t>Recommendations</w:t>
      </w:r>
      <w:bookmarkEnd w:id="12"/>
      <w:bookmarkEnd w:id="13"/>
      <w:bookmarkEnd w:id="14"/>
    </w:p>
    <w:p w14:paraId="66CB6B99" w14:textId="53D59AE8" w:rsidR="00F51EE6" w:rsidRDefault="00D27B67" w:rsidP="00B17278">
      <w:proofErr w:type="gramStart"/>
      <w:r>
        <w:t>A number of</w:t>
      </w:r>
      <w:proofErr w:type="gramEnd"/>
      <w:r>
        <w:t xml:space="preserve"> recommendations </w:t>
      </w:r>
      <w:r w:rsidR="00E15AF4">
        <w:t>were identified</w:t>
      </w:r>
      <w:r w:rsidR="00C26142">
        <w:t xml:space="preserve"> through the course of this evaluation</w:t>
      </w:r>
      <w:r w:rsidR="004E7813">
        <w:t xml:space="preserve"> and are detailed in</w:t>
      </w:r>
      <w:r w:rsidR="00CD5BBF">
        <w:t xml:space="preserve"> </w:t>
      </w:r>
      <w:r w:rsidR="00CD5BBF">
        <w:fldChar w:fldCharType="begin" w:fldLock="1"/>
      </w:r>
      <w:r w:rsidR="00CD5BBF">
        <w:instrText xml:space="preserve"> REF _Ref184368254 \h </w:instrText>
      </w:r>
      <w:r w:rsidR="00CD5BBF">
        <w:fldChar w:fldCharType="separate"/>
      </w:r>
      <w:r w:rsidR="00CD5BBF">
        <w:t xml:space="preserve">Table </w:t>
      </w:r>
      <w:r w:rsidR="00CD5BBF">
        <w:rPr>
          <w:noProof/>
        </w:rPr>
        <w:t>2</w:t>
      </w:r>
      <w:r w:rsidR="00CD5BBF">
        <w:fldChar w:fldCharType="end"/>
      </w:r>
      <w:r w:rsidR="004E7813">
        <w:t xml:space="preserve"> below. These recommendations are intended </w:t>
      </w:r>
      <w:r w:rsidR="002D2DA3">
        <w:t xml:space="preserve">to </w:t>
      </w:r>
      <w:r w:rsidR="004E7813">
        <w:t xml:space="preserve">improve </w:t>
      </w:r>
      <w:r w:rsidR="00E31AB2">
        <w:t xml:space="preserve">the implementation </w:t>
      </w:r>
      <w:r w:rsidR="00AD291B">
        <w:t>and delivery of the MPS Program, and to</w:t>
      </w:r>
      <w:r w:rsidR="00BD27BA">
        <w:t xml:space="preserve"> better track the contribution of the </w:t>
      </w:r>
      <w:r w:rsidR="006C6459">
        <w:t>MPS P</w:t>
      </w:r>
      <w:r w:rsidR="00BD27BA">
        <w:t>rogram in supporting the medical physics workforce</w:t>
      </w:r>
      <w:r w:rsidR="00CD5BBF" w:rsidRPr="00CD5BBF">
        <w:t xml:space="preserve"> </w:t>
      </w:r>
      <w:r w:rsidR="00CD5BBF">
        <w:t>over time</w:t>
      </w:r>
      <w:r w:rsidR="00BD27BA">
        <w:t>.</w:t>
      </w:r>
      <w:r w:rsidR="00784C7E">
        <w:t xml:space="preserve"> </w:t>
      </w:r>
    </w:p>
    <w:p w14:paraId="45A28060" w14:textId="16535F66" w:rsidR="00882819" w:rsidRPr="00882819" w:rsidRDefault="00882819" w:rsidP="00882819">
      <w:pPr>
        <w:pStyle w:val="Caption"/>
        <w:rPr>
          <w:rFonts w:eastAsiaTheme="minorHAnsi"/>
        </w:rPr>
      </w:pPr>
      <w:bookmarkStart w:id="15" w:name="_Ref184368254"/>
      <w:bookmarkStart w:id="16" w:name="_Ref184387447"/>
      <w:r>
        <w:t xml:space="preserve">Table </w:t>
      </w:r>
      <w:r>
        <w:fldChar w:fldCharType="begin"/>
      </w:r>
      <w:r>
        <w:instrText xml:space="preserve"> SEQ Table \* ARABIC </w:instrText>
      </w:r>
      <w:r>
        <w:fldChar w:fldCharType="separate"/>
      </w:r>
      <w:r w:rsidR="005F7EBC">
        <w:rPr>
          <w:noProof/>
        </w:rPr>
        <w:t>2</w:t>
      </w:r>
      <w:r>
        <w:fldChar w:fldCharType="end"/>
      </w:r>
      <w:bookmarkEnd w:id="15"/>
      <w:r>
        <w:t xml:space="preserve">: </w:t>
      </w:r>
      <w:r w:rsidR="00DC5F7B">
        <w:t>Recommendations</w:t>
      </w:r>
      <w:r>
        <w:t xml:space="preserve"> from the evaluation of the MPS Program</w:t>
      </w:r>
      <w:bookmarkEnd w:id="16"/>
    </w:p>
    <w:tbl>
      <w:tblPr>
        <w:tblStyle w:val="GridTable1Light-Accent1"/>
        <w:tblW w:w="0" w:type="auto"/>
        <w:tblLook w:val="04A0" w:firstRow="1" w:lastRow="0" w:firstColumn="1" w:lastColumn="0" w:noHBand="0" w:noVBand="1"/>
      </w:tblPr>
      <w:tblGrid>
        <w:gridCol w:w="2127"/>
        <w:gridCol w:w="4110"/>
        <w:gridCol w:w="3969"/>
        <w:gridCol w:w="4253"/>
      </w:tblGrid>
      <w:tr w:rsidR="00882819" w:rsidRPr="00172A97" w14:paraId="0E7EFC13" w14:textId="77777777" w:rsidTr="00B172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tcBorders>
            <w:shd w:val="clear" w:color="auto" w:fill="F1F4FE"/>
          </w:tcPr>
          <w:p w14:paraId="1E84200A" w14:textId="77777777" w:rsidR="00882819" w:rsidRPr="00B17278" w:rsidRDefault="00882819" w:rsidP="00B17278">
            <w:r w:rsidRPr="00B17278">
              <w:t>KEQ</w:t>
            </w:r>
          </w:p>
        </w:tc>
        <w:tc>
          <w:tcPr>
            <w:tcW w:w="4110" w:type="dxa"/>
            <w:tcBorders>
              <w:top w:val="nil"/>
            </w:tcBorders>
          </w:tcPr>
          <w:p w14:paraId="4DCDDF3F" w14:textId="7B51E90B" w:rsidR="00882819" w:rsidRPr="00B17278" w:rsidRDefault="008323C1" w:rsidP="00B17278">
            <w:pPr>
              <w:cnfStyle w:val="100000000000" w:firstRow="1" w:lastRow="0" w:firstColumn="0" w:lastColumn="0" w:oddVBand="0" w:evenVBand="0" w:oddHBand="0" w:evenHBand="0" w:firstRowFirstColumn="0" w:firstRowLastColumn="0" w:lastRowFirstColumn="0" w:lastRowLastColumn="0"/>
            </w:pPr>
            <w:r w:rsidRPr="00B17278">
              <w:t>R</w:t>
            </w:r>
            <w:r w:rsidR="00882819" w:rsidRPr="00B17278">
              <w:t>elevant findings</w:t>
            </w:r>
          </w:p>
        </w:tc>
        <w:tc>
          <w:tcPr>
            <w:tcW w:w="3969" w:type="dxa"/>
            <w:tcBorders>
              <w:top w:val="nil"/>
            </w:tcBorders>
          </w:tcPr>
          <w:p w14:paraId="6DFA55E4" w14:textId="197626CB" w:rsidR="00882819" w:rsidRPr="00B17278" w:rsidRDefault="00882819" w:rsidP="00B17278">
            <w:pPr>
              <w:cnfStyle w:val="100000000000" w:firstRow="1" w:lastRow="0" w:firstColumn="0" w:lastColumn="0" w:oddVBand="0" w:evenVBand="0" w:oddHBand="0" w:evenHBand="0" w:firstRowFirstColumn="0" w:firstRowLastColumn="0" w:lastRowFirstColumn="0" w:lastRowLastColumn="0"/>
            </w:pPr>
            <w:r w:rsidRPr="00B17278">
              <w:t>Implication</w:t>
            </w:r>
            <w:r w:rsidR="009B2D03" w:rsidRPr="00B17278">
              <w:t>s</w:t>
            </w:r>
          </w:p>
        </w:tc>
        <w:tc>
          <w:tcPr>
            <w:tcW w:w="4253" w:type="dxa"/>
            <w:tcBorders>
              <w:top w:val="nil"/>
              <w:right w:val="nil"/>
            </w:tcBorders>
          </w:tcPr>
          <w:p w14:paraId="37BDFC25" w14:textId="7E5DCEAD" w:rsidR="00882819" w:rsidRPr="00B17278" w:rsidRDefault="008323C1" w:rsidP="00B17278">
            <w:pPr>
              <w:cnfStyle w:val="100000000000" w:firstRow="1" w:lastRow="0" w:firstColumn="0" w:lastColumn="0" w:oddVBand="0" w:evenVBand="0" w:oddHBand="0" w:evenHBand="0" w:firstRowFirstColumn="0" w:firstRowLastColumn="0" w:lastRowFirstColumn="0" w:lastRowLastColumn="0"/>
            </w:pPr>
            <w:r w:rsidRPr="00B17278">
              <w:t>Recommendations</w:t>
            </w:r>
          </w:p>
        </w:tc>
      </w:tr>
      <w:tr w:rsidR="00DC5F7B" w14:paraId="30572E85" w14:textId="77777777" w:rsidTr="001F4FFF">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1F4FE"/>
          </w:tcPr>
          <w:p w14:paraId="38991635" w14:textId="44A48807" w:rsidR="00DC5F7B" w:rsidRPr="00DC5F7B" w:rsidRDefault="00DC5F7B" w:rsidP="00DC5F7B">
            <w:pPr>
              <w:pStyle w:val="BodyText"/>
            </w:pPr>
            <w:r w:rsidRPr="00E944E9">
              <w:t>KEQ1:</w:t>
            </w:r>
          </w:p>
          <w:p w14:paraId="63F5B6A9" w14:textId="77777777" w:rsidR="00DC5F7B" w:rsidRPr="009B2D03" w:rsidRDefault="00DC5F7B" w:rsidP="00DC5F7B">
            <w:pPr>
              <w:pStyle w:val="BodyText"/>
              <w:rPr>
                <w:b w:val="0"/>
                <w:i/>
              </w:rPr>
            </w:pPr>
            <w:r w:rsidRPr="009B2D03">
              <w:rPr>
                <w:b w:val="0"/>
                <w:i/>
              </w:rPr>
              <w:t>Has the MPS Program been implemented as intended?</w:t>
            </w:r>
          </w:p>
        </w:tc>
        <w:tc>
          <w:tcPr>
            <w:tcW w:w="4110" w:type="dxa"/>
            <w:tcBorders>
              <w:bottom w:val="single" w:sz="4" w:space="0" w:color="6BA0FF" w:themeColor="accent1" w:themeTint="66"/>
            </w:tcBorders>
          </w:tcPr>
          <w:p w14:paraId="5B32A018" w14:textId="77777777" w:rsidR="00DC5F7B" w:rsidRPr="00194457" w:rsidRDefault="00DC5F7B"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rPr>
            </w:pPr>
            <w:r>
              <w:rPr>
                <w:b/>
                <w:bCs/>
              </w:rPr>
              <w:t>Variability in training delivery</w:t>
            </w:r>
          </w:p>
          <w:p w14:paraId="40349E8C" w14:textId="770354E6" w:rsidR="00DC5F7B" w:rsidRDefault="00DC5F7B" w:rsidP="00584EC6">
            <w:pPr>
              <w:pStyle w:val="BodyText"/>
              <w:numPr>
                <w:ilvl w:val="0"/>
                <w:numId w:val="51"/>
              </w:numPr>
              <w:spacing w:before="60" w:after="60"/>
              <w:cnfStyle w:val="000000000000" w:firstRow="0" w:lastRow="0" w:firstColumn="0" w:lastColumn="0" w:oddVBand="0" w:evenVBand="0" w:oddHBand="0" w:evenHBand="0" w:firstRowFirstColumn="0" w:firstRowLastColumn="0" w:lastRowFirstColumn="0" w:lastRowLastColumn="0"/>
            </w:pPr>
            <w:r>
              <w:t xml:space="preserve">While ACPSEM provides some supporting materials, some facilities and/or jurisdictions fund the development of their own supports and resources in response to </w:t>
            </w:r>
            <w:r w:rsidR="006C6459">
              <w:t>TEAP</w:t>
            </w:r>
            <w:r>
              <w:t xml:space="preserve"> gaps. </w:t>
            </w:r>
          </w:p>
          <w:p w14:paraId="3DB334EE" w14:textId="77777777" w:rsidR="00DC5F7B" w:rsidRDefault="00DC5F7B" w:rsidP="00584EC6">
            <w:pPr>
              <w:pStyle w:val="BodyText"/>
              <w:numPr>
                <w:ilvl w:val="0"/>
                <w:numId w:val="51"/>
              </w:numPr>
              <w:spacing w:before="60" w:after="60"/>
              <w:cnfStyle w:val="000000000000" w:firstRow="0" w:lastRow="0" w:firstColumn="0" w:lastColumn="0" w:oddVBand="0" w:evenVBand="0" w:oddHBand="0" w:evenHBand="0" w:firstRowFirstColumn="0" w:firstRowLastColumn="0" w:lastRowFirstColumn="0" w:lastRowLastColumn="0"/>
            </w:pPr>
            <w:r>
              <w:t>There is an onus on facilities and Supervisors to develop training resources and provide support outside of what is provided by ACPSEM.</w:t>
            </w:r>
          </w:p>
          <w:p w14:paraId="13F40D45" w14:textId="77777777" w:rsidR="00DC5F7B" w:rsidRDefault="00DC5F7B" w:rsidP="00584EC6">
            <w:pPr>
              <w:pStyle w:val="BodyText"/>
              <w:numPr>
                <w:ilvl w:val="0"/>
                <w:numId w:val="51"/>
              </w:numPr>
              <w:spacing w:before="60" w:after="60"/>
              <w:cnfStyle w:val="000000000000" w:firstRow="0" w:lastRow="0" w:firstColumn="0" w:lastColumn="0" w:oddVBand="0" w:evenVBand="0" w:oddHBand="0" w:evenHBand="0" w:firstRowFirstColumn="0" w:firstRowLastColumn="0" w:lastRowFirstColumn="0" w:lastRowLastColumn="0"/>
            </w:pPr>
            <w:r>
              <w:t>Supervisors have considerable influence over the depth and quality of training and Registrar experience.</w:t>
            </w:r>
          </w:p>
          <w:p w14:paraId="646D4F34" w14:textId="69B65BFE" w:rsidR="00DC5F7B" w:rsidRDefault="00DC5F7B" w:rsidP="00584EC6">
            <w:pPr>
              <w:pStyle w:val="BodyText"/>
              <w:numPr>
                <w:ilvl w:val="0"/>
                <w:numId w:val="51"/>
              </w:numPr>
              <w:spacing w:before="60" w:after="60"/>
              <w:cnfStyle w:val="000000000000" w:firstRow="0" w:lastRow="0" w:firstColumn="0" w:lastColumn="0" w:oddVBand="0" w:evenVBand="0" w:oddHBand="0" w:evenHBand="0" w:firstRowFirstColumn="0" w:firstRowLastColumn="0" w:lastRowFirstColumn="0" w:lastRowLastColumn="0"/>
            </w:pPr>
            <w:r>
              <w:t>Protected time for Supervisors and Registrars is determined at the facility level.</w:t>
            </w:r>
          </w:p>
        </w:tc>
        <w:tc>
          <w:tcPr>
            <w:tcW w:w="3969" w:type="dxa"/>
            <w:tcBorders>
              <w:bottom w:val="single" w:sz="4" w:space="0" w:color="6BA0FF" w:themeColor="accent1" w:themeTint="66"/>
            </w:tcBorders>
          </w:tcPr>
          <w:p w14:paraId="581E197B" w14:textId="77777777" w:rsidR="00DC5F7B" w:rsidRPr="00194457" w:rsidRDefault="00DC5F7B"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rPr>
            </w:pPr>
            <w:r>
              <w:rPr>
                <w:b/>
                <w:bCs/>
              </w:rPr>
              <w:t>Variability in TEAP experiences and outcomes</w:t>
            </w:r>
          </w:p>
          <w:p w14:paraId="15C4786D" w14:textId="77777777" w:rsidR="00DC5F7B" w:rsidRDefault="00DC5F7B" w:rsidP="00584EC6">
            <w:pPr>
              <w:pStyle w:val="BodyText"/>
              <w:numPr>
                <w:ilvl w:val="0"/>
                <w:numId w:val="52"/>
              </w:numPr>
              <w:spacing w:before="60" w:after="60"/>
              <w:cnfStyle w:val="000000000000" w:firstRow="0" w:lastRow="0" w:firstColumn="0" w:lastColumn="0" w:oddVBand="0" w:evenVBand="0" w:oddHBand="0" w:evenHBand="0" w:firstRowFirstColumn="0" w:firstRowLastColumn="0" w:lastRowFirstColumn="0" w:lastRowLastColumn="0"/>
            </w:pPr>
            <w:r>
              <w:t>TEAP experiences for Registrars and Supervisors, and the level of support and resources received, vary across both jurisdictions and facilities.</w:t>
            </w:r>
          </w:p>
          <w:p w14:paraId="1DA92595" w14:textId="50913EB4" w:rsidR="00DC5F7B" w:rsidRPr="00D92116" w:rsidRDefault="00DC5F7B" w:rsidP="00584EC6">
            <w:pPr>
              <w:pStyle w:val="BodyText"/>
              <w:numPr>
                <w:ilvl w:val="0"/>
                <w:numId w:val="52"/>
              </w:numPr>
              <w:spacing w:before="60" w:after="60"/>
              <w:cnfStyle w:val="000000000000" w:firstRow="0" w:lastRow="0" w:firstColumn="0" w:lastColumn="0" w:oddVBand="0" w:evenVBand="0" w:oddHBand="0" w:evenHBand="0" w:firstRowFirstColumn="0" w:firstRowLastColumn="0" w:lastRowFirstColumn="0" w:lastRowLastColumn="0"/>
            </w:pPr>
            <w:r>
              <w:t xml:space="preserve">The standardisation of training may be impacted, with </w:t>
            </w:r>
            <w:r w:rsidRPr="00D92116">
              <w:t xml:space="preserve">the quality of Registrar training and training outcomes varying across </w:t>
            </w:r>
            <w:r w:rsidR="00D92116" w:rsidRPr="00D92116">
              <w:t>facilities</w:t>
            </w:r>
            <w:r w:rsidRPr="00D92116">
              <w:t>.</w:t>
            </w:r>
          </w:p>
          <w:p w14:paraId="5084679D" w14:textId="32A27682" w:rsidR="00DC5F7B" w:rsidRDefault="00DC5F7B" w:rsidP="00584EC6">
            <w:pPr>
              <w:pStyle w:val="BodyText"/>
              <w:numPr>
                <w:ilvl w:val="0"/>
                <w:numId w:val="52"/>
              </w:numPr>
              <w:spacing w:before="60" w:after="60"/>
              <w:cnfStyle w:val="000000000000" w:firstRow="0" w:lastRow="0" w:firstColumn="0" w:lastColumn="0" w:oddVBand="0" w:evenVBand="0" w:oddHBand="0" w:evenHBand="0" w:firstRowFirstColumn="0" w:firstRowLastColumn="0" w:lastRowFirstColumn="0" w:lastRowLastColumn="0"/>
            </w:pPr>
            <w:r>
              <w:t xml:space="preserve">There is some duplication of effort across jurisdictions and facilities, creating inefficiencies. </w:t>
            </w:r>
          </w:p>
        </w:tc>
        <w:tc>
          <w:tcPr>
            <w:tcW w:w="4253" w:type="dxa"/>
            <w:tcBorders>
              <w:bottom w:val="single" w:sz="4" w:space="0" w:color="6BA0FF" w:themeColor="accent1" w:themeTint="66"/>
              <w:right w:val="nil"/>
            </w:tcBorders>
          </w:tcPr>
          <w:p w14:paraId="369398A4" w14:textId="77777777" w:rsidR="00DC5F7B" w:rsidRDefault="00DC5F7B"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Consistency of TEAP experience</w:t>
            </w:r>
          </w:p>
          <w:p w14:paraId="5753A557" w14:textId="77777777" w:rsidR="00DC5F7B" w:rsidRDefault="00DC5F7B" w:rsidP="00194457">
            <w:pPr>
              <w:pStyle w:val="BodyText"/>
              <w:spacing w:before="60" w:after="60"/>
              <w:cnfStyle w:val="000000000000" w:firstRow="0" w:lastRow="0" w:firstColumn="0" w:lastColumn="0" w:oddVBand="0" w:evenVBand="0" w:oddHBand="0" w:evenHBand="0" w:firstRowFirstColumn="0" w:firstRowLastColumn="0" w:lastRowFirstColumn="0" w:lastRowLastColumn="0"/>
            </w:pPr>
            <w:r>
              <w:t>The Department should consult with ACPSEM and jurisdictions to review the delivery of the TEAP across jurisdictions and facilities, with a view to improve consistency of the TEAP experience for both Registrars and Supervisors. The review should focus on:</w:t>
            </w:r>
          </w:p>
          <w:p w14:paraId="3EFAEBAC" w14:textId="77777777" w:rsidR="00DC5F7B" w:rsidRDefault="00DC5F7B" w:rsidP="00584EC6">
            <w:pPr>
              <w:pStyle w:val="BodyText"/>
              <w:numPr>
                <w:ilvl w:val="0"/>
                <w:numId w:val="50"/>
              </w:numPr>
              <w:tabs>
                <w:tab w:val="num" w:pos="1597"/>
              </w:tabs>
              <w:spacing w:before="60" w:after="60"/>
              <w:cnfStyle w:val="000000000000" w:firstRow="0" w:lastRow="0" w:firstColumn="0" w:lastColumn="0" w:oddVBand="0" w:evenVBand="0" w:oddHBand="0" w:evenHBand="0" w:firstRowFirstColumn="0" w:firstRowLastColumn="0" w:lastRowFirstColumn="0" w:lastRowLastColumn="0"/>
            </w:pPr>
            <w:r>
              <w:t xml:space="preserve">Identifying gaps and duplicative effort in support, guidance materials and resources across facilities and </w:t>
            </w:r>
            <w:proofErr w:type="gramStart"/>
            <w:r>
              <w:t>jurisdictions;</w:t>
            </w:r>
            <w:proofErr w:type="gramEnd"/>
            <w:r>
              <w:t xml:space="preserve"> </w:t>
            </w:r>
          </w:p>
          <w:p w14:paraId="5E7879DA" w14:textId="77777777" w:rsidR="00DC5F7B" w:rsidRDefault="00DC5F7B" w:rsidP="00584EC6">
            <w:pPr>
              <w:pStyle w:val="BodyText"/>
              <w:numPr>
                <w:ilvl w:val="0"/>
                <w:numId w:val="50"/>
              </w:numPr>
              <w:tabs>
                <w:tab w:val="num" w:pos="1597"/>
              </w:tabs>
              <w:spacing w:before="60" w:after="60"/>
              <w:cnfStyle w:val="000000000000" w:firstRow="0" w:lastRow="0" w:firstColumn="0" w:lastColumn="0" w:oddVBand="0" w:evenVBand="0" w:oddHBand="0" w:evenHBand="0" w:firstRowFirstColumn="0" w:firstRowLastColumn="0" w:lastRowFirstColumn="0" w:lastRowLastColumn="0"/>
            </w:pPr>
            <w:r>
              <w:t xml:space="preserve">The equitable distribution of these supports; and </w:t>
            </w:r>
          </w:p>
          <w:p w14:paraId="0287D731" w14:textId="55DCEC05" w:rsidR="00DC5F7B" w:rsidRDefault="00DC5F7B" w:rsidP="00584EC6">
            <w:pPr>
              <w:pStyle w:val="BodyText"/>
              <w:numPr>
                <w:ilvl w:val="0"/>
                <w:numId w:val="50"/>
              </w:numPr>
              <w:tabs>
                <w:tab w:val="num" w:pos="1597"/>
              </w:tabs>
              <w:spacing w:before="60" w:after="60"/>
              <w:cnfStyle w:val="000000000000" w:firstRow="0" w:lastRow="0" w:firstColumn="0" w:lastColumn="0" w:oddVBand="0" w:evenVBand="0" w:oddHBand="0" w:evenHBand="0" w:firstRowFirstColumn="0" w:firstRowLastColumn="0" w:lastRowFirstColumn="0" w:lastRowLastColumn="0"/>
            </w:pPr>
            <w:r>
              <w:t>V</w:t>
            </w:r>
            <w:r w:rsidRPr="00EB3D52">
              <w:t>ariations in the delivery of training across facilities and jurisdictions</w:t>
            </w:r>
            <w:r>
              <w:t>, with a view to work with ACPSEM to incorporate additional supports</w:t>
            </w:r>
            <w:r w:rsidR="00844ED0">
              <w:t>,</w:t>
            </w:r>
            <w:r>
              <w:t xml:space="preserve"> </w:t>
            </w:r>
            <w:r w:rsidR="00844ED0">
              <w:t>through the funding agreement,</w:t>
            </w:r>
            <w:r>
              <w:t xml:space="preserve"> pending the review outcome</w:t>
            </w:r>
            <w:r w:rsidRPr="00EB3D52">
              <w:t>.</w:t>
            </w:r>
          </w:p>
        </w:tc>
      </w:tr>
      <w:tr w:rsidR="00B4611D" w14:paraId="6E65B657" w14:textId="77777777" w:rsidTr="001F4FFF">
        <w:tc>
          <w:tcPr>
            <w:cnfStyle w:val="001000000000" w:firstRow="0" w:lastRow="0" w:firstColumn="1" w:lastColumn="0" w:oddVBand="0" w:evenVBand="0" w:oddHBand="0" w:evenHBand="0" w:firstRowFirstColumn="0" w:firstRowLastColumn="0" w:lastRowFirstColumn="0" w:lastRowLastColumn="0"/>
            <w:tcW w:w="2127" w:type="dxa"/>
            <w:vMerge w:val="restart"/>
            <w:tcBorders>
              <w:left w:val="nil"/>
            </w:tcBorders>
            <w:shd w:val="clear" w:color="auto" w:fill="F1F4FE"/>
          </w:tcPr>
          <w:p w14:paraId="1BA0753E" w14:textId="17576E62" w:rsidR="00B4611D" w:rsidRPr="00DC5F7B" w:rsidRDefault="00B4611D" w:rsidP="00DC5F7B">
            <w:pPr>
              <w:pStyle w:val="BodyText"/>
            </w:pPr>
            <w:r w:rsidRPr="00DC5F7B">
              <w:t>KEQ2:</w:t>
            </w:r>
          </w:p>
          <w:p w14:paraId="75BE9C98" w14:textId="57DDDC12" w:rsidR="00B4611D" w:rsidRPr="000421BC" w:rsidRDefault="00B4611D" w:rsidP="000421BC">
            <w:pPr>
              <w:pStyle w:val="BodyText"/>
              <w:rPr>
                <w:i/>
              </w:rPr>
            </w:pPr>
            <w:r w:rsidRPr="009B2D03">
              <w:rPr>
                <w:b w:val="0"/>
                <w:i/>
              </w:rPr>
              <w:t>Is the MPS Program still the right response?</w:t>
            </w:r>
          </w:p>
        </w:tc>
        <w:tc>
          <w:tcPr>
            <w:tcW w:w="4110" w:type="dxa"/>
            <w:tcBorders>
              <w:bottom w:val="nil"/>
            </w:tcBorders>
          </w:tcPr>
          <w:p w14:paraId="614BF734" w14:textId="77777777" w:rsidR="00B4611D" w:rsidRPr="00194457" w:rsidRDefault="00B4611D"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rPr>
            </w:pPr>
            <w:r>
              <w:rPr>
                <w:b/>
                <w:bCs/>
              </w:rPr>
              <w:t>Workforce value and future needs</w:t>
            </w:r>
          </w:p>
          <w:p w14:paraId="3A5778AE" w14:textId="77777777" w:rsidR="00B4611D" w:rsidRDefault="00B4611D" w:rsidP="00584EC6">
            <w:pPr>
              <w:pStyle w:val="BodyText"/>
              <w:numPr>
                <w:ilvl w:val="0"/>
                <w:numId w:val="59"/>
              </w:numPr>
              <w:spacing w:before="60" w:after="60"/>
              <w:cnfStyle w:val="000000000000" w:firstRow="0" w:lastRow="0" w:firstColumn="0" w:lastColumn="0" w:oddVBand="0" w:evenVBand="0" w:oddHBand="0" w:evenHBand="0" w:firstRowFirstColumn="0" w:firstRowLastColumn="0" w:lastRowFirstColumn="0" w:lastRowLastColumn="0"/>
            </w:pPr>
            <w:r>
              <w:t xml:space="preserve">Medical physicists are critical to ensuring safe, quality and effective patient diagnosis and treatment in areas of radiotherapy, nuclear medicine, and diagnostic radiology. </w:t>
            </w:r>
          </w:p>
          <w:p w14:paraId="2C8A6197" w14:textId="5AB776D7" w:rsidR="00B4611D" w:rsidRDefault="00B4611D" w:rsidP="00584EC6">
            <w:pPr>
              <w:pStyle w:val="BodyText"/>
              <w:numPr>
                <w:ilvl w:val="0"/>
                <w:numId w:val="59"/>
              </w:numPr>
              <w:spacing w:before="60" w:after="60"/>
              <w:cnfStyle w:val="000000000000" w:firstRow="0" w:lastRow="0" w:firstColumn="0" w:lastColumn="0" w:oddVBand="0" w:evenVBand="0" w:oddHBand="0" w:evenHBand="0" w:firstRowFirstColumn="0" w:firstRowLastColumn="0" w:lastRowFirstColumn="0" w:lastRowLastColumn="0"/>
            </w:pPr>
            <w:r>
              <w:t>As demand for medical physicist and RPS services is projected to rise, the workforce faces challenges of meeting demand, workforce distribution, and responding to advancements in technologies and practices.</w:t>
            </w:r>
          </w:p>
        </w:tc>
        <w:tc>
          <w:tcPr>
            <w:tcW w:w="3969" w:type="dxa"/>
            <w:tcBorders>
              <w:bottom w:val="nil"/>
            </w:tcBorders>
          </w:tcPr>
          <w:p w14:paraId="364844F1" w14:textId="77777777" w:rsidR="00B4611D" w:rsidRPr="00194457" w:rsidRDefault="00B4611D"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rPr>
            </w:pPr>
            <w:r>
              <w:rPr>
                <w:b/>
                <w:bCs/>
              </w:rPr>
              <w:t>Appropriateness of MPS Program</w:t>
            </w:r>
          </w:p>
          <w:p w14:paraId="06DC4ED4" w14:textId="261AF7A1" w:rsidR="00C2020B" w:rsidRPr="00914A75" w:rsidRDefault="00B4611D" w:rsidP="00584EC6">
            <w:pPr>
              <w:pStyle w:val="BodyText"/>
              <w:numPr>
                <w:ilvl w:val="0"/>
                <w:numId w:val="53"/>
              </w:numPr>
              <w:spacing w:before="60" w:after="60"/>
              <w:cnfStyle w:val="000000000000" w:firstRow="0" w:lastRow="0" w:firstColumn="0" w:lastColumn="0" w:oddVBand="0" w:evenVBand="0" w:oddHBand="0" w:evenHBand="0" w:firstRowFirstColumn="0" w:firstRowLastColumn="0" w:lastRowFirstColumn="0" w:lastRowLastColumn="0"/>
            </w:pPr>
            <w:r>
              <w:t xml:space="preserve">The MPS Program provides a foundation for the development of a capable and competent medical physicist and RPS workforce to meet the health needs of Australians. </w:t>
            </w:r>
          </w:p>
          <w:p w14:paraId="48AA95B4" w14:textId="2E1E59CB" w:rsidR="00C2020B" w:rsidRPr="00194457" w:rsidRDefault="00B4611D" w:rsidP="00584EC6">
            <w:pPr>
              <w:pStyle w:val="BodyText"/>
              <w:numPr>
                <w:ilvl w:val="0"/>
                <w:numId w:val="53"/>
              </w:numPr>
              <w:spacing w:before="60" w:after="60"/>
              <w:cnfStyle w:val="000000000000" w:firstRow="0" w:lastRow="0" w:firstColumn="0" w:lastColumn="0" w:oddVBand="0" w:evenVBand="0" w:oddHBand="0" w:evenHBand="0" w:firstRowFirstColumn="0" w:firstRowLastColumn="0" w:lastRowFirstColumn="0" w:lastRowLastColumn="0"/>
            </w:pPr>
            <w:r w:rsidRPr="00194457">
              <w:t>The MPS Program intends to improve distribution of the medical physicist workforce and respond to workforce challenges through the harmonisation of training and workforce development.</w:t>
            </w:r>
          </w:p>
          <w:p w14:paraId="53CEA6C3" w14:textId="536996FD" w:rsidR="00B4611D" w:rsidRDefault="00B4611D" w:rsidP="00584EC6">
            <w:pPr>
              <w:pStyle w:val="BodyText"/>
              <w:numPr>
                <w:ilvl w:val="0"/>
                <w:numId w:val="53"/>
              </w:numPr>
              <w:spacing w:before="60" w:after="60"/>
              <w:cnfStyle w:val="000000000000" w:firstRow="0" w:lastRow="0" w:firstColumn="0" w:lastColumn="0" w:oddVBand="0" w:evenVBand="0" w:oddHBand="0" w:evenHBand="0" w:firstRowFirstColumn="0" w:firstRowLastColumn="0" w:lastRowFirstColumn="0" w:lastRowLastColumn="0"/>
            </w:pPr>
            <w:r w:rsidRPr="00194457">
              <w:t>The Australian Government, acting through the Department</w:t>
            </w:r>
            <w:r w:rsidR="006B1EAF" w:rsidRPr="00194457">
              <w:t xml:space="preserve">, </w:t>
            </w:r>
            <w:r w:rsidR="00835AFD" w:rsidRPr="00194457">
              <w:t>is the appropriate</w:t>
            </w:r>
            <w:r w:rsidRPr="00194457">
              <w:t xml:space="preserve"> body to </w:t>
            </w:r>
            <w:r w:rsidR="00A92269">
              <w:t xml:space="preserve">administer </w:t>
            </w:r>
            <w:r w:rsidR="00F311F0">
              <w:t>a program that provides</w:t>
            </w:r>
            <w:r w:rsidR="00A92269">
              <w:t xml:space="preserve"> funding </w:t>
            </w:r>
            <w:r w:rsidR="00F311F0">
              <w:t>and support</w:t>
            </w:r>
            <w:r w:rsidR="00A92269">
              <w:t xml:space="preserve"> to the medical physicist workforce. </w:t>
            </w:r>
          </w:p>
        </w:tc>
        <w:tc>
          <w:tcPr>
            <w:tcW w:w="4253" w:type="dxa"/>
            <w:tcBorders>
              <w:bottom w:val="nil"/>
              <w:right w:val="nil"/>
            </w:tcBorders>
          </w:tcPr>
          <w:p w14:paraId="6695D6C2" w14:textId="77777777" w:rsidR="00B4611D" w:rsidRDefault="00B4611D"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Continuation of funding</w:t>
            </w:r>
          </w:p>
          <w:p w14:paraId="1D5CB136" w14:textId="77777777" w:rsidR="00B4611D" w:rsidRDefault="00B4611D" w:rsidP="00194457">
            <w:pPr>
              <w:pStyle w:val="BodyText"/>
              <w:spacing w:before="60" w:after="60"/>
              <w:cnfStyle w:val="000000000000" w:firstRow="0" w:lastRow="0" w:firstColumn="0" w:lastColumn="0" w:oddVBand="0" w:evenVBand="0" w:oddHBand="0" w:evenHBand="0" w:firstRowFirstColumn="0" w:firstRowLastColumn="0" w:lastRowFirstColumn="0" w:lastRowLastColumn="0"/>
            </w:pPr>
            <w:r w:rsidRPr="00C96CB3">
              <w:t>The Department should continue MPS Program funding beyond 2024-25</w:t>
            </w:r>
            <w:r>
              <w:t>, th</w:t>
            </w:r>
            <w:r w:rsidRPr="00C96CB3">
              <w:t>rough dedicated funding streams, with the Medical Phy</w:t>
            </w:r>
            <w:r>
              <w:t>sicist Trainee Support stream dedicated to the provision of grants to facilities employing TEAP Registrars.</w:t>
            </w:r>
          </w:p>
          <w:p w14:paraId="39E05690" w14:textId="5741B998" w:rsidR="00B4611D" w:rsidRDefault="00B4611D" w:rsidP="00194457">
            <w:pPr>
              <w:pStyle w:val="BodyText"/>
              <w:spacing w:before="60" w:after="60"/>
              <w:cnfStyle w:val="000000000000" w:firstRow="0" w:lastRow="0" w:firstColumn="0" w:lastColumn="0" w:oddVBand="0" w:evenVBand="0" w:oddHBand="0" w:evenHBand="0" w:firstRowFirstColumn="0" w:firstRowLastColumn="0" w:lastRowFirstColumn="0" w:lastRowLastColumn="0"/>
            </w:pPr>
          </w:p>
        </w:tc>
      </w:tr>
      <w:tr w:rsidR="00B4611D" w14:paraId="042B4BCD" w14:textId="77777777" w:rsidTr="001F4FFF">
        <w:tc>
          <w:tcPr>
            <w:cnfStyle w:val="001000000000" w:firstRow="0" w:lastRow="0" w:firstColumn="1" w:lastColumn="0" w:oddVBand="0" w:evenVBand="0" w:oddHBand="0" w:evenHBand="0" w:firstRowFirstColumn="0" w:firstRowLastColumn="0" w:lastRowFirstColumn="0" w:lastRowLastColumn="0"/>
            <w:tcW w:w="2127" w:type="dxa"/>
            <w:vMerge/>
            <w:tcBorders>
              <w:left w:val="nil"/>
            </w:tcBorders>
            <w:shd w:val="clear" w:color="auto" w:fill="F1F4FE"/>
          </w:tcPr>
          <w:p w14:paraId="5D42C3C6" w14:textId="3A681CFD" w:rsidR="00B4611D" w:rsidRPr="00172A97" w:rsidRDefault="00B4611D" w:rsidP="00DC5F7B">
            <w:pPr>
              <w:pStyle w:val="BodyText"/>
              <w:rPr>
                <w:b w:val="0"/>
                <w:bCs w:val="0"/>
              </w:rPr>
            </w:pPr>
          </w:p>
        </w:tc>
        <w:tc>
          <w:tcPr>
            <w:tcW w:w="4110" w:type="dxa"/>
            <w:tcBorders>
              <w:top w:val="nil"/>
            </w:tcBorders>
          </w:tcPr>
          <w:p w14:paraId="2A3BA9D7" w14:textId="77777777" w:rsidR="00B4611D" w:rsidRPr="00EE01D0" w:rsidRDefault="00B4611D"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rPr>
            </w:pPr>
            <w:r w:rsidRPr="00EE01D0">
              <w:rPr>
                <w:b/>
                <w:bCs/>
              </w:rPr>
              <w:t>Workforce</w:t>
            </w:r>
            <w:r>
              <w:rPr>
                <w:b/>
                <w:bCs/>
              </w:rPr>
              <w:t xml:space="preserve"> </w:t>
            </w:r>
            <w:r w:rsidRPr="00EE01D0">
              <w:rPr>
                <w:b/>
                <w:bCs/>
              </w:rPr>
              <w:t>immaturity</w:t>
            </w:r>
            <w:r>
              <w:rPr>
                <w:b/>
                <w:bCs/>
              </w:rPr>
              <w:t xml:space="preserve"> and growth challenges</w:t>
            </w:r>
          </w:p>
          <w:p w14:paraId="4DEF57C6" w14:textId="77777777" w:rsidR="00B4611D" w:rsidRDefault="00B4611D" w:rsidP="00584EC6">
            <w:pPr>
              <w:pStyle w:val="BodyText"/>
              <w:numPr>
                <w:ilvl w:val="0"/>
                <w:numId w:val="60"/>
              </w:numPr>
              <w:spacing w:before="60" w:after="60"/>
              <w:cnfStyle w:val="000000000000" w:firstRow="0" w:lastRow="0" w:firstColumn="0" w:lastColumn="0" w:oddVBand="0" w:evenVBand="0" w:oddHBand="0" w:evenHBand="0" w:firstRowFirstColumn="0" w:firstRowLastColumn="0" w:lastRowFirstColumn="0" w:lastRowLastColumn="0"/>
            </w:pPr>
            <w:r>
              <w:t xml:space="preserve">There is limited data available on the number of medical physicists currently practicing in Australia. </w:t>
            </w:r>
          </w:p>
          <w:p w14:paraId="72072962" w14:textId="77777777" w:rsidR="00B4611D" w:rsidRDefault="00B4611D" w:rsidP="00584EC6">
            <w:pPr>
              <w:pStyle w:val="BodyText"/>
              <w:numPr>
                <w:ilvl w:val="0"/>
                <w:numId w:val="60"/>
              </w:numPr>
              <w:spacing w:before="60" w:after="60"/>
              <w:cnfStyle w:val="000000000000" w:firstRow="0" w:lastRow="0" w:firstColumn="0" w:lastColumn="0" w:oddVBand="0" w:evenVBand="0" w:oddHBand="0" w:evenHBand="0" w:firstRowFirstColumn="0" w:firstRowLastColumn="0" w:lastRowFirstColumn="0" w:lastRowLastColumn="0"/>
            </w:pPr>
            <w:r>
              <w:t>Limitations in workforce data and modelling, including a lack of nationally accepted roles and responsibilities, make it challenging to determine the workforce shortage or need.</w:t>
            </w:r>
          </w:p>
          <w:p w14:paraId="655D6BAD" w14:textId="17CB885E" w:rsidR="00B4611D" w:rsidRDefault="00B4611D" w:rsidP="00584EC6">
            <w:pPr>
              <w:pStyle w:val="BodyText"/>
              <w:numPr>
                <w:ilvl w:val="0"/>
                <w:numId w:val="60"/>
              </w:numPr>
              <w:spacing w:before="60" w:after="60"/>
              <w:cnfStyle w:val="000000000000" w:firstRow="0" w:lastRow="0" w:firstColumn="0" w:lastColumn="0" w:oddVBand="0" w:evenVBand="0" w:oddHBand="0" w:evenHBand="0" w:firstRowFirstColumn="0" w:firstRowLastColumn="0" w:lastRowFirstColumn="0" w:lastRowLastColumn="0"/>
            </w:pPr>
            <w:r>
              <w:t>There are gaps in retaining mid-career medical physicists once they have completed TEAP.</w:t>
            </w:r>
          </w:p>
        </w:tc>
        <w:tc>
          <w:tcPr>
            <w:tcW w:w="3969" w:type="dxa"/>
            <w:tcBorders>
              <w:top w:val="nil"/>
            </w:tcBorders>
          </w:tcPr>
          <w:p w14:paraId="763B4A0C" w14:textId="77777777" w:rsidR="00B4611D" w:rsidRPr="00BD29B0" w:rsidRDefault="00B4611D"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Challenges to workforce planning</w:t>
            </w:r>
          </w:p>
          <w:p w14:paraId="5B94AEA3" w14:textId="77777777" w:rsidR="00B4611D" w:rsidRDefault="00B4611D" w:rsidP="00584EC6">
            <w:pPr>
              <w:pStyle w:val="BodyText"/>
              <w:numPr>
                <w:ilvl w:val="0"/>
                <w:numId w:val="53"/>
              </w:numPr>
              <w:spacing w:before="60" w:after="60"/>
              <w:cnfStyle w:val="000000000000" w:firstRow="0" w:lastRow="0" w:firstColumn="0" w:lastColumn="0" w:oddVBand="0" w:evenVBand="0" w:oddHBand="0" w:evenHBand="0" w:firstRowFirstColumn="0" w:firstRowLastColumn="0" w:lastRowFirstColumn="0" w:lastRowLastColumn="0"/>
            </w:pPr>
            <w:r w:rsidRPr="00FC0CB6">
              <w:t>Given the importance of the medical physics workforce, the development of future health workforce strategies, at both the Commonwealth and State and Territory level, should specifically include medical physics as a key health profession.</w:t>
            </w:r>
          </w:p>
          <w:p w14:paraId="4BF8C981" w14:textId="71FC7BDA" w:rsidR="00B4611D" w:rsidRDefault="00B4611D" w:rsidP="00584EC6">
            <w:pPr>
              <w:pStyle w:val="BodyText"/>
              <w:numPr>
                <w:ilvl w:val="0"/>
                <w:numId w:val="53"/>
              </w:numPr>
              <w:spacing w:before="60" w:after="60"/>
              <w:cnfStyle w:val="000000000000" w:firstRow="0" w:lastRow="0" w:firstColumn="0" w:lastColumn="0" w:oddVBand="0" w:evenVBand="0" w:oddHBand="0" w:evenHBand="0" w:firstRowFirstColumn="0" w:firstRowLastColumn="0" w:lastRowFirstColumn="0" w:lastRowLastColumn="0"/>
            </w:pPr>
            <w:r>
              <w:t>Determination of current workforce makeup and future workforce planning is difficult.</w:t>
            </w:r>
          </w:p>
        </w:tc>
        <w:tc>
          <w:tcPr>
            <w:tcW w:w="4253" w:type="dxa"/>
            <w:tcBorders>
              <w:top w:val="nil"/>
              <w:right w:val="nil"/>
            </w:tcBorders>
          </w:tcPr>
          <w:p w14:paraId="7E2855D3" w14:textId="77777777" w:rsidR="00B4611D" w:rsidRDefault="00B4611D"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Workforce planning and recognition</w:t>
            </w:r>
          </w:p>
          <w:p w14:paraId="6C7174C3" w14:textId="0E9FC3D3" w:rsidR="00B4611D" w:rsidRDefault="00B4611D"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Cs/>
                <w:iCs/>
              </w:rPr>
            </w:pPr>
            <w:r w:rsidRPr="00194457">
              <w:t xml:space="preserve">A definition of workforce shortage that is applicable to medical physics and aligns to other Commonwealth definitions </w:t>
            </w:r>
            <w:r w:rsidR="00844ED0">
              <w:rPr>
                <w:bCs/>
                <w:iCs/>
              </w:rPr>
              <w:t xml:space="preserve">for the health workforce </w:t>
            </w:r>
            <w:r w:rsidRPr="00194457">
              <w:t xml:space="preserve">should be developed. </w:t>
            </w:r>
          </w:p>
          <w:p w14:paraId="57995972" w14:textId="002D5C82" w:rsidR="00B4611D" w:rsidRDefault="00B4611D"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Cs/>
                <w:iCs/>
              </w:rPr>
            </w:pPr>
            <w:r>
              <w:rPr>
                <w:bCs/>
                <w:iCs/>
              </w:rPr>
              <w:t xml:space="preserve">Noting the ongoing work from various stakeholders regarding the potential of formal registration and protected title of ‘Medical Physicists’ under the </w:t>
            </w:r>
            <w:r w:rsidR="00362367">
              <w:t>National Registration and Accreditation Scheme (</w:t>
            </w:r>
            <w:r>
              <w:rPr>
                <w:bCs/>
                <w:iCs/>
              </w:rPr>
              <w:t>NRAS</w:t>
            </w:r>
            <w:r w:rsidR="00362367">
              <w:rPr>
                <w:bCs/>
                <w:iCs/>
              </w:rPr>
              <w:t>)</w:t>
            </w:r>
            <w:r>
              <w:rPr>
                <w:bCs/>
                <w:iCs/>
              </w:rPr>
              <w:t xml:space="preserve">; should this occur, the Department should consider the medical </w:t>
            </w:r>
            <w:proofErr w:type="gramStart"/>
            <w:r>
              <w:rPr>
                <w:bCs/>
                <w:iCs/>
              </w:rPr>
              <w:t>physicists</w:t>
            </w:r>
            <w:proofErr w:type="gramEnd"/>
            <w:r>
              <w:rPr>
                <w:bCs/>
                <w:iCs/>
              </w:rPr>
              <w:t xml:space="preserve"> workforce in the context of: </w:t>
            </w:r>
          </w:p>
          <w:p w14:paraId="513E38AB" w14:textId="77777777" w:rsidR="00B4611D" w:rsidRPr="00556D0D" w:rsidRDefault="00B4611D" w:rsidP="00584EC6">
            <w:pPr>
              <w:pStyle w:val="BodyText"/>
              <w:numPr>
                <w:ilvl w:val="0"/>
                <w:numId w:val="72"/>
              </w:numPr>
              <w:spacing w:before="60" w:after="60"/>
              <w:cnfStyle w:val="000000000000" w:firstRow="0" w:lastRow="0" w:firstColumn="0" w:lastColumn="0" w:oddVBand="0" w:evenVBand="0" w:oddHBand="0" w:evenHBand="0" w:firstRowFirstColumn="0" w:firstRowLastColumn="0" w:lastRowFirstColumn="0" w:lastRowLastColumn="0"/>
              <w:rPr>
                <w:b/>
              </w:rPr>
            </w:pPr>
            <w:r w:rsidRPr="00B4611D">
              <w:rPr>
                <w:bCs/>
                <w:iCs/>
              </w:rPr>
              <w:t xml:space="preserve">Workforce data collected as </w:t>
            </w:r>
            <w:r w:rsidRPr="00194457">
              <w:t>part of the</w:t>
            </w:r>
            <w:r w:rsidRPr="00B4611D">
              <w:rPr>
                <w:bCs/>
                <w:i/>
              </w:rPr>
              <w:t xml:space="preserve"> </w:t>
            </w:r>
            <w:r w:rsidRPr="00B4611D">
              <w:rPr>
                <w:bCs/>
                <w:iCs/>
              </w:rPr>
              <w:t>National Health Workforce Dataset (NHWDS).</w:t>
            </w:r>
          </w:p>
          <w:p w14:paraId="225724CB" w14:textId="4B56F1BE" w:rsidR="000E6C04" w:rsidRPr="00B4611D" w:rsidRDefault="000E6C04" w:rsidP="00B17278">
            <w:pPr>
              <w:pStyle w:val="BodyText"/>
              <w:spacing w:before="60" w:after="60"/>
              <w:cnfStyle w:val="000000000000" w:firstRow="0" w:lastRow="0" w:firstColumn="0" w:lastColumn="0" w:oddVBand="0" w:evenVBand="0" w:oddHBand="0" w:evenHBand="0" w:firstRowFirstColumn="0" w:firstRowLastColumn="0" w:lastRowFirstColumn="0" w:lastRowLastColumn="0"/>
              <w:rPr>
                <w:b/>
              </w:rPr>
            </w:pPr>
            <w:r w:rsidRPr="00556D0D">
              <w:rPr>
                <w:iCs/>
              </w:rPr>
              <w:t xml:space="preserve">In addition, if </w:t>
            </w:r>
            <w:r w:rsidR="00697601" w:rsidRPr="00556D0D">
              <w:rPr>
                <w:iCs/>
              </w:rPr>
              <w:t>registration under NRAS is not achieved, the Department should consider</w:t>
            </w:r>
            <w:r w:rsidR="00871BBE">
              <w:rPr>
                <w:iCs/>
              </w:rPr>
              <w:t xml:space="preserve"> the medical physics workforce as part of th</w:t>
            </w:r>
            <w:r w:rsidR="00697601">
              <w:rPr>
                <w:bCs/>
                <w:iCs/>
              </w:rPr>
              <w:t>e Department’s Health workforce planning and strategy frameworks</w:t>
            </w:r>
            <w:r w:rsidR="00871BBE">
              <w:rPr>
                <w:bCs/>
                <w:iCs/>
              </w:rPr>
              <w:t>.</w:t>
            </w:r>
          </w:p>
        </w:tc>
      </w:tr>
      <w:tr w:rsidR="00DC5F7B" w14:paraId="68DC8B79" w14:textId="77777777" w:rsidTr="001F4FFF">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1F4FE"/>
          </w:tcPr>
          <w:p w14:paraId="48FF56A1" w14:textId="53BC0517" w:rsidR="00DC5F7B" w:rsidRPr="00B4611D" w:rsidRDefault="00DC5F7B" w:rsidP="00DC5F7B">
            <w:pPr>
              <w:pStyle w:val="BodyText"/>
            </w:pPr>
            <w:r w:rsidRPr="00B4611D">
              <w:t>KEQ3:</w:t>
            </w:r>
          </w:p>
          <w:p w14:paraId="1F4F85C4" w14:textId="06AB48BE" w:rsidR="00DC5F7B" w:rsidRPr="00B4611D" w:rsidRDefault="00DC5F7B" w:rsidP="00DC5F7B">
            <w:pPr>
              <w:pStyle w:val="BodyText"/>
              <w:rPr>
                <w:b w:val="0"/>
                <w:i/>
              </w:rPr>
            </w:pPr>
            <w:r w:rsidRPr="00B4611D">
              <w:rPr>
                <w:b w:val="0"/>
                <w:i/>
              </w:rPr>
              <w:t>How efficient is the MPS Program?</w:t>
            </w:r>
          </w:p>
        </w:tc>
        <w:tc>
          <w:tcPr>
            <w:tcW w:w="4110" w:type="dxa"/>
            <w:tcBorders>
              <w:bottom w:val="single" w:sz="4" w:space="0" w:color="6BA0FF" w:themeColor="accent1" w:themeTint="66"/>
            </w:tcBorders>
          </w:tcPr>
          <w:p w14:paraId="439F0187" w14:textId="77777777" w:rsidR="00DC5F7B" w:rsidRDefault="00DC5F7B"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Reporting limitations</w:t>
            </w:r>
          </w:p>
          <w:p w14:paraId="3A3B5B93" w14:textId="77777777" w:rsidR="00B4611D" w:rsidRDefault="00DC5F7B" w:rsidP="00584EC6">
            <w:pPr>
              <w:pStyle w:val="BodyText"/>
              <w:numPr>
                <w:ilvl w:val="0"/>
                <w:numId w:val="62"/>
              </w:numPr>
              <w:spacing w:before="60" w:after="60"/>
              <w:cnfStyle w:val="000000000000" w:firstRow="0" w:lastRow="0" w:firstColumn="0" w:lastColumn="0" w:oddVBand="0" w:evenVBand="0" w:oddHBand="0" w:evenHBand="0" w:firstRowFirstColumn="0" w:firstRowLastColumn="0" w:lastRowFirstColumn="0" w:lastRowLastColumn="0"/>
            </w:pPr>
            <w:r w:rsidRPr="002C03B7">
              <w:t>Reporting detail and structure for financial and census data limits the identification of trends, cross-period comparisons and ability to assess financial efficiency.</w:t>
            </w:r>
          </w:p>
          <w:p w14:paraId="48CB8638" w14:textId="3C704607" w:rsidR="00DC5F7B" w:rsidRDefault="00DC5F7B" w:rsidP="00584EC6">
            <w:pPr>
              <w:pStyle w:val="BodyText"/>
              <w:numPr>
                <w:ilvl w:val="0"/>
                <w:numId w:val="62"/>
              </w:numPr>
              <w:spacing w:before="60" w:after="60"/>
              <w:cnfStyle w:val="000000000000" w:firstRow="0" w:lastRow="0" w:firstColumn="0" w:lastColumn="0" w:oddVBand="0" w:evenVBand="0" w:oddHBand="0" w:evenHBand="0" w:firstRowFirstColumn="0" w:firstRowLastColumn="0" w:lastRowFirstColumn="0" w:lastRowLastColumn="0"/>
            </w:pPr>
            <w:r>
              <w:t>There is a lack of f</w:t>
            </w:r>
            <w:r w:rsidRPr="00C067EC">
              <w:t xml:space="preserve">inancial </w:t>
            </w:r>
            <w:r>
              <w:t>and benchmarking data required to accurately assess financial efficiency of the MPS Program.</w:t>
            </w:r>
          </w:p>
        </w:tc>
        <w:tc>
          <w:tcPr>
            <w:tcW w:w="3969" w:type="dxa"/>
            <w:tcBorders>
              <w:bottom w:val="single" w:sz="4" w:space="0" w:color="6BA0FF" w:themeColor="accent1" w:themeTint="66"/>
            </w:tcBorders>
          </w:tcPr>
          <w:p w14:paraId="2A97A2FC" w14:textId="637D84F1" w:rsidR="00C2020B" w:rsidRDefault="00DC5F7B"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Limitations to assessing financial efficiency</w:t>
            </w:r>
          </w:p>
          <w:p w14:paraId="42E90044" w14:textId="4A4C2235" w:rsidR="00DC5F7B" w:rsidRDefault="00DC5F7B" w:rsidP="00194457">
            <w:pPr>
              <w:pStyle w:val="BodyText"/>
              <w:spacing w:before="60" w:after="60"/>
              <w:cnfStyle w:val="000000000000" w:firstRow="0" w:lastRow="0" w:firstColumn="0" w:lastColumn="0" w:oddVBand="0" w:evenVBand="0" w:oddHBand="0" w:evenHBand="0" w:firstRowFirstColumn="0" w:firstRowLastColumn="0" w:lastRowFirstColumn="0" w:lastRowLastColumn="0"/>
            </w:pPr>
            <w:r w:rsidRPr="00164909">
              <w:t xml:space="preserve">The ability to demonstrate the </w:t>
            </w:r>
            <w:r>
              <w:t>financial efficiency</w:t>
            </w:r>
            <w:r w:rsidRPr="00164909">
              <w:t xml:space="preserve"> and value </w:t>
            </w:r>
            <w:r w:rsidR="0061729E">
              <w:t>for</w:t>
            </w:r>
            <w:r w:rsidRPr="00164909">
              <w:t xml:space="preserve"> money of the MPS Program to decision makers is limited.</w:t>
            </w:r>
          </w:p>
        </w:tc>
        <w:tc>
          <w:tcPr>
            <w:tcW w:w="4253" w:type="dxa"/>
            <w:tcBorders>
              <w:right w:val="nil"/>
            </w:tcBorders>
          </w:tcPr>
          <w:p w14:paraId="0053C945" w14:textId="77777777" w:rsidR="00DC5F7B" w:rsidRDefault="00DC5F7B"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Review of reporting arrangements</w:t>
            </w:r>
          </w:p>
          <w:p w14:paraId="295D1AB5" w14:textId="77777777" w:rsidR="00DC5F7B" w:rsidRDefault="00DC5F7B" w:rsidP="00194457">
            <w:pPr>
              <w:pStyle w:val="BodyText"/>
              <w:spacing w:before="60" w:after="60"/>
              <w:cnfStyle w:val="000000000000" w:firstRow="0" w:lastRow="0" w:firstColumn="0" w:lastColumn="0" w:oddVBand="0" w:evenVBand="0" w:oddHBand="0" w:evenHBand="0" w:firstRowFirstColumn="0" w:firstRowLastColumn="0" w:lastRowFirstColumn="0" w:lastRowLastColumn="0"/>
            </w:pPr>
            <w:r>
              <w:t>The Department should review financial and non-financial reporting arrangements with a view to:</w:t>
            </w:r>
          </w:p>
          <w:p w14:paraId="73D665E6" w14:textId="5EA624A1" w:rsidR="00DC5F7B" w:rsidRDefault="00DC5F7B" w:rsidP="00584EC6">
            <w:pPr>
              <w:pStyle w:val="BodyText"/>
              <w:numPr>
                <w:ilvl w:val="0"/>
                <w:numId w:val="63"/>
              </w:numPr>
              <w:spacing w:before="60" w:after="60"/>
              <w:cnfStyle w:val="000000000000" w:firstRow="0" w:lastRow="0" w:firstColumn="0" w:lastColumn="0" w:oddVBand="0" w:evenVBand="0" w:oddHBand="0" w:evenHBand="0" w:firstRowFirstColumn="0" w:firstRowLastColumn="0" w:lastRowFirstColumn="0" w:lastRowLastColumn="0"/>
            </w:pPr>
            <w:r>
              <w:t>Simplify and streamline funded activities, outputs</w:t>
            </w:r>
            <w:r w:rsidR="0000477E">
              <w:t>,</w:t>
            </w:r>
            <w:r>
              <w:t xml:space="preserve"> and </w:t>
            </w:r>
            <w:proofErr w:type="gramStart"/>
            <w:r>
              <w:t>reporting;</w:t>
            </w:r>
            <w:proofErr w:type="gramEnd"/>
            <w:r>
              <w:t xml:space="preserve"> </w:t>
            </w:r>
          </w:p>
          <w:p w14:paraId="0310101C" w14:textId="77777777" w:rsidR="004E09ED" w:rsidRDefault="00DC5F7B" w:rsidP="00584EC6">
            <w:pPr>
              <w:pStyle w:val="BodyText"/>
              <w:numPr>
                <w:ilvl w:val="0"/>
                <w:numId w:val="63"/>
              </w:numPr>
              <w:spacing w:before="60" w:after="60"/>
              <w:cnfStyle w:val="000000000000" w:firstRow="0" w:lastRow="0" w:firstColumn="0" w:lastColumn="0" w:oddVBand="0" w:evenVBand="0" w:oddHBand="0" w:evenHBand="0" w:firstRowFirstColumn="0" w:firstRowLastColumn="0" w:lastRowFirstColumn="0" w:lastRowLastColumn="0"/>
            </w:pPr>
            <w:r>
              <w:t>Improve granularity of financial data; and</w:t>
            </w:r>
          </w:p>
          <w:p w14:paraId="7FBBF615" w14:textId="1A46B6D9" w:rsidR="00DC5F7B" w:rsidRDefault="00DC5F7B" w:rsidP="00584EC6">
            <w:pPr>
              <w:pStyle w:val="BodyText"/>
              <w:numPr>
                <w:ilvl w:val="0"/>
                <w:numId w:val="63"/>
              </w:numPr>
              <w:spacing w:before="60" w:after="60"/>
              <w:cnfStyle w:val="000000000000" w:firstRow="0" w:lastRow="0" w:firstColumn="0" w:lastColumn="0" w:oddVBand="0" w:evenVBand="0" w:oddHBand="0" w:evenHBand="0" w:firstRowFirstColumn="0" w:firstRowLastColumn="0" w:lastRowFirstColumn="0" w:lastRowLastColumn="0"/>
            </w:pPr>
            <w:r>
              <w:t>Enable benchmarking with similar specialty programs.</w:t>
            </w:r>
          </w:p>
        </w:tc>
      </w:tr>
      <w:tr w:rsidR="002B77D7" w14:paraId="0F1334C0" w14:textId="77777777" w:rsidTr="001F4FFF">
        <w:tc>
          <w:tcPr>
            <w:cnfStyle w:val="001000000000" w:firstRow="0" w:lastRow="0" w:firstColumn="1" w:lastColumn="0" w:oddVBand="0" w:evenVBand="0" w:oddHBand="0" w:evenHBand="0" w:firstRowFirstColumn="0" w:firstRowLastColumn="0" w:lastRowFirstColumn="0" w:lastRowLastColumn="0"/>
            <w:tcW w:w="2127" w:type="dxa"/>
            <w:vMerge w:val="restart"/>
            <w:tcBorders>
              <w:left w:val="nil"/>
            </w:tcBorders>
            <w:shd w:val="clear" w:color="auto" w:fill="F1F4FE"/>
          </w:tcPr>
          <w:p w14:paraId="7BC260E1" w14:textId="6161F55B" w:rsidR="002B77D7" w:rsidRPr="004E09ED" w:rsidRDefault="002B77D7" w:rsidP="00DC5F7B">
            <w:pPr>
              <w:pStyle w:val="BodyText"/>
            </w:pPr>
            <w:r w:rsidRPr="004E09ED">
              <w:t>KEQ4:</w:t>
            </w:r>
          </w:p>
          <w:p w14:paraId="6D4860D4" w14:textId="6B0B91A5" w:rsidR="002B77D7" w:rsidRPr="00172A97" w:rsidRDefault="002B77D7" w:rsidP="00DC5F7B">
            <w:pPr>
              <w:pStyle w:val="BodyText"/>
              <w:rPr>
                <w:b w:val="0"/>
                <w:bCs w:val="0"/>
              </w:rPr>
            </w:pPr>
            <w:r w:rsidRPr="004E09ED">
              <w:rPr>
                <w:b w:val="0"/>
                <w:i/>
              </w:rPr>
              <w:t>How sustainable is the MPS Program over the long term, and what evidence supports its continued viability to justify ongoing funding support?</w:t>
            </w:r>
          </w:p>
        </w:tc>
        <w:tc>
          <w:tcPr>
            <w:tcW w:w="4110" w:type="dxa"/>
            <w:tcBorders>
              <w:bottom w:val="nil"/>
            </w:tcBorders>
          </w:tcPr>
          <w:p w14:paraId="25E170E9" w14:textId="77777777" w:rsidR="002B77D7" w:rsidRPr="00194457" w:rsidRDefault="002B77D7" w:rsidP="00194457">
            <w:pPr>
              <w:spacing w:before="60" w:after="60"/>
              <w:cnfStyle w:val="000000000000" w:firstRow="0" w:lastRow="0" w:firstColumn="0" w:lastColumn="0" w:oddVBand="0" w:evenVBand="0" w:oddHBand="0" w:evenHBand="0" w:firstRowFirstColumn="0" w:firstRowLastColumn="0" w:lastRowFirstColumn="0" w:lastRowLastColumn="0"/>
              <w:rPr>
                <w:b/>
              </w:rPr>
            </w:pPr>
            <w:r>
              <w:rPr>
                <w:b/>
                <w:bCs/>
              </w:rPr>
              <w:t>Funding model</w:t>
            </w:r>
          </w:p>
          <w:p w14:paraId="54B56F76" w14:textId="77777777" w:rsidR="002B77D7" w:rsidRDefault="002B77D7" w:rsidP="00584EC6">
            <w:pPr>
              <w:pStyle w:val="BodyText"/>
              <w:numPr>
                <w:ilvl w:val="0"/>
                <w:numId w:val="67"/>
              </w:numPr>
              <w:spacing w:before="60" w:after="60"/>
              <w:cnfStyle w:val="000000000000" w:firstRow="0" w:lastRow="0" w:firstColumn="0" w:lastColumn="0" w:oddVBand="0" w:evenVBand="0" w:oddHBand="0" w:evenHBand="0" w:firstRowFirstColumn="0" w:firstRowLastColumn="0" w:lastRowFirstColumn="0" w:lastRowLastColumn="0"/>
            </w:pPr>
            <w:r w:rsidRPr="00194457">
              <w:t xml:space="preserve">While funding amounts for both streams increased under the 2022 grant agreement, the underlying model has remained unchanged since the 2018 agreement. </w:t>
            </w:r>
          </w:p>
          <w:p w14:paraId="4F81F362" w14:textId="74A90965" w:rsidR="002B77D7" w:rsidRPr="00194457" w:rsidRDefault="002B77D7" w:rsidP="00584EC6">
            <w:pPr>
              <w:pStyle w:val="BodyText"/>
              <w:numPr>
                <w:ilvl w:val="0"/>
                <w:numId w:val="67"/>
              </w:numPr>
              <w:spacing w:before="60" w:after="60"/>
              <w:cnfStyle w:val="000000000000" w:firstRow="0" w:lastRow="0" w:firstColumn="0" w:lastColumn="0" w:oddVBand="0" w:evenVBand="0" w:oddHBand="0" w:evenHBand="0" w:firstRowFirstColumn="0" w:firstRowLastColumn="0" w:lastRowFirstColumn="0" w:lastRowLastColumn="0"/>
            </w:pPr>
            <w:r w:rsidRPr="00194457">
              <w:t xml:space="preserve">Base funding and regional loading amounts under the funding model for grants </w:t>
            </w:r>
            <w:r>
              <w:t xml:space="preserve">to facilities </w:t>
            </w:r>
            <w:r w:rsidRPr="00194457">
              <w:t>has remained consistent despite the rising costs of Registrars.</w:t>
            </w:r>
          </w:p>
          <w:p w14:paraId="0CB79556" w14:textId="5F6EEADE" w:rsidR="002B77D7" w:rsidRDefault="002B77D7" w:rsidP="00584EC6">
            <w:pPr>
              <w:pStyle w:val="BodyText"/>
              <w:numPr>
                <w:ilvl w:val="0"/>
                <w:numId w:val="67"/>
              </w:numPr>
              <w:spacing w:before="60" w:after="60"/>
              <w:cnfStyle w:val="000000000000" w:firstRow="0" w:lastRow="0" w:firstColumn="0" w:lastColumn="0" w:oddVBand="0" w:evenVBand="0" w:oddHBand="0" w:evenHBand="0" w:firstRowFirstColumn="0" w:firstRowLastColumn="0" w:lastRowFirstColumn="0" w:lastRowLastColumn="0"/>
            </w:pPr>
            <w:r>
              <w:t xml:space="preserve">The </w:t>
            </w:r>
            <w:r w:rsidRPr="00435614">
              <w:t>MPS Program funding is ACPSEM</w:t>
            </w:r>
            <w:r>
              <w:t>’s</w:t>
            </w:r>
            <w:r w:rsidRPr="00435614">
              <w:t xml:space="preserve"> largest revenue stream.</w:t>
            </w:r>
          </w:p>
        </w:tc>
        <w:tc>
          <w:tcPr>
            <w:tcW w:w="3969" w:type="dxa"/>
            <w:tcBorders>
              <w:bottom w:val="nil"/>
            </w:tcBorders>
          </w:tcPr>
          <w:p w14:paraId="40AD9D9A" w14:textId="0590311C" w:rsidR="002B77D7" w:rsidRPr="00194457" w:rsidRDefault="002B77D7"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rPr>
            </w:pPr>
            <w:r>
              <w:rPr>
                <w:b/>
                <w:bCs/>
              </w:rPr>
              <w:t xml:space="preserve">Funding model  </w:t>
            </w:r>
          </w:p>
          <w:p w14:paraId="5F83EBFE" w14:textId="77777777" w:rsidR="002B77D7" w:rsidRPr="0099734F" w:rsidRDefault="002B77D7" w:rsidP="00584EC6">
            <w:pPr>
              <w:pStyle w:val="BodyText"/>
              <w:numPr>
                <w:ilvl w:val="0"/>
                <w:numId w:val="68"/>
              </w:numPr>
              <w:spacing w:before="60" w:after="60"/>
              <w:cnfStyle w:val="000000000000" w:firstRow="0" w:lastRow="0" w:firstColumn="0" w:lastColumn="0" w:oddVBand="0" w:evenVBand="0" w:oddHBand="0" w:evenHBand="0" w:firstRowFirstColumn="0" w:firstRowLastColumn="0" w:lastRowFirstColumn="0" w:lastRowLastColumn="0"/>
            </w:pPr>
            <w:r>
              <w:t xml:space="preserve">Further clarity is required to ensure workforce needs are being met and funding amounts are appropriate. </w:t>
            </w:r>
            <w:r>
              <w:rPr>
                <w:b/>
                <w:bCs/>
              </w:rPr>
              <w:t xml:space="preserve"> </w:t>
            </w:r>
          </w:p>
          <w:p w14:paraId="79E8C281" w14:textId="5EE4F6F1" w:rsidR="002B77D7" w:rsidRDefault="002B77D7" w:rsidP="00584EC6">
            <w:pPr>
              <w:pStyle w:val="BodyText"/>
              <w:numPr>
                <w:ilvl w:val="0"/>
                <w:numId w:val="68"/>
              </w:numPr>
              <w:spacing w:before="60" w:after="60"/>
              <w:cnfStyle w:val="000000000000" w:firstRow="0" w:lastRow="0" w:firstColumn="0" w:lastColumn="0" w:oddVBand="0" w:evenVBand="0" w:oddHBand="0" w:evenHBand="0" w:firstRowFirstColumn="0" w:firstRowLastColumn="0" w:lastRowFirstColumn="0" w:lastRowLastColumn="0"/>
            </w:pPr>
            <w:r w:rsidRPr="004746FF">
              <w:t xml:space="preserve">A change in the financial strategy of ACPSEM is required to ensure long-term self-sufficiency. </w:t>
            </w:r>
          </w:p>
        </w:tc>
        <w:tc>
          <w:tcPr>
            <w:tcW w:w="4253" w:type="dxa"/>
            <w:vMerge w:val="restart"/>
            <w:tcBorders>
              <w:right w:val="nil"/>
            </w:tcBorders>
          </w:tcPr>
          <w:p w14:paraId="46FF256F" w14:textId="77777777" w:rsidR="002B77D7" w:rsidRDefault="002B77D7"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Review of funding model</w:t>
            </w:r>
          </w:p>
          <w:p w14:paraId="454BF854" w14:textId="77777777" w:rsidR="002B77D7" w:rsidRDefault="002B77D7" w:rsidP="00194457">
            <w:pPr>
              <w:pStyle w:val="BodyText"/>
              <w:spacing w:before="60" w:after="60"/>
              <w:cnfStyle w:val="000000000000" w:firstRow="0" w:lastRow="0" w:firstColumn="0" w:lastColumn="0" w:oddVBand="0" w:evenVBand="0" w:oddHBand="0" w:evenHBand="0" w:firstRowFirstColumn="0" w:firstRowLastColumn="0" w:lastRowFirstColumn="0" w:lastRowLastColumn="0"/>
            </w:pPr>
            <w:r>
              <w:t xml:space="preserve">The Department should undertake a deep dive review into the funding model of the MPS Program. This review should include: </w:t>
            </w:r>
          </w:p>
          <w:p w14:paraId="0E8282AA" w14:textId="77777777" w:rsidR="002B77D7" w:rsidRDefault="002B77D7" w:rsidP="00584EC6">
            <w:pPr>
              <w:pStyle w:val="BodyText"/>
              <w:numPr>
                <w:ilvl w:val="0"/>
                <w:numId w:val="66"/>
              </w:numPr>
              <w:spacing w:before="60" w:after="60"/>
              <w:cnfStyle w:val="000000000000" w:firstRow="0" w:lastRow="0" w:firstColumn="0" w:lastColumn="0" w:oddVBand="0" w:evenVBand="0" w:oddHBand="0" w:evenHBand="0" w:firstRowFirstColumn="0" w:firstRowLastColumn="0" w:lastRowFirstColumn="0" w:lastRowLastColumn="0"/>
            </w:pPr>
            <w:r>
              <w:t xml:space="preserve">Alignment with similar speciality programs which includes collaboration with states and </w:t>
            </w:r>
            <w:proofErr w:type="gramStart"/>
            <w:r>
              <w:t>territories;</w:t>
            </w:r>
            <w:proofErr w:type="gramEnd"/>
            <w:r>
              <w:t xml:space="preserve"> </w:t>
            </w:r>
          </w:p>
          <w:p w14:paraId="3FDB668F" w14:textId="650AA82C" w:rsidR="002B77D7" w:rsidRDefault="002B77D7" w:rsidP="00584EC6">
            <w:pPr>
              <w:pStyle w:val="BodyText"/>
              <w:numPr>
                <w:ilvl w:val="0"/>
                <w:numId w:val="66"/>
              </w:numPr>
              <w:spacing w:before="60" w:after="60"/>
              <w:cnfStyle w:val="000000000000" w:firstRow="0" w:lastRow="0" w:firstColumn="0" w:lastColumn="0" w:oddVBand="0" w:evenVBand="0" w:oddHBand="0" w:evenHBand="0" w:firstRowFirstColumn="0" w:firstRowLastColumn="0" w:lastRowFirstColumn="0" w:lastRowLastColumn="0"/>
            </w:pPr>
            <w:r>
              <w:t>Further clarity around guidelines, criteria, funding amounts, Consumer Price Index adjustments</w:t>
            </w:r>
            <w:r w:rsidR="00F20657">
              <w:t>,</w:t>
            </w:r>
            <w:r>
              <w:t xml:space="preserve"> and alignment to pay levels to ensure that program funding is being used to address workforce needs and ensure appropriate funding amounts; and </w:t>
            </w:r>
          </w:p>
          <w:p w14:paraId="717ACCE4" w14:textId="5EFA5BA2" w:rsidR="002B77D7" w:rsidRDefault="002B77D7" w:rsidP="00584EC6">
            <w:pPr>
              <w:pStyle w:val="BodyText"/>
              <w:numPr>
                <w:ilvl w:val="0"/>
                <w:numId w:val="66"/>
              </w:numPr>
              <w:spacing w:before="60" w:after="60"/>
              <w:cnfStyle w:val="000000000000" w:firstRow="0" w:lastRow="0" w:firstColumn="0" w:lastColumn="0" w:oddVBand="0" w:evenVBand="0" w:oddHBand="0" w:evenHBand="0" w:firstRowFirstColumn="0" w:firstRowLastColumn="0" w:lastRowFirstColumn="0" w:lastRowLastColumn="0"/>
            </w:pPr>
            <w:r>
              <w:t>In collaboration with ACPSEM, a review of ACPSEM’s revenue streams and financial strategy.</w:t>
            </w:r>
          </w:p>
        </w:tc>
      </w:tr>
      <w:tr w:rsidR="002B77D7" w14:paraId="280D67C3" w14:textId="77777777" w:rsidTr="001F4FFF">
        <w:tc>
          <w:tcPr>
            <w:cnfStyle w:val="001000000000" w:firstRow="0" w:lastRow="0" w:firstColumn="1" w:lastColumn="0" w:oddVBand="0" w:evenVBand="0" w:oddHBand="0" w:evenHBand="0" w:firstRowFirstColumn="0" w:firstRowLastColumn="0" w:lastRowFirstColumn="0" w:lastRowLastColumn="0"/>
            <w:tcW w:w="2127" w:type="dxa"/>
            <w:vMerge/>
            <w:tcBorders>
              <w:left w:val="nil"/>
              <w:bottom w:val="single" w:sz="4" w:space="0" w:color="6BA0FF" w:themeColor="accent1" w:themeTint="66"/>
            </w:tcBorders>
            <w:shd w:val="clear" w:color="auto" w:fill="F1F4FE"/>
          </w:tcPr>
          <w:p w14:paraId="5AD3A3F5" w14:textId="77777777" w:rsidR="002B77D7" w:rsidRPr="004E09ED" w:rsidRDefault="002B77D7" w:rsidP="00DC5F7B">
            <w:pPr>
              <w:pStyle w:val="BodyText"/>
            </w:pPr>
          </w:p>
        </w:tc>
        <w:tc>
          <w:tcPr>
            <w:tcW w:w="4110" w:type="dxa"/>
            <w:tcBorders>
              <w:top w:val="nil"/>
              <w:bottom w:val="single" w:sz="4" w:space="0" w:color="6BA0FF" w:themeColor="accent1" w:themeTint="66"/>
            </w:tcBorders>
          </w:tcPr>
          <w:p w14:paraId="0B9D96B2" w14:textId="77777777" w:rsidR="002B77D7" w:rsidRDefault="002B77D7"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 xml:space="preserve">Jurisdictional input </w:t>
            </w:r>
          </w:p>
          <w:p w14:paraId="0445E153" w14:textId="37AAF179" w:rsidR="002B77D7" w:rsidRDefault="002B77D7" w:rsidP="00194457">
            <w:pPr>
              <w:spacing w:before="60" w:after="60"/>
              <w:cnfStyle w:val="000000000000" w:firstRow="0" w:lastRow="0" w:firstColumn="0" w:lastColumn="0" w:oddVBand="0" w:evenVBand="0" w:oddHBand="0" w:evenHBand="0" w:firstRowFirstColumn="0" w:firstRowLastColumn="0" w:lastRowFirstColumn="0" w:lastRowLastColumn="0"/>
              <w:rPr>
                <w:b/>
                <w:bCs/>
              </w:rPr>
            </w:pPr>
            <w:r w:rsidRPr="00194457">
              <w:t xml:space="preserve">Jurisdictions use and prioritise the </w:t>
            </w:r>
            <w:r w:rsidRPr="002B77D7">
              <w:t>m</w:t>
            </w:r>
            <w:r w:rsidRPr="00194457">
              <w:t xml:space="preserve">edical </w:t>
            </w:r>
            <w:r w:rsidRPr="002B77D7">
              <w:t>p</w:t>
            </w:r>
            <w:r w:rsidRPr="00194457">
              <w:t>hysicist workforce differently, providing varying levels of funding.</w:t>
            </w:r>
          </w:p>
        </w:tc>
        <w:tc>
          <w:tcPr>
            <w:tcW w:w="3969" w:type="dxa"/>
            <w:tcBorders>
              <w:top w:val="nil"/>
              <w:bottom w:val="single" w:sz="4" w:space="0" w:color="6BA0FF" w:themeColor="accent1" w:themeTint="66"/>
            </w:tcBorders>
          </w:tcPr>
          <w:p w14:paraId="42B4C080" w14:textId="77777777" w:rsidR="002B77D7" w:rsidRPr="00194457" w:rsidRDefault="002B77D7"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rPr>
            </w:pPr>
            <w:r>
              <w:rPr>
                <w:b/>
                <w:bCs/>
              </w:rPr>
              <w:t>National alignment</w:t>
            </w:r>
          </w:p>
          <w:p w14:paraId="07E1CF2C" w14:textId="2B49B7EE" w:rsidR="002B77D7" w:rsidRDefault="002B77D7"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t>Collaboration amongst states and territories is required to recognise the need and utilisation of the medical physicist and RPS workforces and allow for alignment of priorities amongst jurisdictions.</w:t>
            </w:r>
          </w:p>
        </w:tc>
        <w:tc>
          <w:tcPr>
            <w:tcW w:w="4253" w:type="dxa"/>
            <w:vMerge/>
            <w:tcBorders>
              <w:bottom w:val="single" w:sz="4" w:space="0" w:color="6BA0FF" w:themeColor="accent1" w:themeTint="66"/>
              <w:right w:val="nil"/>
            </w:tcBorders>
          </w:tcPr>
          <w:p w14:paraId="7CD5904A" w14:textId="77777777" w:rsidR="002B77D7" w:rsidRDefault="002B77D7"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p>
        </w:tc>
      </w:tr>
      <w:tr w:rsidR="0099734F" w14:paraId="295D9D0A" w14:textId="77777777" w:rsidTr="001F4FFF">
        <w:tc>
          <w:tcPr>
            <w:cnfStyle w:val="001000000000" w:firstRow="0" w:lastRow="0" w:firstColumn="1" w:lastColumn="0" w:oddVBand="0" w:evenVBand="0" w:oddHBand="0" w:evenHBand="0" w:firstRowFirstColumn="0" w:firstRowLastColumn="0" w:lastRowFirstColumn="0" w:lastRowLastColumn="0"/>
            <w:tcW w:w="2127" w:type="dxa"/>
            <w:vMerge w:val="restart"/>
            <w:tcBorders>
              <w:left w:val="nil"/>
              <w:bottom w:val="single" w:sz="4" w:space="0" w:color="1E49E2" w:themeColor="accent2"/>
            </w:tcBorders>
            <w:shd w:val="clear" w:color="auto" w:fill="F1F4FE"/>
          </w:tcPr>
          <w:p w14:paraId="35DF5529" w14:textId="060E7BCE" w:rsidR="0099734F" w:rsidRPr="0099734F" w:rsidRDefault="0099734F" w:rsidP="00DC5F7B">
            <w:pPr>
              <w:pStyle w:val="BodyText"/>
            </w:pPr>
            <w:r w:rsidRPr="0099734F">
              <w:t>KEQ5:</w:t>
            </w:r>
          </w:p>
          <w:p w14:paraId="4A921BCA" w14:textId="53D2E73A" w:rsidR="0099734F" w:rsidRPr="0099734F" w:rsidRDefault="0099734F" w:rsidP="00DC5F7B">
            <w:pPr>
              <w:pStyle w:val="BodyText"/>
              <w:rPr>
                <w:b w:val="0"/>
              </w:rPr>
            </w:pPr>
            <w:r w:rsidRPr="0099734F">
              <w:rPr>
                <w:b w:val="0"/>
                <w:i/>
              </w:rPr>
              <w:t>How effective is the MPS Program in meeting its intended objectives?</w:t>
            </w:r>
          </w:p>
        </w:tc>
        <w:tc>
          <w:tcPr>
            <w:tcW w:w="4110" w:type="dxa"/>
            <w:tcBorders>
              <w:bottom w:val="nil"/>
            </w:tcBorders>
          </w:tcPr>
          <w:p w14:paraId="075E5151" w14:textId="77777777" w:rsidR="0099734F" w:rsidRPr="00194457" w:rsidRDefault="0099734F" w:rsidP="00194457">
            <w:pPr>
              <w:spacing w:before="60" w:after="60"/>
              <w:cnfStyle w:val="000000000000" w:firstRow="0" w:lastRow="0" w:firstColumn="0" w:lastColumn="0" w:oddVBand="0" w:evenVBand="0" w:oddHBand="0" w:evenHBand="0" w:firstRowFirstColumn="0" w:firstRowLastColumn="0" w:lastRowFirstColumn="0" w:lastRowLastColumn="0"/>
              <w:rPr>
                <w:b/>
              </w:rPr>
            </w:pPr>
            <w:r>
              <w:rPr>
                <w:b/>
                <w:bCs/>
              </w:rPr>
              <w:t>Workforce distribution</w:t>
            </w:r>
          </w:p>
          <w:p w14:paraId="6240F4F7" w14:textId="1B86719E" w:rsidR="0099734F" w:rsidRPr="000421BC" w:rsidRDefault="0099734F" w:rsidP="000421BC">
            <w:pPr>
              <w:pStyle w:val="BodyText"/>
              <w:numPr>
                <w:ilvl w:val="0"/>
                <w:numId w:val="68"/>
              </w:numPr>
              <w:spacing w:before="60" w:after="60"/>
              <w:cnfStyle w:val="000000000000" w:firstRow="0" w:lastRow="0" w:firstColumn="0" w:lastColumn="0" w:oddVBand="0" w:evenVBand="0" w:oddHBand="0" w:evenHBand="0" w:firstRowFirstColumn="0" w:firstRowLastColumn="0" w:lastRowFirstColumn="0" w:lastRowLastColumn="0"/>
            </w:pPr>
            <w:r w:rsidRPr="00785F72">
              <w:t xml:space="preserve">Current workforce distribution impacts of the program are minimal in MMM 2-7 areas. </w:t>
            </w:r>
          </w:p>
        </w:tc>
        <w:tc>
          <w:tcPr>
            <w:tcW w:w="3969" w:type="dxa"/>
            <w:tcBorders>
              <w:bottom w:val="nil"/>
            </w:tcBorders>
          </w:tcPr>
          <w:p w14:paraId="7DED79EA" w14:textId="77777777" w:rsidR="0099734F" w:rsidRPr="00194457" w:rsidRDefault="0099734F" w:rsidP="00194457">
            <w:pPr>
              <w:spacing w:before="60" w:after="60"/>
              <w:cnfStyle w:val="000000000000" w:firstRow="0" w:lastRow="0" w:firstColumn="0" w:lastColumn="0" w:oddVBand="0" w:evenVBand="0" w:oddHBand="0" w:evenHBand="0" w:firstRowFirstColumn="0" w:firstRowLastColumn="0" w:lastRowFirstColumn="0" w:lastRowLastColumn="0"/>
              <w:rPr>
                <w:b/>
              </w:rPr>
            </w:pPr>
            <w:r>
              <w:rPr>
                <w:b/>
                <w:bCs/>
              </w:rPr>
              <w:t>Challenges to workforce distribution</w:t>
            </w:r>
          </w:p>
          <w:p w14:paraId="710286BD" w14:textId="1671ED4D" w:rsidR="0099734F" w:rsidRDefault="00A21960" w:rsidP="00584EC6">
            <w:pPr>
              <w:pStyle w:val="BodyText"/>
              <w:numPr>
                <w:ilvl w:val="0"/>
                <w:numId w:val="68"/>
              </w:numPr>
              <w:spacing w:before="60" w:after="60"/>
              <w:cnfStyle w:val="000000000000" w:firstRow="0" w:lastRow="0" w:firstColumn="0" w:lastColumn="0" w:oddVBand="0" w:evenVBand="0" w:oddHBand="0" w:evenHBand="0" w:firstRowFirstColumn="0" w:firstRowLastColumn="0" w:lastRowFirstColumn="0" w:lastRowLastColumn="0"/>
              <w:rPr>
                <w:b/>
                <w:bCs/>
              </w:rPr>
            </w:pPr>
            <w:r>
              <w:t>Incentives</w:t>
            </w:r>
            <w:r w:rsidR="00C959B9">
              <w:t>, both financial and non-financial, such as through professional support post-</w:t>
            </w:r>
            <w:r w:rsidR="008045AC">
              <w:t xml:space="preserve">TEAP </w:t>
            </w:r>
            <w:r w:rsidR="00C959B9">
              <w:t xml:space="preserve">certification, is required to </w:t>
            </w:r>
            <w:r w:rsidR="005F2B2E">
              <w:t xml:space="preserve">support the distribution of the medical physicist workforce, particularly in </w:t>
            </w:r>
            <w:r w:rsidR="00DC5F7B" w:rsidRPr="00785F72">
              <w:t xml:space="preserve">regional and remote Australia. </w:t>
            </w:r>
          </w:p>
        </w:tc>
        <w:tc>
          <w:tcPr>
            <w:tcW w:w="4253" w:type="dxa"/>
            <w:tcBorders>
              <w:bottom w:val="nil"/>
              <w:right w:val="nil"/>
            </w:tcBorders>
          </w:tcPr>
          <w:p w14:paraId="13C0BB10" w14:textId="77777777" w:rsidR="0099734F" w:rsidRDefault="0099734F"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sidRPr="00194457">
              <w:rPr>
                <w:b/>
              </w:rPr>
              <w:t xml:space="preserve">Review of </w:t>
            </w:r>
            <w:r>
              <w:rPr>
                <w:b/>
                <w:bCs/>
              </w:rPr>
              <w:t>funding model</w:t>
            </w:r>
          </w:p>
          <w:p w14:paraId="08F7E6CB" w14:textId="74B035D8" w:rsidR="0099734F" w:rsidRDefault="0099734F"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sidRPr="00194457">
              <w:t>The</w:t>
            </w:r>
            <w:r>
              <w:t xml:space="preserve"> Department should consider the inclusion</w:t>
            </w:r>
            <w:r w:rsidRPr="00194457">
              <w:t xml:space="preserve"> of financial and non-financial incentives </w:t>
            </w:r>
            <w:r>
              <w:t xml:space="preserve">within the funding model </w:t>
            </w:r>
            <w:r w:rsidRPr="00194457">
              <w:t xml:space="preserve">to further support the </w:t>
            </w:r>
            <w:r>
              <w:t>m</w:t>
            </w:r>
            <w:r w:rsidRPr="00194457">
              <w:t xml:space="preserve">edical </w:t>
            </w:r>
            <w:r>
              <w:t>p</w:t>
            </w:r>
            <w:r w:rsidRPr="00194457">
              <w:t xml:space="preserve">hysicist workforce distribution within MMM 2-7 areas.  </w:t>
            </w:r>
          </w:p>
        </w:tc>
      </w:tr>
      <w:tr w:rsidR="0099734F" w14:paraId="6FE40898" w14:textId="77777777" w:rsidTr="001F4FFF">
        <w:tc>
          <w:tcPr>
            <w:cnfStyle w:val="001000000000" w:firstRow="0" w:lastRow="0" w:firstColumn="1" w:lastColumn="0" w:oddVBand="0" w:evenVBand="0" w:oddHBand="0" w:evenHBand="0" w:firstRowFirstColumn="0" w:firstRowLastColumn="0" w:lastRowFirstColumn="0" w:lastRowLastColumn="0"/>
            <w:tcW w:w="2127" w:type="dxa"/>
            <w:vMerge/>
            <w:tcBorders>
              <w:left w:val="nil"/>
              <w:bottom w:val="single" w:sz="4" w:space="0" w:color="1E49E2" w:themeColor="accent2"/>
            </w:tcBorders>
            <w:shd w:val="clear" w:color="auto" w:fill="F1F4FE"/>
          </w:tcPr>
          <w:p w14:paraId="5AD0AB36" w14:textId="77777777" w:rsidR="0099734F" w:rsidRPr="00E944E9" w:rsidRDefault="0099734F" w:rsidP="00DC5F7B">
            <w:pPr>
              <w:pStyle w:val="BodyText"/>
            </w:pPr>
          </w:p>
        </w:tc>
        <w:tc>
          <w:tcPr>
            <w:tcW w:w="4110" w:type="dxa"/>
            <w:tcBorders>
              <w:top w:val="nil"/>
              <w:bottom w:val="nil"/>
            </w:tcBorders>
          </w:tcPr>
          <w:p w14:paraId="1A2AB09F" w14:textId="77777777" w:rsidR="0099734F" w:rsidRPr="00EE01D0" w:rsidRDefault="0099734F" w:rsidP="00194457">
            <w:pPr>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Program Reporting</w:t>
            </w:r>
          </w:p>
          <w:p w14:paraId="72C691E9" w14:textId="77777777" w:rsidR="0099734F" w:rsidRDefault="0099734F" w:rsidP="00584EC6">
            <w:pPr>
              <w:pStyle w:val="BodyText"/>
              <w:numPr>
                <w:ilvl w:val="0"/>
                <w:numId w:val="59"/>
              </w:numPr>
              <w:spacing w:before="60" w:after="60"/>
              <w:cnfStyle w:val="000000000000" w:firstRow="0" w:lastRow="0" w:firstColumn="0" w:lastColumn="0" w:oddVBand="0" w:evenVBand="0" w:oddHBand="0" w:evenHBand="0" w:firstRowFirstColumn="0" w:firstRowLastColumn="0" w:lastRowFirstColumn="0" w:lastRowLastColumn="0"/>
            </w:pPr>
            <w:r>
              <w:t>Current activity work plans (AWPs) and performance reporting lists multiple sub-activities and does not have clear alignment and detailed impact on program outcomes.</w:t>
            </w:r>
          </w:p>
          <w:p w14:paraId="46D882CB" w14:textId="77777777" w:rsidR="0099734F" w:rsidRDefault="0099734F" w:rsidP="00584EC6">
            <w:pPr>
              <w:pStyle w:val="BodyText"/>
              <w:numPr>
                <w:ilvl w:val="0"/>
                <w:numId w:val="59"/>
              </w:numPr>
              <w:spacing w:before="60" w:after="60"/>
              <w:cnfStyle w:val="000000000000" w:firstRow="0" w:lastRow="0" w:firstColumn="0" w:lastColumn="0" w:oddVBand="0" w:evenVBand="0" w:oddHBand="0" w:evenHBand="0" w:firstRowFirstColumn="0" w:firstRowLastColumn="0" w:lastRowFirstColumn="0" w:lastRowLastColumn="0"/>
            </w:pPr>
            <w:r>
              <w:t xml:space="preserve">Existing reporting arrangements are </w:t>
            </w:r>
            <w:proofErr w:type="gramStart"/>
            <w:r>
              <w:t>output-focused</w:t>
            </w:r>
            <w:proofErr w:type="gramEnd"/>
            <w:r>
              <w:t>.</w:t>
            </w:r>
          </w:p>
          <w:p w14:paraId="7B1E75FE" w14:textId="77777777" w:rsidR="0099734F" w:rsidRPr="00194457" w:rsidRDefault="0099734F"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rPr>
            </w:pPr>
            <w:r>
              <w:rPr>
                <w:b/>
                <w:bCs/>
              </w:rPr>
              <w:t>Program activities</w:t>
            </w:r>
          </w:p>
          <w:p w14:paraId="1245291C" w14:textId="5AA17FB7" w:rsidR="0099734F" w:rsidRDefault="0099734F" w:rsidP="00584EC6">
            <w:pPr>
              <w:pStyle w:val="BodyText"/>
              <w:numPr>
                <w:ilvl w:val="0"/>
                <w:numId w:val="68"/>
              </w:numPr>
              <w:spacing w:before="60" w:after="60"/>
              <w:cnfStyle w:val="000000000000" w:firstRow="0" w:lastRow="0" w:firstColumn="0" w:lastColumn="0" w:oddVBand="0" w:evenVBand="0" w:oddHBand="0" w:evenHBand="0" w:firstRowFirstColumn="0" w:firstRowLastColumn="0" w:lastRowFirstColumn="0" w:lastRowLastColumn="0"/>
              <w:rPr>
                <w:b/>
                <w:bCs/>
              </w:rPr>
            </w:pPr>
            <w:r w:rsidRPr="00194457">
              <w:t xml:space="preserve">The Department affords flexibility to ACPSEM to deliver the MPS Program as they seem fit, allowing them to respond to the changing needs of the workforce. </w:t>
            </w:r>
          </w:p>
        </w:tc>
        <w:tc>
          <w:tcPr>
            <w:tcW w:w="3969" w:type="dxa"/>
            <w:tcBorders>
              <w:top w:val="nil"/>
              <w:bottom w:val="nil"/>
            </w:tcBorders>
          </w:tcPr>
          <w:p w14:paraId="00AD85CC" w14:textId="77777777" w:rsidR="0099734F" w:rsidRPr="00EE01D0" w:rsidRDefault="0099734F" w:rsidP="00194457">
            <w:pPr>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MPS Program impact</w:t>
            </w:r>
          </w:p>
          <w:p w14:paraId="0246DFA2" w14:textId="531EC113" w:rsidR="0099734F" w:rsidRPr="00B17278" w:rsidRDefault="0099734F" w:rsidP="00584EC6">
            <w:pPr>
              <w:pStyle w:val="BodyText"/>
              <w:numPr>
                <w:ilvl w:val="0"/>
                <w:numId w:val="59"/>
              </w:numPr>
              <w:spacing w:before="60" w:after="60"/>
              <w:cnfStyle w:val="000000000000" w:firstRow="0" w:lastRow="0" w:firstColumn="0" w:lastColumn="0" w:oddVBand="0" w:evenVBand="0" w:oddHBand="0" w:evenHBand="0" w:firstRowFirstColumn="0" w:firstRowLastColumn="0" w:lastRowFirstColumn="0" w:lastRowLastColumn="0"/>
            </w:pPr>
            <w:r>
              <w:t>Funded activities are not having the desired impact on intended program outcomes.</w:t>
            </w:r>
          </w:p>
        </w:tc>
        <w:tc>
          <w:tcPr>
            <w:tcW w:w="4253" w:type="dxa"/>
            <w:tcBorders>
              <w:top w:val="nil"/>
              <w:bottom w:val="nil"/>
              <w:right w:val="nil"/>
            </w:tcBorders>
          </w:tcPr>
          <w:p w14:paraId="4370F6B6" w14:textId="77777777" w:rsidR="0099734F" w:rsidRDefault="0099734F"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Review of funded activities</w:t>
            </w:r>
          </w:p>
          <w:p w14:paraId="5FB572C1" w14:textId="77777777" w:rsidR="0099734F" w:rsidRDefault="0099734F" w:rsidP="00194457">
            <w:pPr>
              <w:pStyle w:val="BodyText"/>
              <w:spacing w:before="60" w:after="60"/>
              <w:cnfStyle w:val="000000000000" w:firstRow="0" w:lastRow="0" w:firstColumn="0" w:lastColumn="0" w:oddVBand="0" w:evenVBand="0" w:oddHBand="0" w:evenHBand="0" w:firstRowFirstColumn="0" w:firstRowLastColumn="0" w:lastRowFirstColumn="0" w:lastRowLastColumn="0"/>
            </w:pPr>
            <w:r>
              <w:t xml:space="preserve">The Department should review current funded activities and how they are reported with consideration to: </w:t>
            </w:r>
          </w:p>
          <w:p w14:paraId="4F0034F9" w14:textId="77777777" w:rsidR="0099734F" w:rsidRDefault="0099734F" w:rsidP="00584EC6">
            <w:pPr>
              <w:pStyle w:val="BodyText"/>
              <w:numPr>
                <w:ilvl w:val="0"/>
                <w:numId w:val="61"/>
              </w:numPr>
              <w:spacing w:before="60" w:after="60"/>
              <w:cnfStyle w:val="000000000000" w:firstRow="0" w:lastRow="0" w:firstColumn="0" w:lastColumn="0" w:oddVBand="0" w:evenVBand="0" w:oddHBand="0" w:evenHBand="0" w:firstRowFirstColumn="0" w:firstRowLastColumn="0" w:lastRowFirstColumn="0" w:lastRowLastColumn="0"/>
            </w:pPr>
            <w:r>
              <w:t xml:space="preserve">The appropriateness of continued flexibility in funded </w:t>
            </w:r>
            <w:proofErr w:type="gramStart"/>
            <w:r>
              <w:t>activities;</w:t>
            </w:r>
            <w:proofErr w:type="gramEnd"/>
            <w:r>
              <w:t xml:space="preserve"> </w:t>
            </w:r>
          </w:p>
          <w:p w14:paraId="55FD0CA6" w14:textId="0630FFCC" w:rsidR="0099734F" w:rsidRDefault="0099734F" w:rsidP="00584EC6">
            <w:pPr>
              <w:pStyle w:val="BodyText"/>
              <w:numPr>
                <w:ilvl w:val="0"/>
                <w:numId w:val="61"/>
              </w:numPr>
              <w:spacing w:before="60" w:after="60"/>
              <w:cnfStyle w:val="000000000000" w:firstRow="0" w:lastRow="0" w:firstColumn="0" w:lastColumn="0" w:oddVBand="0" w:evenVBand="0" w:oddHBand="0" w:evenHBand="0" w:firstRowFirstColumn="0" w:firstRowLastColumn="0" w:lastRowFirstColumn="0" w:lastRowLastColumn="0"/>
            </w:pPr>
            <w:r>
              <w:t xml:space="preserve">The link between activities funded through the program and the resulting impact on </w:t>
            </w:r>
            <w:r w:rsidR="00354C54">
              <w:t>p</w:t>
            </w:r>
            <w:r>
              <w:t xml:space="preserve">rogram outcomes; and </w:t>
            </w:r>
          </w:p>
          <w:p w14:paraId="73FDEFC3" w14:textId="67DB0E20" w:rsidR="0099734F" w:rsidRPr="00DC5F7B" w:rsidRDefault="0099734F" w:rsidP="00584EC6">
            <w:pPr>
              <w:pStyle w:val="BodyText"/>
              <w:numPr>
                <w:ilvl w:val="0"/>
                <w:numId w:val="68"/>
              </w:numPr>
              <w:spacing w:before="60" w:after="60"/>
              <w:cnfStyle w:val="000000000000" w:firstRow="0" w:lastRow="0" w:firstColumn="0" w:lastColumn="0" w:oddVBand="0" w:evenVBand="0" w:oddHBand="0" w:evenHBand="0" w:firstRowFirstColumn="0" w:firstRowLastColumn="0" w:lastRowFirstColumn="0" w:lastRowLastColumn="0"/>
              <w:rPr>
                <w:b/>
                <w:bCs/>
              </w:rPr>
            </w:pPr>
            <w:r>
              <w:t xml:space="preserve">The ability to demonstrate funded activity contribution to program outcomes over the funded period. </w:t>
            </w:r>
          </w:p>
        </w:tc>
      </w:tr>
      <w:tr w:rsidR="0099734F" w14:paraId="6685B8C0" w14:textId="77777777" w:rsidTr="001F4FFF">
        <w:tc>
          <w:tcPr>
            <w:cnfStyle w:val="001000000000" w:firstRow="0" w:lastRow="0" w:firstColumn="1" w:lastColumn="0" w:oddVBand="0" w:evenVBand="0" w:oddHBand="0" w:evenHBand="0" w:firstRowFirstColumn="0" w:firstRowLastColumn="0" w:lastRowFirstColumn="0" w:lastRowLastColumn="0"/>
            <w:tcW w:w="2127" w:type="dxa"/>
            <w:vMerge/>
            <w:tcBorders>
              <w:left w:val="nil"/>
              <w:bottom w:val="single" w:sz="4" w:space="0" w:color="1E49E2" w:themeColor="accent2"/>
            </w:tcBorders>
            <w:shd w:val="clear" w:color="auto" w:fill="F1F4FE"/>
          </w:tcPr>
          <w:p w14:paraId="1AB122AC" w14:textId="3940547C" w:rsidR="0099734F" w:rsidRPr="00E944E9" w:rsidRDefault="0099734F" w:rsidP="00DC5F7B">
            <w:pPr>
              <w:pStyle w:val="BodyText"/>
            </w:pPr>
          </w:p>
        </w:tc>
        <w:tc>
          <w:tcPr>
            <w:tcW w:w="4110" w:type="dxa"/>
            <w:tcBorders>
              <w:top w:val="nil"/>
              <w:bottom w:val="single" w:sz="4" w:space="0" w:color="1E49E2" w:themeColor="accent2"/>
            </w:tcBorders>
          </w:tcPr>
          <w:p w14:paraId="330D7DA9" w14:textId="77777777" w:rsidR="0099734F" w:rsidRPr="00EE01D0" w:rsidRDefault="0099734F"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sidRPr="00EE01D0">
              <w:rPr>
                <w:b/>
                <w:bCs/>
              </w:rPr>
              <w:t xml:space="preserve">Program outcomes </w:t>
            </w:r>
          </w:p>
          <w:p w14:paraId="188BDD54" w14:textId="5BA57446" w:rsidR="0099734F" w:rsidRPr="00B17278" w:rsidRDefault="0099734F" w:rsidP="00584EC6">
            <w:pPr>
              <w:pStyle w:val="BodyText"/>
              <w:numPr>
                <w:ilvl w:val="0"/>
                <w:numId w:val="65"/>
              </w:numPr>
              <w:spacing w:before="60" w:after="60"/>
              <w:cnfStyle w:val="000000000000" w:firstRow="0" w:lastRow="0" w:firstColumn="0" w:lastColumn="0" w:oddVBand="0" w:evenVBand="0" w:oddHBand="0" w:evenHBand="0" w:firstRowFirstColumn="0" w:firstRowLastColumn="0" w:lastRowFirstColumn="0" w:lastRowLastColumn="0"/>
            </w:pPr>
            <w:r w:rsidRPr="00DF0499">
              <w:t>Evidence observed against MPS Program short- and medium-term outcomes was limited</w:t>
            </w:r>
            <w:r>
              <w:t>, h</w:t>
            </w:r>
            <w:r w:rsidRPr="00327518">
              <w:t xml:space="preserve">owever </w:t>
            </w:r>
            <w:proofErr w:type="gramStart"/>
            <w:r>
              <w:t xml:space="preserve">the </w:t>
            </w:r>
            <w:r w:rsidRPr="00327518">
              <w:t>majority of</w:t>
            </w:r>
            <w:proofErr w:type="gramEnd"/>
            <w:r w:rsidRPr="00327518">
              <w:t xml:space="preserve"> outcomes had emerging findings</w:t>
            </w:r>
            <w:r w:rsidR="00C30C25">
              <w:t>.</w:t>
            </w:r>
          </w:p>
        </w:tc>
        <w:tc>
          <w:tcPr>
            <w:tcW w:w="3969" w:type="dxa"/>
            <w:tcBorders>
              <w:top w:val="nil"/>
              <w:bottom w:val="single" w:sz="4" w:space="0" w:color="1E49E2" w:themeColor="accent2"/>
            </w:tcBorders>
          </w:tcPr>
          <w:p w14:paraId="6DA26E93" w14:textId="77777777" w:rsidR="0099734F" w:rsidRPr="000B7BDC" w:rsidRDefault="0099734F" w:rsidP="00194457">
            <w:pPr>
              <w:spacing w:before="60" w:after="60"/>
              <w:cnfStyle w:val="000000000000" w:firstRow="0" w:lastRow="0" w:firstColumn="0" w:lastColumn="0" w:oddVBand="0" w:evenVBand="0" w:oddHBand="0" w:evenHBand="0" w:firstRowFirstColumn="0" w:firstRowLastColumn="0" w:lastRowFirstColumn="0" w:lastRowLastColumn="0"/>
              <w:rPr>
                <w:rFonts w:cs="Arial"/>
                <w:b/>
              </w:rPr>
            </w:pPr>
            <w:r w:rsidRPr="000B7BDC">
              <w:rPr>
                <w:rFonts w:cs="Arial"/>
                <w:b/>
              </w:rPr>
              <w:t>MPS Program impact</w:t>
            </w:r>
          </w:p>
          <w:p w14:paraId="48B6A5E0" w14:textId="0B78E9FA" w:rsidR="0099734F" w:rsidRDefault="0099734F" w:rsidP="00584EC6">
            <w:pPr>
              <w:pStyle w:val="BodyText"/>
              <w:numPr>
                <w:ilvl w:val="0"/>
                <w:numId w:val="68"/>
              </w:numPr>
              <w:spacing w:before="60" w:after="60"/>
              <w:cnfStyle w:val="000000000000" w:firstRow="0" w:lastRow="0" w:firstColumn="0" w:lastColumn="0" w:oddVBand="0" w:evenVBand="0" w:oddHBand="0" w:evenHBand="0" w:firstRowFirstColumn="0" w:firstRowLastColumn="0" w:lastRowFirstColumn="0" w:lastRowLastColumn="0"/>
              <w:rPr>
                <w:b/>
                <w:bCs/>
              </w:rPr>
            </w:pPr>
            <w:r w:rsidRPr="000C4550">
              <w:t xml:space="preserve">The ability to demonstrate the impact and value </w:t>
            </w:r>
            <w:r>
              <w:t>for</w:t>
            </w:r>
            <w:r w:rsidRPr="000C4550">
              <w:t xml:space="preserve"> money of the MPS Program to decision makers is limited.</w:t>
            </w:r>
          </w:p>
        </w:tc>
        <w:tc>
          <w:tcPr>
            <w:tcW w:w="4253" w:type="dxa"/>
            <w:tcBorders>
              <w:top w:val="nil"/>
              <w:bottom w:val="single" w:sz="4" w:space="0" w:color="1E49E2" w:themeColor="accent2"/>
              <w:right w:val="nil"/>
            </w:tcBorders>
          </w:tcPr>
          <w:p w14:paraId="38B4D6F1" w14:textId="77777777" w:rsidR="0099734F" w:rsidRPr="00EE01D0" w:rsidRDefault="0099734F" w:rsidP="00194457">
            <w:pPr>
              <w:pStyle w:val="BodyText"/>
              <w:spacing w:before="60" w:after="60"/>
              <w:cnfStyle w:val="000000000000" w:firstRow="0" w:lastRow="0" w:firstColumn="0" w:lastColumn="0" w:oddVBand="0" w:evenVBand="0" w:oddHBand="0" w:evenHBand="0" w:firstRowFirstColumn="0" w:firstRowLastColumn="0" w:lastRowFirstColumn="0" w:lastRowLastColumn="0"/>
              <w:rPr>
                <w:b/>
                <w:bCs/>
              </w:rPr>
            </w:pPr>
            <w:r>
              <w:rPr>
                <w:b/>
                <w:bCs/>
              </w:rPr>
              <w:t xml:space="preserve">Ongoing monitoring and evaluation </w:t>
            </w:r>
            <w:r w:rsidRPr="00EE01D0">
              <w:rPr>
                <w:b/>
                <w:bCs/>
              </w:rPr>
              <w:t xml:space="preserve">of </w:t>
            </w:r>
            <w:r>
              <w:rPr>
                <w:b/>
                <w:bCs/>
              </w:rPr>
              <w:t>P</w:t>
            </w:r>
            <w:r w:rsidRPr="00EE01D0">
              <w:rPr>
                <w:b/>
                <w:bCs/>
              </w:rPr>
              <w:t xml:space="preserve">rogram </w:t>
            </w:r>
            <w:r>
              <w:rPr>
                <w:b/>
                <w:bCs/>
              </w:rPr>
              <w:t>L</w:t>
            </w:r>
            <w:r w:rsidRPr="00EE01D0">
              <w:rPr>
                <w:b/>
                <w:bCs/>
              </w:rPr>
              <w:t>ogic</w:t>
            </w:r>
          </w:p>
          <w:p w14:paraId="0CA69B18" w14:textId="2BFD049C" w:rsidR="0099734F" w:rsidRDefault="0099734F" w:rsidP="00194457">
            <w:pPr>
              <w:pStyle w:val="BodyText"/>
              <w:spacing w:before="60" w:after="60"/>
              <w:cnfStyle w:val="000000000000" w:firstRow="0" w:lastRow="0" w:firstColumn="0" w:lastColumn="0" w:oddVBand="0" w:evenVBand="0" w:oddHBand="0" w:evenHBand="0" w:firstRowFirstColumn="0" w:firstRowLastColumn="0" w:lastRowFirstColumn="0" w:lastRowLastColumn="0"/>
            </w:pPr>
            <w:r>
              <w:t>The Department should undertake ongoing monitoring and evaluation activities of the Program</w:t>
            </w:r>
            <w:r w:rsidR="00F06154">
              <w:t>.</w:t>
            </w:r>
            <w:r>
              <w:t xml:space="preserve"> Monitoring and evaluation activities should consider: </w:t>
            </w:r>
          </w:p>
          <w:p w14:paraId="6E989C64" w14:textId="24A69E41" w:rsidR="0099734F" w:rsidRDefault="0099734F" w:rsidP="00584EC6">
            <w:pPr>
              <w:pStyle w:val="BodyText"/>
              <w:numPr>
                <w:ilvl w:val="0"/>
                <w:numId w:val="64"/>
              </w:numPr>
              <w:spacing w:before="60" w:after="60"/>
              <w:cnfStyle w:val="000000000000" w:firstRow="0" w:lastRow="0" w:firstColumn="0" w:lastColumn="0" w:oddVBand="0" w:evenVBand="0" w:oddHBand="0" w:evenHBand="0" w:firstRowFirstColumn="0" w:firstRowLastColumn="0" w:lastRowFirstColumn="0" w:lastRowLastColumn="0"/>
            </w:pPr>
            <w:r>
              <w:t>Updat</w:t>
            </w:r>
            <w:r w:rsidR="00C62A20">
              <w:t>es to</w:t>
            </w:r>
            <w:r>
              <w:t xml:space="preserve"> the Program Logic in line with the above recommendations </w:t>
            </w:r>
            <w:proofErr w:type="gramStart"/>
            <w:r>
              <w:t>made;</w:t>
            </w:r>
            <w:proofErr w:type="gramEnd"/>
            <w:r>
              <w:t xml:space="preserve"> </w:t>
            </w:r>
          </w:p>
          <w:p w14:paraId="6FB49CC4" w14:textId="74978674" w:rsidR="0099734F" w:rsidRDefault="0092422F" w:rsidP="00584EC6">
            <w:pPr>
              <w:pStyle w:val="BodyText"/>
              <w:numPr>
                <w:ilvl w:val="0"/>
                <w:numId w:val="64"/>
              </w:numPr>
              <w:spacing w:before="60" w:after="60"/>
              <w:cnfStyle w:val="000000000000" w:firstRow="0" w:lastRow="0" w:firstColumn="0" w:lastColumn="0" w:oddVBand="0" w:evenVBand="0" w:oddHBand="0" w:evenHBand="0" w:firstRowFirstColumn="0" w:firstRowLastColumn="0" w:lastRowFirstColumn="0" w:lastRowLastColumn="0"/>
            </w:pPr>
            <w:r>
              <w:t>F</w:t>
            </w:r>
            <w:r w:rsidR="0099734F">
              <w:t>uture funding model</w:t>
            </w:r>
            <w:r>
              <w:t>s</w:t>
            </w:r>
            <w:r w:rsidR="0099734F">
              <w:t xml:space="preserve"> and</w:t>
            </w:r>
            <w:r>
              <w:t xml:space="preserve"> reviews of</w:t>
            </w:r>
            <w:r w:rsidR="0099734F">
              <w:t xml:space="preserve"> funded </w:t>
            </w:r>
            <w:proofErr w:type="gramStart"/>
            <w:r w:rsidR="0099734F">
              <w:t>activities</w:t>
            </w:r>
            <w:r>
              <w:t>;</w:t>
            </w:r>
            <w:proofErr w:type="gramEnd"/>
          </w:p>
          <w:p w14:paraId="7EEEEF87" w14:textId="77777777" w:rsidR="0099734F" w:rsidRDefault="0099734F" w:rsidP="00584EC6">
            <w:pPr>
              <w:pStyle w:val="BodyText"/>
              <w:numPr>
                <w:ilvl w:val="0"/>
                <w:numId w:val="64"/>
              </w:numPr>
              <w:spacing w:before="60" w:after="60"/>
              <w:cnfStyle w:val="000000000000" w:firstRow="0" w:lastRow="0" w:firstColumn="0" w:lastColumn="0" w:oddVBand="0" w:evenVBand="0" w:oddHBand="0" w:evenHBand="0" w:firstRowFirstColumn="0" w:firstRowLastColumn="0" w:lastRowFirstColumn="0" w:lastRowLastColumn="0"/>
            </w:pPr>
            <w:r>
              <w:t xml:space="preserve">Targeted reviews of specific activities, such as the </w:t>
            </w:r>
            <w:proofErr w:type="gramStart"/>
            <w:r>
              <w:t>RIFP;</w:t>
            </w:r>
            <w:proofErr w:type="gramEnd"/>
            <w:r>
              <w:t xml:space="preserve"> </w:t>
            </w:r>
          </w:p>
          <w:p w14:paraId="47394A26" w14:textId="6CFBF302" w:rsidR="0099734F" w:rsidRDefault="0099734F" w:rsidP="00584EC6">
            <w:pPr>
              <w:pStyle w:val="BodyText"/>
              <w:numPr>
                <w:ilvl w:val="0"/>
                <w:numId w:val="64"/>
              </w:numPr>
              <w:spacing w:before="60" w:after="60"/>
              <w:cnfStyle w:val="000000000000" w:firstRow="0" w:lastRow="0" w:firstColumn="0" w:lastColumn="0" w:oddVBand="0" w:evenVBand="0" w:oddHBand="0" w:evenHBand="0" w:firstRowFirstColumn="0" w:firstRowLastColumn="0" w:lastRowFirstColumn="0" w:lastRowLastColumn="0"/>
            </w:pPr>
            <w:r>
              <w:t xml:space="preserve">The identification of critical outcome pathways for future focus of monitoring and evaluation efforts; and </w:t>
            </w:r>
          </w:p>
          <w:p w14:paraId="22064B5B" w14:textId="7BDE72F6" w:rsidR="0099734F" w:rsidRDefault="0099734F" w:rsidP="00584EC6">
            <w:pPr>
              <w:pStyle w:val="BodyText"/>
              <w:numPr>
                <w:ilvl w:val="0"/>
                <w:numId w:val="68"/>
              </w:numPr>
              <w:spacing w:before="60" w:after="60"/>
              <w:cnfStyle w:val="000000000000" w:firstRow="0" w:lastRow="0" w:firstColumn="0" w:lastColumn="0" w:oddVBand="0" w:evenVBand="0" w:oddHBand="0" w:evenHBand="0" w:firstRowFirstColumn="0" w:firstRowLastColumn="0" w:lastRowFirstColumn="0" w:lastRowLastColumn="0"/>
              <w:rPr>
                <w:b/>
                <w:bCs/>
              </w:rPr>
            </w:pPr>
            <w:r>
              <w:t>Collaboration from ACPSEM and other key stakeholders to ensure a shared understanding of the workforce needs and intended program outcomes.</w:t>
            </w:r>
          </w:p>
        </w:tc>
      </w:tr>
    </w:tbl>
    <w:p w14:paraId="59198217" w14:textId="77777777" w:rsidR="002314D7" w:rsidRPr="00B17278" w:rsidRDefault="002314D7" w:rsidP="00B17278">
      <w:pPr>
        <w:pStyle w:val="Footer"/>
      </w:pPr>
      <w:r w:rsidRPr="00B17278">
        <w:t>Source: KPMG, 2024.</w:t>
      </w:r>
    </w:p>
    <w:p w14:paraId="5734D86D" w14:textId="77777777" w:rsidR="00882819" w:rsidRDefault="00882819" w:rsidP="00DC27F5">
      <w:pPr>
        <w:pStyle w:val="BodyText"/>
      </w:pPr>
    </w:p>
    <w:p w14:paraId="38375F70" w14:textId="77777777" w:rsidR="00D9236F" w:rsidRPr="001240E9" w:rsidRDefault="00D9236F" w:rsidP="00273E1A">
      <w:pPr>
        <w:pStyle w:val="Heading2"/>
        <w:sectPr w:rsidR="00D9236F" w:rsidRPr="001240E9" w:rsidSect="00DC5F7B">
          <w:headerReference w:type="default" r:id="rId19"/>
          <w:pgSz w:w="16838" w:h="11906" w:orient="landscape"/>
          <w:pgMar w:top="1134" w:right="1134" w:bottom="1134" w:left="1134" w:header="709" w:footer="709" w:gutter="0"/>
          <w:pgNumType w:fmt="lowerRoman"/>
          <w:cols w:space="708"/>
          <w:docGrid w:linePitch="360"/>
        </w:sectPr>
      </w:pPr>
    </w:p>
    <w:p w14:paraId="615681D4" w14:textId="031D3D82" w:rsidR="00E33116" w:rsidRPr="00FB3B57" w:rsidRDefault="00B17278" w:rsidP="00B17278">
      <w:pPr>
        <w:pStyle w:val="Dividerheading"/>
        <w:sectPr w:rsidR="00E33116" w:rsidRPr="00FB3B57" w:rsidSect="00BD1E48">
          <w:headerReference w:type="default" r:id="rId20"/>
          <w:footerReference w:type="default" r:id="rId21"/>
          <w:pgSz w:w="11906" w:h="16838"/>
          <w:pgMar w:top="3402" w:right="4536" w:bottom="1418" w:left="1418" w:header="709" w:footer="709" w:gutter="0"/>
          <w:cols w:space="708"/>
          <w:docGrid w:linePitch="360"/>
        </w:sectPr>
      </w:pPr>
      <w:r>
        <w:t xml:space="preserve">01 </w:t>
      </w:r>
      <w:r w:rsidR="00551179" w:rsidRPr="00FB3B57">
        <w:t>Introduction and context</w:t>
      </w:r>
    </w:p>
    <w:p w14:paraId="67E7FCA3" w14:textId="379852F2" w:rsidR="00520C56" w:rsidRDefault="00585171" w:rsidP="00DE4955">
      <w:pPr>
        <w:pStyle w:val="Heading1"/>
      </w:pPr>
      <w:bookmarkStart w:id="17" w:name="_Toc184396559"/>
      <w:bookmarkStart w:id="18" w:name="_Toc216711561"/>
      <w:bookmarkStart w:id="19" w:name="_Toc216791987"/>
      <w:r w:rsidRPr="00DE4955">
        <w:t>Evaluating</w:t>
      </w:r>
      <w:r>
        <w:t xml:space="preserve"> the MPS</w:t>
      </w:r>
      <w:r w:rsidR="00A710C5">
        <w:t xml:space="preserve"> Program</w:t>
      </w:r>
      <w:bookmarkEnd w:id="17"/>
      <w:bookmarkEnd w:id="18"/>
      <w:bookmarkEnd w:id="19"/>
    </w:p>
    <w:p w14:paraId="61AA21A1" w14:textId="3D6F9C38" w:rsidR="009C519D" w:rsidRDefault="003211CA" w:rsidP="00273E1A">
      <w:pPr>
        <w:pStyle w:val="Heading2"/>
      </w:pPr>
      <w:bookmarkStart w:id="20" w:name="_Toc178240782"/>
      <w:bookmarkStart w:id="21" w:name="_Toc184396560"/>
      <w:bookmarkStart w:id="22" w:name="_Toc216711562"/>
      <w:bookmarkStart w:id="23" w:name="_Toc216791988"/>
      <w:r>
        <w:t>Eval</w:t>
      </w:r>
      <w:r w:rsidR="008352CF">
        <w:t xml:space="preserve">uation </w:t>
      </w:r>
      <w:bookmarkEnd w:id="20"/>
      <w:r w:rsidR="00717462">
        <w:t>objectives and scope</w:t>
      </w:r>
      <w:bookmarkEnd w:id="21"/>
      <w:bookmarkEnd w:id="22"/>
      <w:bookmarkEnd w:id="23"/>
    </w:p>
    <w:p w14:paraId="39A60A5B" w14:textId="3464CAAC" w:rsidR="00181128" w:rsidRDefault="007F78E9" w:rsidP="00AD5D30">
      <w:pPr>
        <w:pStyle w:val="BodyText"/>
      </w:pPr>
      <w:r>
        <w:t xml:space="preserve">The </w:t>
      </w:r>
      <w:r w:rsidR="00796139">
        <w:t>MPS Program</w:t>
      </w:r>
      <w:r w:rsidR="00D13BB6">
        <w:t xml:space="preserve"> is funded by the </w:t>
      </w:r>
      <w:r w:rsidR="006D5A2E">
        <w:t>Department</w:t>
      </w:r>
      <w:r w:rsidR="00D13BB6">
        <w:t xml:space="preserve"> to support the training, certification, </w:t>
      </w:r>
      <w:r w:rsidR="001A11D8">
        <w:t xml:space="preserve">education </w:t>
      </w:r>
      <w:r w:rsidR="00D13BB6">
        <w:t xml:space="preserve">and assessment of </w:t>
      </w:r>
      <w:r w:rsidR="00D13BB6" w:rsidRPr="00C75894">
        <w:t>medical physicists</w:t>
      </w:r>
      <w:r w:rsidR="00D13BB6">
        <w:t xml:space="preserve">, provide funding to training facilities, and support the optimal distribution of the </w:t>
      </w:r>
      <w:r w:rsidR="00D13BB6" w:rsidRPr="00C75894">
        <w:t xml:space="preserve">medical </w:t>
      </w:r>
      <w:r w:rsidR="00D13BB6">
        <w:t>physics workforce in Australia</w:t>
      </w:r>
      <w:r w:rsidR="00181128">
        <w:t>.</w:t>
      </w:r>
      <w:r w:rsidR="009B704E">
        <w:t xml:space="preserve"> </w:t>
      </w:r>
      <w:r w:rsidR="00181128" w:rsidRPr="00272246">
        <w:t xml:space="preserve">ACPSEM </w:t>
      </w:r>
      <w:r w:rsidR="00181128">
        <w:t xml:space="preserve">is responsible for </w:t>
      </w:r>
      <w:r w:rsidR="00181128" w:rsidRPr="00272246">
        <w:t>administer</w:t>
      </w:r>
      <w:r w:rsidR="00181128">
        <w:t>ing all</w:t>
      </w:r>
      <w:r w:rsidR="00181128" w:rsidRPr="00272246">
        <w:t xml:space="preserve"> program activity</w:t>
      </w:r>
      <w:r w:rsidR="00181128">
        <w:t>.</w:t>
      </w:r>
    </w:p>
    <w:p w14:paraId="34ED29F7" w14:textId="0CF5EF3D" w:rsidR="00AD5D30" w:rsidRPr="00C75894" w:rsidRDefault="00C36861" w:rsidP="00AD5D30">
      <w:pPr>
        <w:pStyle w:val="BodyText"/>
      </w:pPr>
      <w:r>
        <w:t xml:space="preserve">The Department </w:t>
      </w:r>
      <w:r w:rsidR="006F104E">
        <w:t>commissioned KPM</w:t>
      </w:r>
      <w:r w:rsidR="00CA3BAF">
        <w:t xml:space="preserve">G to </w:t>
      </w:r>
      <w:r w:rsidR="001547C7">
        <w:t>evaluate</w:t>
      </w:r>
      <w:r w:rsidR="00816D3E">
        <w:t xml:space="preserve"> the MPS Program to:</w:t>
      </w:r>
      <w:r w:rsidR="00EC5412">
        <w:t xml:space="preserve"> </w:t>
      </w:r>
      <w:r w:rsidR="00AD5D30" w:rsidRPr="00C75894">
        <w:t xml:space="preserve"> </w:t>
      </w:r>
    </w:p>
    <w:p w14:paraId="096FB0D1" w14:textId="3FC1AABE" w:rsidR="00AD5D30" w:rsidRPr="00C75894" w:rsidRDefault="00AD5D30" w:rsidP="00584EC6">
      <w:pPr>
        <w:pStyle w:val="BodyText"/>
        <w:numPr>
          <w:ilvl w:val="0"/>
          <w:numId w:val="56"/>
        </w:numPr>
      </w:pPr>
      <w:r w:rsidRPr="00C75894">
        <w:t xml:space="preserve">Determine the extent to which the </w:t>
      </w:r>
      <w:r w:rsidR="00C40D22">
        <w:t>MPS Program</w:t>
      </w:r>
      <w:r w:rsidRPr="00C75894">
        <w:t xml:space="preserve"> contributes to achieving its intended objectives and </w:t>
      </w:r>
      <w:proofErr w:type="gramStart"/>
      <w:r w:rsidRPr="00C75894">
        <w:t>outcomes;</w:t>
      </w:r>
      <w:proofErr w:type="gramEnd"/>
      <w:r w:rsidRPr="00C75894">
        <w:t xml:space="preserve"> </w:t>
      </w:r>
    </w:p>
    <w:p w14:paraId="1CDEEB5D" w14:textId="1532C4A3" w:rsidR="00AD5D30" w:rsidRPr="00C75894" w:rsidRDefault="00AD5D30" w:rsidP="00584EC6">
      <w:pPr>
        <w:pStyle w:val="BodyText"/>
        <w:numPr>
          <w:ilvl w:val="0"/>
          <w:numId w:val="56"/>
        </w:numPr>
      </w:pPr>
      <w:r w:rsidRPr="00C75894">
        <w:t xml:space="preserve">Identify whether the current funding mechanisms are fit for purpose and provide evidence to support those </w:t>
      </w:r>
      <w:proofErr w:type="gramStart"/>
      <w:r w:rsidRPr="00C75894">
        <w:t>conclusions</w:t>
      </w:r>
      <w:r w:rsidR="00254C95">
        <w:t>;</w:t>
      </w:r>
      <w:proofErr w:type="gramEnd"/>
      <w:r w:rsidRPr="00C75894">
        <w:t xml:space="preserve"> </w:t>
      </w:r>
    </w:p>
    <w:p w14:paraId="76A70149" w14:textId="7989E015" w:rsidR="00D958C6" w:rsidRPr="00D958C6" w:rsidRDefault="00A2616A" w:rsidP="00584EC6">
      <w:pPr>
        <w:pStyle w:val="BodyText"/>
        <w:numPr>
          <w:ilvl w:val="0"/>
          <w:numId w:val="56"/>
        </w:numPr>
      </w:pPr>
      <w:r>
        <w:t>A</w:t>
      </w:r>
      <w:r w:rsidR="009F256E">
        <w:t>ssess</w:t>
      </w:r>
      <w:r w:rsidR="00A15D45">
        <w:t xml:space="preserve"> the </w:t>
      </w:r>
      <w:r w:rsidR="00B757CB">
        <w:t>implementation, appropriateness, efficiency, sustainability</w:t>
      </w:r>
      <w:r w:rsidR="00C40D22">
        <w:t>,</w:t>
      </w:r>
      <w:r w:rsidR="00B757CB">
        <w:t xml:space="preserve"> and effectiveness </w:t>
      </w:r>
      <w:r w:rsidR="00A03975">
        <w:t>of the MPS</w:t>
      </w:r>
      <w:r w:rsidR="000D5061">
        <w:t xml:space="preserve"> Program</w:t>
      </w:r>
      <w:r w:rsidR="00C40D22">
        <w:t>; and</w:t>
      </w:r>
    </w:p>
    <w:p w14:paraId="26B6DE84" w14:textId="3166CEC0" w:rsidR="00F50C80" w:rsidRPr="003325F4" w:rsidRDefault="00F50C80" w:rsidP="00584EC6">
      <w:pPr>
        <w:pStyle w:val="BodyText"/>
        <w:numPr>
          <w:ilvl w:val="0"/>
          <w:numId w:val="56"/>
        </w:numPr>
      </w:pPr>
      <w:r w:rsidRPr="003325F4">
        <w:t xml:space="preserve">Identify where there are gaps and opportunities for improvements. </w:t>
      </w:r>
    </w:p>
    <w:p w14:paraId="1853CE18" w14:textId="74186C60" w:rsidR="009224EA" w:rsidRPr="00AE349D" w:rsidRDefault="009224EA" w:rsidP="00AE349D">
      <w:pPr>
        <w:pStyle w:val="Heading3"/>
      </w:pPr>
      <w:bookmarkStart w:id="24" w:name="_Toc216711563"/>
      <w:r w:rsidRPr="00AE349D">
        <w:t>Evaluation purpose</w:t>
      </w:r>
      <w:bookmarkEnd w:id="24"/>
    </w:p>
    <w:p w14:paraId="71A47645" w14:textId="0953C119" w:rsidR="006E5CD1" w:rsidRPr="004D13B6" w:rsidRDefault="006E5CD1" w:rsidP="0067223E">
      <w:pPr>
        <w:pStyle w:val="BodyText"/>
      </w:pPr>
      <w:r>
        <w:t xml:space="preserve">The Australian Government has provided funding to the </w:t>
      </w:r>
      <w:r w:rsidR="005E644F">
        <w:t>m</w:t>
      </w:r>
      <w:r>
        <w:t xml:space="preserve">edical </w:t>
      </w:r>
      <w:r w:rsidR="005E644F">
        <w:t>p</w:t>
      </w:r>
      <w:r>
        <w:t xml:space="preserve">hysicist workforce since 2004, with the MPS Program commencing in 2018. While the program has been reviewed and evaluated internally by ACPSEM (see Section </w:t>
      </w:r>
      <w:r>
        <w:fldChar w:fldCharType="begin" w:fldLock="1"/>
      </w:r>
      <w:r>
        <w:instrText xml:space="preserve"> REF _Ref184290506 \r \h </w:instrText>
      </w:r>
      <w:r>
        <w:fldChar w:fldCharType="separate"/>
      </w:r>
      <w:r>
        <w:t>1.1.1</w:t>
      </w:r>
      <w:r>
        <w:fldChar w:fldCharType="end"/>
      </w:r>
      <w:r>
        <w:t xml:space="preserve">), </w:t>
      </w:r>
      <w:r w:rsidRPr="00194457">
        <w:t>this is the first independent evaluation of the MPS Program.</w:t>
      </w:r>
      <w:r w:rsidRPr="004D13B6">
        <w:t xml:space="preserve"> Evaluation findings will support the Department on the future direction of the Program and future policy decisions. The intended use of the evaluation is at the discretion of the Department.</w:t>
      </w:r>
    </w:p>
    <w:p w14:paraId="2E2D4474" w14:textId="5A3C8B57" w:rsidR="009224EA" w:rsidRPr="00AE349D" w:rsidRDefault="009224EA" w:rsidP="00AE349D">
      <w:pPr>
        <w:pStyle w:val="Heading3"/>
      </w:pPr>
      <w:bookmarkStart w:id="25" w:name="_Toc216711564"/>
      <w:r w:rsidRPr="00AE349D">
        <w:t>Evaluation Scope</w:t>
      </w:r>
      <w:bookmarkEnd w:id="25"/>
    </w:p>
    <w:p w14:paraId="0EF9E71B" w14:textId="163C4A63" w:rsidR="00423B1A" w:rsidRDefault="00003124" w:rsidP="0067223E">
      <w:pPr>
        <w:pStyle w:val="BodyText"/>
      </w:pPr>
      <w:r w:rsidRPr="00C75894">
        <w:t xml:space="preserve">While the MPS Program is funded as part of the </w:t>
      </w:r>
      <w:r>
        <w:t>STP</w:t>
      </w:r>
      <w:r w:rsidRPr="00C75894">
        <w:t xml:space="preserve">, this evaluation focuses specifically on the </w:t>
      </w:r>
      <w:r>
        <w:t xml:space="preserve">activities </w:t>
      </w:r>
      <w:r w:rsidRPr="00C75894">
        <w:t>covered by the contract executed between the Commonwealth Government and ACPSEM from 2018 onwards</w:t>
      </w:r>
      <w:r w:rsidR="009F0FFD">
        <w:t xml:space="preserve">. </w:t>
      </w:r>
      <w:r w:rsidR="009F0FFD" w:rsidRPr="00C75894">
        <w:t xml:space="preserve">Assessment of activities funded by States and Territories, outside of </w:t>
      </w:r>
      <w:r w:rsidR="009F0FFD">
        <w:t xml:space="preserve">the Grant </w:t>
      </w:r>
      <w:r w:rsidR="009F0FFD" w:rsidRPr="00C75894">
        <w:t>Agreement, are not included within the scope of this evaluation</w:t>
      </w:r>
      <w:r w:rsidR="00087A85" w:rsidRPr="004D13B6">
        <w:t>.</w:t>
      </w:r>
    </w:p>
    <w:p w14:paraId="0A33E292" w14:textId="1F3F569B" w:rsidR="00423B1A" w:rsidRPr="003325F4" w:rsidRDefault="00095EC0" w:rsidP="0067223E">
      <w:pPr>
        <w:pStyle w:val="BodyText"/>
      </w:pPr>
      <w:r>
        <w:t xml:space="preserve">The full set of </w:t>
      </w:r>
      <w:r w:rsidR="00367FA1">
        <w:t>KEQs developed in conjunction with the Department</w:t>
      </w:r>
      <w:r>
        <w:t xml:space="preserve"> are set out in Append</w:t>
      </w:r>
      <w:r w:rsidR="00946688">
        <w:t>ix B</w:t>
      </w:r>
      <w:r w:rsidR="00B672E3">
        <w:t>. Additional background and context for the MPS Program follows in Section 2.</w:t>
      </w:r>
    </w:p>
    <w:p w14:paraId="0E4AF891" w14:textId="77777777" w:rsidR="00F15FF3" w:rsidRPr="00AE349D" w:rsidRDefault="00F15FF3" w:rsidP="00AE349D">
      <w:pPr>
        <w:pStyle w:val="Heading3"/>
      </w:pPr>
      <w:bookmarkStart w:id="26" w:name="_Ref184290506"/>
      <w:bookmarkStart w:id="27" w:name="_Toc216711565"/>
      <w:bookmarkStart w:id="28" w:name="_Toc178240783"/>
      <w:r w:rsidRPr="00AE349D">
        <w:t>Previous reviews and evaluations</w:t>
      </w:r>
      <w:bookmarkEnd w:id="26"/>
      <w:bookmarkEnd w:id="27"/>
    </w:p>
    <w:p w14:paraId="6D2E88C6" w14:textId="422D2C6A" w:rsidR="00F15FF3" w:rsidRPr="00C75894" w:rsidRDefault="00F15FF3" w:rsidP="00F15FF3">
      <w:pPr>
        <w:pStyle w:val="BodyText"/>
      </w:pPr>
      <w:r>
        <w:t>T</w:t>
      </w:r>
      <w:r w:rsidRPr="00C75894">
        <w:t>he MPS Program</w:t>
      </w:r>
      <w:r w:rsidR="00B02D73">
        <w:t xml:space="preserve">, </w:t>
      </w:r>
      <w:r w:rsidRPr="00C75894">
        <w:t>and its former iterations of Radiation Oncology Patient Access Workforce and Medical Physicists Trainee programs</w:t>
      </w:r>
      <w:r w:rsidR="00B02D73">
        <w:t>,</w:t>
      </w:r>
      <w:r w:rsidRPr="00C75894">
        <w:t xml:space="preserve"> ha</w:t>
      </w:r>
      <w:r w:rsidR="00C170C5">
        <w:t>ve</w:t>
      </w:r>
      <w:r w:rsidRPr="00C75894">
        <w:t xml:space="preserve"> undergone previous reviews and evaluations funded or undertaken by ACPSEM. This includes: </w:t>
      </w:r>
    </w:p>
    <w:p w14:paraId="2D41F351" w14:textId="77777777" w:rsidR="00F15FF3" w:rsidRPr="00273E1A" w:rsidRDefault="00F15FF3" w:rsidP="00273E1A">
      <w:pPr>
        <w:pStyle w:val="ListBullet"/>
      </w:pPr>
      <w:r>
        <w:t>Review of the RPS TEAP (2</w:t>
      </w:r>
      <w:r w:rsidRPr="00273E1A">
        <w:t>019</w:t>
      </w:r>
      <w:proofErr w:type="gramStart"/>
      <w:r w:rsidRPr="00273E1A">
        <w:t>);</w:t>
      </w:r>
      <w:proofErr w:type="gramEnd"/>
    </w:p>
    <w:p w14:paraId="562026BE" w14:textId="77777777" w:rsidR="00F15FF3" w:rsidRPr="00273E1A" w:rsidRDefault="00F15FF3" w:rsidP="00273E1A">
      <w:pPr>
        <w:pStyle w:val="ListBullet"/>
      </w:pPr>
      <w:r w:rsidRPr="00273E1A">
        <w:t>Reviews of the DIMP and ROMP Clinical Training Guides (2020</w:t>
      </w:r>
      <w:proofErr w:type="gramStart"/>
      <w:r w:rsidRPr="00273E1A">
        <w:t>);</w:t>
      </w:r>
      <w:proofErr w:type="gramEnd"/>
    </w:p>
    <w:p w14:paraId="2A7B2955" w14:textId="77777777" w:rsidR="00F15FF3" w:rsidRPr="00273E1A" w:rsidRDefault="00F15FF3" w:rsidP="00273E1A">
      <w:pPr>
        <w:pStyle w:val="ListBullet"/>
      </w:pPr>
      <w:r w:rsidRPr="00273E1A">
        <w:t xml:space="preserve">Evaluation and significant revision of the Radiation Oncology Medical Physicist (ROMP) Training, Education and Assessment Program (TEAP) (2021); and </w:t>
      </w:r>
    </w:p>
    <w:p w14:paraId="51ED6158" w14:textId="798A5A95" w:rsidR="00F15FF3" w:rsidRDefault="00F15FF3" w:rsidP="00273E1A">
      <w:pPr>
        <w:pStyle w:val="ListBullet"/>
      </w:pPr>
      <w:r w:rsidRPr="00273E1A">
        <w:t>Evaluat</w:t>
      </w:r>
      <w:r w:rsidR="00764E45" w:rsidRPr="00273E1A">
        <w:t>ion of</w:t>
      </w:r>
      <w:r w:rsidRPr="00273E1A">
        <w:t xml:space="preserve"> TEAP reforms an</w:t>
      </w:r>
      <w:r w:rsidRPr="00C75894">
        <w:t>d management (2022-</w:t>
      </w:r>
      <w:r w:rsidR="00B02D73">
        <w:t>2</w:t>
      </w:r>
      <w:r w:rsidRPr="00C75894">
        <w:t>3)</w:t>
      </w:r>
      <w:r>
        <w:t>.</w:t>
      </w:r>
    </w:p>
    <w:p w14:paraId="6D266073" w14:textId="77777777" w:rsidR="00B02D73" w:rsidRDefault="00F15FF3" w:rsidP="00F15FF3">
      <w:pPr>
        <w:pStyle w:val="BodyText"/>
      </w:pPr>
      <w:r>
        <w:t xml:space="preserve">Additionally, the NSW Health Education and Training Institute (HETI) conducted an evaluation of the HETI DIMP training program in 2023. </w:t>
      </w:r>
    </w:p>
    <w:p w14:paraId="196BF962" w14:textId="41CC083B" w:rsidR="00EF48F5" w:rsidRDefault="00F15FF3" w:rsidP="00B02D73">
      <w:pPr>
        <w:pStyle w:val="BodyText"/>
        <w:rPr>
          <w:rFonts w:ascii="KPMG Bold" w:eastAsiaTheme="majorEastAsia" w:hAnsi="KPMG Bold" w:cstheme="majorBidi"/>
          <w:color w:val="1E49E2" w:themeColor="accent2"/>
          <w:sz w:val="40"/>
          <w:szCs w:val="26"/>
        </w:rPr>
      </w:pPr>
      <w:r>
        <w:t xml:space="preserve">These reviews and evaluations were considered as part of the document review phase of this evaluation and </w:t>
      </w:r>
      <w:r w:rsidR="00764E45">
        <w:t>discussed</w:t>
      </w:r>
      <w:r>
        <w:t xml:space="preserve"> in stakeholder consultations where appropriate. </w:t>
      </w:r>
    </w:p>
    <w:p w14:paraId="6B5A649D" w14:textId="1D301697" w:rsidR="00747C85" w:rsidRPr="008A05D2" w:rsidRDefault="00BF326C" w:rsidP="00273E1A">
      <w:pPr>
        <w:pStyle w:val="Heading2"/>
      </w:pPr>
      <w:bookmarkStart w:id="29" w:name="_Ref184119221"/>
      <w:bookmarkStart w:id="30" w:name="_Toc184396561"/>
      <w:bookmarkStart w:id="31" w:name="_Toc216711566"/>
      <w:bookmarkStart w:id="32" w:name="_Toc216791989"/>
      <w:r>
        <w:t>Data collection and analytical framework</w:t>
      </w:r>
      <w:bookmarkEnd w:id="29"/>
      <w:bookmarkEnd w:id="30"/>
      <w:bookmarkEnd w:id="31"/>
      <w:bookmarkEnd w:id="32"/>
    </w:p>
    <w:bookmarkEnd w:id="28"/>
    <w:p w14:paraId="008DD818" w14:textId="10B46956" w:rsidR="00A1218A" w:rsidRPr="00A1218A" w:rsidRDefault="00EC3DE4" w:rsidP="00242835">
      <w:pPr>
        <w:rPr>
          <w:szCs w:val="20"/>
        </w:rPr>
      </w:pPr>
      <w:r w:rsidRPr="00A1218A">
        <w:rPr>
          <w:szCs w:val="20"/>
        </w:rPr>
        <w:t>A mixed me</w:t>
      </w:r>
      <w:r w:rsidR="00F15A4B" w:rsidRPr="00A1218A">
        <w:rPr>
          <w:szCs w:val="20"/>
        </w:rPr>
        <w:t xml:space="preserve">thods </w:t>
      </w:r>
      <w:r w:rsidR="003B3C28" w:rsidRPr="00A1218A">
        <w:rPr>
          <w:szCs w:val="20"/>
        </w:rPr>
        <w:t>approach was adopted</w:t>
      </w:r>
      <w:r w:rsidR="00BA03FD" w:rsidRPr="00A1218A">
        <w:rPr>
          <w:szCs w:val="20"/>
        </w:rPr>
        <w:t xml:space="preserve"> </w:t>
      </w:r>
      <w:r w:rsidR="00C85CA3">
        <w:rPr>
          <w:szCs w:val="20"/>
        </w:rPr>
        <w:t>for this evaluation, drawing</w:t>
      </w:r>
      <w:r w:rsidR="00BA03FD" w:rsidRPr="00A1218A">
        <w:rPr>
          <w:szCs w:val="20"/>
        </w:rPr>
        <w:t xml:space="preserve"> on the available program </w:t>
      </w:r>
      <w:r w:rsidR="004141D0">
        <w:rPr>
          <w:szCs w:val="20"/>
        </w:rPr>
        <w:t xml:space="preserve">and </w:t>
      </w:r>
      <w:r w:rsidR="00CA200B">
        <w:rPr>
          <w:szCs w:val="20"/>
        </w:rPr>
        <w:t xml:space="preserve">qualitative </w:t>
      </w:r>
      <w:r w:rsidR="00BA03FD" w:rsidRPr="00A1218A">
        <w:rPr>
          <w:szCs w:val="20"/>
        </w:rPr>
        <w:t>dat</w:t>
      </w:r>
      <w:r w:rsidR="00147F98" w:rsidRPr="00A1218A">
        <w:rPr>
          <w:szCs w:val="20"/>
        </w:rPr>
        <w:t>a</w:t>
      </w:r>
      <w:r w:rsidR="00CA200B">
        <w:rPr>
          <w:szCs w:val="20"/>
        </w:rPr>
        <w:t>, including</w:t>
      </w:r>
      <w:r w:rsidR="00147F98" w:rsidRPr="00A1218A">
        <w:rPr>
          <w:szCs w:val="20"/>
        </w:rPr>
        <w:t xml:space="preserve"> input from a range of program stakeholder</w:t>
      </w:r>
      <w:r w:rsidR="00812121" w:rsidRPr="00A1218A">
        <w:rPr>
          <w:szCs w:val="20"/>
        </w:rPr>
        <w:t xml:space="preserve"> </w:t>
      </w:r>
      <w:r w:rsidR="009009B1" w:rsidRPr="00A1218A">
        <w:rPr>
          <w:szCs w:val="20"/>
        </w:rPr>
        <w:t>groups.</w:t>
      </w:r>
      <w:r w:rsidR="001D1A3C">
        <w:rPr>
          <w:rFonts w:ascii="ZWAdobeF" w:hAnsi="ZWAdobeF" w:cs="ZWAdobeF"/>
          <w:sz w:val="2"/>
          <w:szCs w:val="2"/>
        </w:rPr>
        <w:t>0F</w:t>
      </w:r>
      <w:r w:rsidR="005F7EBC">
        <w:rPr>
          <w:rFonts w:ascii="ZWAdobeF" w:hAnsi="ZWAdobeF" w:cs="ZWAdobeF"/>
          <w:sz w:val="2"/>
          <w:szCs w:val="2"/>
        </w:rPr>
        <w:t>2F</w:t>
      </w:r>
      <w:r w:rsidR="004C7450">
        <w:rPr>
          <w:rStyle w:val="FootnoteReference"/>
        </w:rPr>
        <w:footnoteReference w:id="4"/>
      </w:r>
      <w:r w:rsidR="004C7450" w:rsidRPr="00EF48F5">
        <w:rPr>
          <w:vertAlign w:val="superscript"/>
        </w:rPr>
        <w:t>,</w:t>
      </w:r>
      <w:r w:rsidR="004C7450" w:rsidRPr="00EF48F5">
        <w:rPr>
          <w:rFonts w:ascii="ZWAdobeF" w:hAnsi="ZWAdobeF" w:cs="ZWAdobeF"/>
          <w:sz w:val="2"/>
          <w:szCs w:val="2"/>
          <w:vertAlign w:val="superscript"/>
        </w:rPr>
        <w:t>6F10F10F</w:t>
      </w:r>
      <w:r w:rsidR="001D1A3C">
        <w:rPr>
          <w:rFonts w:ascii="ZWAdobeF" w:hAnsi="ZWAdobeF" w:cs="ZWAdobeF"/>
          <w:sz w:val="2"/>
          <w:szCs w:val="2"/>
        </w:rPr>
        <w:t>1F</w:t>
      </w:r>
      <w:r w:rsidR="005F7EBC">
        <w:rPr>
          <w:rFonts w:ascii="ZWAdobeF" w:hAnsi="ZWAdobeF" w:cs="ZWAdobeF"/>
          <w:sz w:val="2"/>
          <w:szCs w:val="2"/>
        </w:rPr>
        <w:t>3F</w:t>
      </w:r>
      <w:r w:rsidR="004C7450">
        <w:rPr>
          <w:rStyle w:val="FootnoteReference"/>
        </w:rPr>
        <w:footnoteReference w:id="5"/>
      </w:r>
      <w:r w:rsidR="004C7450" w:rsidRPr="00EF48F5">
        <w:rPr>
          <w:vertAlign w:val="superscript"/>
        </w:rPr>
        <w:t>,</w:t>
      </w:r>
      <w:r w:rsidR="004C7450" w:rsidRPr="00EF48F5">
        <w:rPr>
          <w:rFonts w:ascii="ZWAdobeF" w:hAnsi="ZWAdobeF" w:cs="ZWAdobeF"/>
          <w:sz w:val="2"/>
          <w:szCs w:val="2"/>
          <w:vertAlign w:val="superscript"/>
        </w:rPr>
        <w:t>7F11F11F</w:t>
      </w:r>
      <w:r w:rsidR="001D1A3C">
        <w:rPr>
          <w:rFonts w:ascii="ZWAdobeF" w:hAnsi="ZWAdobeF" w:cs="ZWAdobeF"/>
          <w:sz w:val="2"/>
          <w:szCs w:val="2"/>
        </w:rPr>
        <w:t>2F</w:t>
      </w:r>
      <w:r w:rsidR="005F7EBC">
        <w:rPr>
          <w:rFonts w:ascii="ZWAdobeF" w:hAnsi="ZWAdobeF" w:cs="ZWAdobeF"/>
          <w:sz w:val="2"/>
          <w:szCs w:val="2"/>
        </w:rPr>
        <w:t>4F</w:t>
      </w:r>
      <w:r w:rsidR="004C7450">
        <w:rPr>
          <w:rStyle w:val="FootnoteReference"/>
        </w:rPr>
        <w:footnoteReference w:id="6"/>
      </w:r>
      <w:r w:rsidR="004C7450" w:rsidRPr="00EF48F5">
        <w:rPr>
          <w:vertAlign w:val="superscript"/>
        </w:rPr>
        <w:t>,</w:t>
      </w:r>
      <w:r w:rsidR="004C7450" w:rsidRPr="00EF48F5">
        <w:rPr>
          <w:rFonts w:ascii="ZWAdobeF" w:hAnsi="ZWAdobeF" w:cs="ZWAdobeF"/>
          <w:sz w:val="2"/>
          <w:szCs w:val="2"/>
          <w:vertAlign w:val="superscript"/>
        </w:rPr>
        <w:t>8F12F12F</w:t>
      </w:r>
      <w:r w:rsidR="001D1A3C">
        <w:rPr>
          <w:rFonts w:ascii="ZWAdobeF" w:hAnsi="ZWAdobeF" w:cs="ZWAdobeF"/>
          <w:sz w:val="2"/>
          <w:szCs w:val="2"/>
        </w:rPr>
        <w:t>3F</w:t>
      </w:r>
      <w:r w:rsidR="005F7EBC">
        <w:rPr>
          <w:rFonts w:ascii="ZWAdobeF" w:hAnsi="ZWAdobeF" w:cs="ZWAdobeF"/>
          <w:sz w:val="2"/>
          <w:szCs w:val="2"/>
        </w:rPr>
        <w:t>5F</w:t>
      </w:r>
      <w:r w:rsidR="004C7450">
        <w:rPr>
          <w:rStyle w:val="FootnoteReference"/>
        </w:rPr>
        <w:footnoteReference w:id="7"/>
      </w:r>
      <w:r w:rsidR="004C7450" w:rsidRPr="00F15F98">
        <w:t xml:space="preserve"> </w:t>
      </w:r>
      <w:r w:rsidR="00A1218A" w:rsidRPr="00A1218A">
        <w:rPr>
          <w:szCs w:val="20"/>
        </w:rPr>
        <w:t xml:space="preserve"> The evaluation has been designed to </w:t>
      </w:r>
      <w:r w:rsidR="000C0DCF">
        <w:rPr>
          <w:szCs w:val="20"/>
        </w:rPr>
        <w:t>d</w:t>
      </w:r>
      <w:r w:rsidR="00A1218A" w:rsidRPr="00A1218A">
        <w:rPr>
          <w:szCs w:val="20"/>
        </w:rPr>
        <w:t>raw on the following data sources to inform the final assessments against the KEQs and domains of inquiry, including:</w:t>
      </w:r>
    </w:p>
    <w:p w14:paraId="307B997A" w14:textId="0144A32C" w:rsidR="00AE5CEE" w:rsidRPr="009F08A3" w:rsidRDefault="00FE1F3C" w:rsidP="00242835">
      <w:pPr>
        <w:pStyle w:val="ListBullet"/>
      </w:pPr>
      <w:r w:rsidRPr="009F08A3">
        <w:t>G</w:t>
      </w:r>
      <w:r w:rsidR="0056771B" w:rsidRPr="009F08A3">
        <w:t xml:space="preserve">overnment </w:t>
      </w:r>
      <w:r w:rsidRPr="009F08A3">
        <w:t>stakeholder consultations through semi-structured interviews</w:t>
      </w:r>
      <w:r w:rsidR="00221AE7" w:rsidRPr="009F08A3">
        <w:t xml:space="preserve">, including </w:t>
      </w:r>
      <w:r w:rsidR="00297956" w:rsidRPr="009F08A3">
        <w:t xml:space="preserve">the Health Workforce </w:t>
      </w:r>
      <w:r w:rsidR="00F9668C" w:rsidRPr="009F08A3">
        <w:t xml:space="preserve">Division of the Department and </w:t>
      </w:r>
      <w:r w:rsidR="00CA5ADC" w:rsidRPr="009F08A3">
        <w:t xml:space="preserve">the Australian Radiation Protection and </w:t>
      </w:r>
      <w:r w:rsidR="00DE36CE" w:rsidRPr="009F08A3">
        <w:t>N</w:t>
      </w:r>
      <w:r w:rsidR="00CA5ADC" w:rsidRPr="009F08A3">
        <w:t>uclear Safety Agency (ARPANSA</w:t>
      </w:r>
      <w:proofErr w:type="gramStart"/>
      <w:r w:rsidR="0018545F" w:rsidRPr="009F08A3">
        <w:t>);</w:t>
      </w:r>
      <w:proofErr w:type="gramEnd"/>
    </w:p>
    <w:p w14:paraId="49EBFDC1" w14:textId="20322559" w:rsidR="009940EF" w:rsidRPr="009F08A3" w:rsidRDefault="009940EF" w:rsidP="00242835">
      <w:pPr>
        <w:pStyle w:val="ListBullet"/>
      </w:pPr>
      <w:r w:rsidRPr="009F08A3">
        <w:t>Consultations with ACPSEM</w:t>
      </w:r>
      <w:r w:rsidR="00162D2E" w:rsidRPr="009F08A3">
        <w:t xml:space="preserve"> and </w:t>
      </w:r>
      <w:proofErr w:type="spellStart"/>
      <w:r w:rsidR="00162D2E" w:rsidRPr="009F08A3">
        <w:t>Amplexa</w:t>
      </w:r>
      <w:proofErr w:type="spellEnd"/>
      <w:r w:rsidR="00162D2E" w:rsidRPr="009F08A3">
        <w:t xml:space="preserve"> Consulting</w:t>
      </w:r>
      <w:r w:rsidR="0074205F" w:rsidRPr="009F08A3">
        <w:t xml:space="preserve">, in their capacity supporting </w:t>
      </w:r>
      <w:proofErr w:type="gramStart"/>
      <w:r w:rsidR="0074205F" w:rsidRPr="009F08A3">
        <w:t>ACPSEM</w:t>
      </w:r>
      <w:r w:rsidR="00213ECF" w:rsidRPr="009F08A3">
        <w:t>;</w:t>
      </w:r>
      <w:proofErr w:type="gramEnd"/>
    </w:p>
    <w:p w14:paraId="02E5E4C8" w14:textId="05000027" w:rsidR="00F27178" w:rsidRPr="009F08A3" w:rsidRDefault="00F27178" w:rsidP="00242835">
      <w:pPr>
        <w:pStyle w:val="ListBullet"/>
      </w:pPr>
      <w:r w:rsidRPr="009F08A3">
        <w:t>Semi</w:t>
      </w:r>
      <w:r w:rsidR="0030667C" w:rsidRPr="009F08A3">
        <w:t xml:space="preserve">-structured interviews with </w:t>
      </w:r>
      <w:r w:rsidR="009D0774" w:rsidRPr="009F08A3">
        <w:t>re</w:t>
      </w:r>
      <w:r w:rsidR="00922644" w:rsidRPr="009F08A3">
        <w:t>presentatives</w:t>
      </w:r>
      <w:r w:rsidR="002B7DAD" w:rsidRPr="009F08A3">
        <w:t xml:space="preserve"> with State and Territory </w:t>
      </w:r>
      <w:r w:rsidR="00114626" w:rsidRPr="009F08A3">
        <w:t>jurisdictions</w:t>
      </w:r>
      <w:r w:rsidR="00F86B53" w:rsidRPr="009F08A3">
        <w:t>. This includes Directors of Medical Physics departments</w:t>
      </w:r>
      <w:r w:rsidR="002D7650" w:rsidRPr="009F08A3">
        <w:t xml:space="preserve"> and </w:t>
      </w:r>
      <w:r w:rsidR="007B3C62" w:rsidRPr="009F08A3">
        <w:t>state</w:t>
      </w:r>
      <w:r w:rsidR="008C461D" w:rsidRPr="009F08A3">
        <w:t>-based</w:t>
      </w:r>
      <w:r w:rsidR="007B3C62" w:rsidRPr="009F08A3">
        <w:t xml:space="preserve"> </w:t>
      </w:r>
      <w:proofErr w:type="gramStart"/>
      <w:r w:rsidR="007B3C62" w:rsidRPr="009F08A3">
        <w:t>educators</w:t>
      </w:r>
      <w:r w:rsidR="00DB0297" w:rsidRPr="009F08A3">
        <w:t>;</w:t>
      </w:r>
      <w:proofErr w:type="gramEnd"/>
    </w:p>
    <w:p w14:paraId="0B437968" w14:textId="40E13F8F" w:rsidR="0041575B" w:rsidRPr="009F08A3" w:rsidRDefault="0041575B" w:rsidP="00242835">
      <w:pPr>
        <w:pStyle w:val="ListBullet"/>
      </w:pPr>
      <w:r w:rsidRPr="009F08A3">
        <w:t xml:space="preserve">Consultations with private providers of medical physics and radiation oncology </w:t>
      </w:r>
      <w:proofErr w:type="gramStart"/>
      <w:r w:rsidRPr="009F08A3">
        <w:t>services;</w:t>
      </w:r>
      <w:proofErr w:type="gramEnd"/>
    </w:p>
    <w:p w14:paraId="2EB2CF39" w14:textId="0B7B101C" w:rsidR="008C461D" w:rsidRPr="009F08A3" w:rsidRDefault="008C461D" w:rsidP="00242835">
      <w:pPr>
        <w:pStyle w:val="ListBullet"/>
      </w:pPr>
      <w:r w:rsidRPr="009F08A3">
        <w:t xml:space="preserve">Consultations </w:t>
      </w:r>
      <w:r w:rsidR="00B2133B" w:rsidRPr="009F08A3">
        <w:t xml:space="preserve">with, </w:t>
      </w:r>
      <w:r w:rsidR="00D11783" w:rsidRPr="009F08A3">
        <w:t>and a surve</w:t>
      </w:r>
      <w:r w:rsidR="004861C0" w:rsidRPr="009F08A3">
        <w:t>y</w:t>
      </w:r>
      <w:r w:rsidRPr="009F08A3">
        <w:t xml:space="preserve"> </w:t>
      </w:r>
      <w:r w:rsidR="00B2133B" w:rsidRPr="009F08A3">
        <w:t>for,</w:t>
      </w:r>
      <w:r w:rsidRPr="009F08A3">
        <w:t xml:space="preserve"> </w:t>
      </w:r>
      <w:r w:rsidR="009E1E9F">
        <w:t>R</w:t>
      </w:r>
      <w:r w:rsidR="00D72B36" w:rsidRPr="009F08A3">
        <w:t xml:space="preserve">egistrars and </w:t>
      </w:r>
      <w:proofErr w:type="gramStart"/>
      <w:r w:rsidR="009E1E9F">
        <w:t>S</w:t>
      </w:r>
      <w:r w:rsidR="00D72B36" w:rsidRPr="009F08A3">
        <w:t>upervisors</w:t>
      </w:r>
      <w:r w:rsidR="007057BB" w:rsidRPr="009F08A3">
        <w:t>;</w:t>
      </w:r>
      <w:proofErr w:type="gramEnd"/>
    </w:p>
    <w:p w14:paraId="4AE534C9" w14:textId="2AE4D11F" w:rsidR="0041575B" w:rsidRPr="009F08A3" w:rsidRDefault="006E2DB3" w:rsidP="00242835">
      <w:pPr>
        <w:pStyle w:val="ListBullet"/>
      </w:pPr>
      <w:r w:rsidRPr="009F08A3">
        <w:t>Semi-structured interview</w:t>
      </w:r>
      <w:r w:rsidR="00391D2E" w:rsidRPr="009F08A3">
        <w:t>s</w:t>
      </w:r>
      <w:r w:rsidRPr="009F08A3">
        <w:t xml:space="preserve"> with other </w:t>
      </w:r>
      <w:r w:rsidR="002505C7" w:rsidRPr="009F08A3">
        <w:t>stakeholders including the Radiation Oncology Alliance Coalition</w:t>
      </w:r>
      <w:r w:rsidR="001C79E1" w:rsidRPr="009F08A3">
        <w:t xml:space="preserve"> (ROAC)</w:t>
      </w:r>
      <w:r w:rsidR="00CC4E02" w:rsidRPr="009F08A3">
        <w:t xml:space="preserve"> and </w:t>
      </w:r>
      <w:r w:rsidR="00FC1767">
        <w:t>t</w:t>
      </w:r>
      <w:r w:rsidR="00902177" w:rsidRPr="009F08A3">
        <w:t>he Royal Australian and New Zealand College of Radiologists (RAN</w:t>
      </w:r>
      <w:r w:rsidR="00DE59A9" w:rsidRPr="009F08A3">
        <w:t>ZCR</w:t>
      </w:r>
      <w:proofErr w:type="gramStart"/>
      <w:r w:rsidR="00DE59A9" w:rsidRPr="009F08A3">
        <w:t>)</w:t>
      </w:r>
      <w:r w:rsidR="00521A08" w:rsidRPr="009F08A3">
        <w:t>;</w:t>
      </w:r>
      <w:proofErr w:type="gramEnd"/>
    </w:p>
    <w:p w14:paraId="4E761436" w14:textId="273753C0" w:rsidR="00521A08" w:rsidRPr="009F08A3" w:rsidRDefault="00521A08" w:rsidP="00242835">
      <w:pPr>
        <w:pStyle w:val="ListBullet"/>
      </w:pPr>
      <w:r w:rsidRPr="009F08A3">
        <w:t>Routinely coll</w:t>
      </w:r>
      <w:r w:rsidR="00E41D2B" w:rsidRPr="009F08A3">
        <w:t xml:space="preserve">ected </w:t>
      </w:r>
      <w:r w:rsidR="0094768B">
        <w:t xml:space="preserve">and reported </w:t>
      </w:r>
      <w:r w:rsidR="00E41D2B" w:rsidRPr="009F08A3">
        <w:t xml:space="preserve">program data, including </w:t>
      </w:r>
      <w:r w:rsidR="00CE55CE">
        <w:t>AWPs</w:t>
      </w:r>
      <w:r w:rsidR="000C463B">
        <w:t>, financial data and performance against key performance indicators</w:t>
      </w:r>
      <w:r w:rsidR="00D41FB0">
        <w:t xml:space="preserve"> (KPIs)</w:t>
      </w:r>
      <w:r w:rsidR="00254C95">
        <w:t xml:space="preserve">; and </w:t>
      </w:r>
    </w:p>
    <w:p w14:paraId="348C8D32" w14:textId="64B383DC" w:rsidR="00C7746D" w:rsidRPr="009F08A3" w:rsidRDefault="00C7746D" w:rsidP="00242835">
      <w:pPr>
        <w:pStyle w:val="ListBullet"/>
      </w:pPr>
      <w:r>
        <w:t>Publicly available data, reports</w:t>
      </w:r>
      <w:r w:rsidR="0097382A">
        <w:t>, strategies and frameworks.</w:t>
      </w:r>
    </w:p>
    <w:p w14:paraId="00D34436" w14:textId="77777777" w:rsidR="000A05C2" w:rsidRPr="000A05C2" w:rsidRDefault="000A05C2" w:rsidP="000A05C2">
      <w:pPr>
        <w:spacing w:line="259" w:lineRule="auto"/>
        <w:rPr>
          <w:rFonts w:cs="Arial"/>
          <w:szCs w:val="20"/>
        </w:rPr>
      </w:pPr>
      <w:r w:rsidRPr="000A05C2">
        <w:rPr>
          <w:rFonts w:cs="Arial"/>
          <w:szCs w:val="20"/>
        </w:rPr>
        <w:t xml:space="preserve">Additional detail on the analytical approach is available in Appendix A. Detail of stakeholders consulted </w:t>
      </w:r>
      <w:proofErr w:type="gramStart"/>
      <w:r w:rsidRPr="000A05C2">
        <w:rPr>
          <w:rFonts w:cs="Arial"/>
          <w:szCs w:val="20"/>
        </w:rPr>
        <w:t>with</w:t>
      </w:r>
      <w:proofErr w:type="gramEnd"/>
      <w:r w:rsidRPr="000A05C2">
        <w:rPr>
          <w:rFonts w:cs="Arial"/>
          <w:szCs w:val="20"/>
        </w:rPr>
        <w:t xml:space="preserve"> and consultation guides can be found in Appendices E and F respectively. Survey questions and survey results can be found in Appendices G and H respectively.</w:t>
      </w:r>
    </w:p>
    <w:p w14:paraId="207E396B" w14:textId="65E40922" w:rsidR="00AD18CD" w:rsidRPr="00AD18CD" w:rsidRDefault="00AD18CD" w:rsidP="0019756D">
      <w:pPr>
        <w:rPr>
          <w:rFonts w:cs="Arial"/>
          <w:szCs w:val="20"/>
        </w:rPr>
      </w:pPr>
      <w:r w:rsidRPr="00AD18CD">
        <w:rPr>
          <w:rFonts w:cs="Arial"/>
        </w:rPr>
        <w:t xml:space="preserve">The views of stakeholders have been canvassed through </w:t>
      </w:r>
      <w:r w:rsidR="00D4296C">
        <w:rPr>
          <w:rFonts w:cs="Arial"/>
        </w:rPr>
        <w:t>semi structured</w:t>
      </w:r>
      <w:r w:rsidRPr="00AD18CD">
        <w:rPr>
          <w:rFonts w:cs="Arial"/>
        </w:rPr>
        <w:t xml:space="preserve"> interviews and surveys, with a strong qualitative focus on the need for, and value of, the </w:t>
      </w:r>
      <w:r w:rsidR="001E2BF0">
        <w:rPr>
          <w:rFonts w:cs="Arial"/>
        </w:rPr>
        <w:t>MPS Program</w:t>
      </w:r>
      <w:r w:rsidRPr="00AD18CD">
        <w:rPr>
          <w:rFonts w:cs="Arial"/>
        </w:rPr>
        <w:t xml:space="preserve"> for </w:t>
      </w:r>
      <w:r w:rsidR="009E59F5">
        <w:rPr>
          <w:rFonts w:cs="Arial"/>
        </w:rPr>
        <w:t xml:space="preserve">supporting the medical </w:t>
      </w:r>
      <w:r w:rsidR="008F1F4A">
        <w:rPr>
          <w:rFonts w:cs="Arial"/>
        </w:rPr>
        <w:t xml:space="preserve">physics and </w:t>
      </w:r>
      <w:r w:rsidR="00A42CC7">
        <w:rPr>
          <w:rFonts w:cs="Arial"/>
        </w:rPr>
        <w:t>RPS</w:t>
      </w:r>
      <w:r w:rsidR="008F1F4A">
        <w:rPr>
          <w:rFonts w:cs="Arial"/>
        </w:rPr>
        <w:t xml:space="preserve"> workforce</w:t>
      </w:r>
      <w:r w:rsidRPr="00AD18CD">
        <w:rPr>
          <w:rFonts w:cs="Arial"/>
        </w:rPr>
        <w:t>. Drawing on the work of key theorists in qualitative methods, these were thematically analysed to provide insights against the domains of inquiry for this evaluation</w:t>
      </w:r>
      <w:r w:rsidRPr="00AD18CD">
        <w:rPr>
          <w:rFonts w:cs="Arial"/>
          <w:sz w:val="2"/>
          <w:szCs w:val="2"/>
        </w:rPr>
        <w:t>10F14F14F</w:t>
      </w:r>
      <w:r w:rsidR="001D1A3C">
        <w:rPr>
          <w:rFonts w:ascii="ZWAdobeF" w:hAnsi="ZWAdobeF" w:cs="ZWAdobeF"/>
          <w:sz w:val="2"/>
          <w:szCs w:val="2"/>
        </w:rPr>
        <w:t>4F</w:t>
      </w:r>
      <w:r w:rsidR="005F7EBC">
        <w:rPr>
          <w:rFonts w:ascii="ZWAdobeF" w:hAnsi="ZWAdobeF" w:cs="ZWAdobeF"/>
          <w:sz w:val="2"/>
          <w:szCs w:val="2"/>
        </w:rPr>
        <w:t>6F</w:t>
      </w:r>
      <w:r w:rsidRPr="00AD18CD">
        <w:rPr>
          <w:rStyle w:val="FootnoteReference"/>
          <w:rFonts w:cs="Arial"/>
        </w:rPr>
        <w:footnoteReference w:id="8"/>
      </w:r>
      <w:r w:rsidRPr="00AD18CD">
        <w:rPr>
          <w:rFonts w:cs="Arial"/>
        </w:rPr>
        <w:t>,</w:t>
      </w:r>
      <w:r w:rsidRPr="00AD18CD">
        <w:rPr>
          <w:rFonts w:cs="Arial"/>
          <w:sz w:val="2"/>
          <w:szCs w:val="2"/>
        </w:rPr>
        <w:t>11F15F15F</w:t>
      </w:r>
      <w:r w:rsidR="001D1A3C">
        <w:rPr>
          <w:rFonts w:ascii="ZWAdobeF" w:hAnsi="ZWAdobeF" w:cs="ZWAdobeF"/>
          <w:sz w:val="2"/>
          <w:szCs w:val="2"/>
        </w:rPr>
        <w:t>5F</w:t>
      </w:r>
      <w:r w:rsidR="005F7EBC">
        <w:rPr>
          <w:rFonts w:ascii="ZWAdobeF" w:hAnsi="ZWAdobeF" w:cs="ZWAdobeF"/>
          <w:sz w:val="2"/>
          <w:szCs w:val="2"/>
        </w:rPr>
        <w:t>7F</w:t>
      </w:r>
      <w:r w:rsidRPr="00AD18CD">
        <w:rPr>
          <w:rStyle w:val="FootnoteReference"/>
          <w:rFonts w:cs="Arial"/>
        </w:rPr>
        <w:footnoteReference w:id="9"/>
      </w:r>
      <w:r w:rsidRPr="00AD18CD">
        <w:rPr>
          <w:rFonts w:cs="Arial"/>
        </w:rPr>
        <w:t>,</w:t>
      </w:r>
      <w:r w:rsidRPr="00AD18CD">
        <w:rPr>
          <w:rFonts w:cs="Arial"/>
          <w:sz w:val="2"/>
          <w:szCs w:val="2"/>
        </w:rPr>
        <w:t>12F16F16F</w:t>
      </w:r>
      <w:r w:rsidR="001D1A3C">
        <w:rPr>
          <w:rFonts w:ascii="ZWAdobeF" w:hAnsi="ZWAdobeF" w:cs="ZWAdobeF"/>
          <w:sz w:val="2"/>
          <w:szCs w:val="2"/>
        </w:rPr>
        <w:t>6F</w:t>
      </w:r>
      <w:r w:rsidR="005F7EBC">
        <w:rPr>
          <w:rFonts w:ascii="ZWAdobeF" w:hAnsi="ZWAdobeF" w:cs="ZWAdobeF"/>
          <w:sz w:val="2"/>
          <w:szCs w:val="2"/>
        </w:rPr>
        <w:t>8F</w:t>
      </w:r>
      <w:r w:rsidRPr="00AD18CD">
        <w:rPr>
          <w:rStyle w:val="FootnoteReference"/>
          <w:rFonts w:cs="Arial"/>
        </w:rPr>
        <w:footnoteReference w:id="10"/>
      </w:r>
      <w:r w:rsidRPr="00AD18CD">
        <w:rPr>
          <w:rFonts w:cs="Arial"/>
        </w:rPr>
        <w:t>,</w:t>
      </w:r>
      <w:r w:rsidRPr="00AD18CD">
        <w:rPr>
          <w:rFonts w:cs="Arial"/>
          <w:sz w:val="2"/>
          <w:szCs w:val="2"/>
        </w:rPr>
        <w:t>13F17F17F</w:t>
      </w:r>
      <w:r w:rsidR="001D1A3C">
        <w:rPr>
          <w:rFonts w:ascii="ZWAdobeF" w:hAnsi="ZWAdobeF" w:cs="ZWAdobeF"/>
          <w:sz w:val="2"/>
          <w:szCs w:val="2"/>
        </w:rPr>
        <w:t>7F</w:t>
      </w:r>
      <w:r w:rsidR="005F7EBC">
        <w:rPr>
          <w:rFonts w:ascii="ZWAdobeF" w:hAnsi="ZWAdobeF" w:cs="ZWAdobeF"/>
          <w:sz w:val="2"/>
          <w:szCs w:val="2"/>
        </w:rPr>
        <w:t>9F</w:t>
      </w:r>
      <w:r w:rsidRPr="00AD18CD">
        <w:rPr>
          <w:rStyle w:val="FootnoteReference"/>
          <w:rFonts w:cs="Arial"/>
        </w:rPr>
        <w:footnoteReference w:id="11"/>
      </w:r>
      <w:r w:rsidRPr="00AD18CD">
        <w:rPr>
          <w:rFonts w:cs="Arial"/>
        </w:rPr>
        <w:t>,</w:t>
      </w:r>
      <w:r w:rsidRPr="00AD18CD">
        <w:rPr>
          <w:rFonts w:cs="Arial"/>
          <w:sz w:val="2"/>
          <w:szCs w:val="2"/>
        </w:rPr>
        <w:t>14F18F18F</w:t>
      </w:r>
      <w:r w:rsidR="001D1A3C">
        <w:rPr>
          <w:rFonts w:ascii="ZWAdobeF" w:hAnsi="ZWAdobeF" w:cs="ZWAdobeF"/>
          <w:sz w:val="2"/>
          <w:szCs w:val="2"/>
        </w:rPr>
        <w:t>8F</w:t>
      </w:r>
      <w:r w:rsidR="005F7EBC">
        <w:rPr>
          <w:rFonts w:ascii="ZWAdobeF" w:hAnsi="ZWAdobeF" w:cs="ZWAdobeF"/>
          <w:sz w:val="2"/>
          <w:szCs w:val="2"/>
        </w:rPr>
        <w:t>10F</w:t>
      </w:r>
      <w:r w:rsidRPr="00AD18CD">
        <w:rPr>
          <w:rStyle w:val="FootnoteReference"/>
          <w:rFonts w:cs="Arial"/>
        </w:rPr>
        <w:footnoteReference w:id="12"/>
      </w:r>
      <w:r w:rsidRPr="00AD18CD">
        <w:rPr>
          <w:rFonts w:cs="Arial"/>
        </w:rPr>
        <w:t>.</w:t>
      </w:r>
      <w:r w:rsidRPr="00AD18CD">
        <w:rPr>
          <w:rFonts w:cs="Arial"/>
          <w:sz w:val="2"/>
          <w:szCs w:val="2"/>
        </w:rPr>
        <w:t>15F19F19F</w:t>
      </w:r>
      <w:r w:rsidR="001D1A3C">
        <w:rPr>
          <w:rFonts w:ascii="ZWAdobeF" w:hAnsi="ZWAdobeF" w:cs="ZWAdobeF"/>
          <w:sz w:val="2"/>
          <w:szCs w:val="2"/>
        </w:rPr>
        <w:t>9F</w:t>
      </w:r>
      <w:r w:rsidR="005F7EBC">
        <w:rPr>
          <w:rFonts w:ascii="ZWAdobeF" w:hAnsi="ZWAdobeF" w:cs="ZWAdobeF"/>
          <w:sz w:val="2"/>
          <w:szCs w:val="2"/>
        </w:rPr>
        <w:t>11F</w:t>
      </w:r>
      <w:r w:rsidRPr="00AD18CD">
        <w:rPr>
          <w:rStyle w:val="FootnoteReference"/>
          <w:rFonts w:cs="Arial"/>
        </w:rPr>
        <w:footnoteReference w:id="13"/>
      </w:r>
    </w:p>
    <w:p w14:paraId="59ED5ECF" w14:textId="783F4174" w:rsidR="005D1125" w:rsidRPr="005D1125" w:rsidRDefault="005D1125" w:rsidP="001F6EC2">
      <w:pPr>
        <w:spacing w:line="259" w:lineRule="auto"/>
        <w:rPr>
          <w:rFonts w:eastAsia="Times New Roman" w:cs="Arial"/>
          <w:bCs/>
          <w:i/>
          <w:color w:val="00338D" w:themeColor="accent1"/>
          <w:szCs w:val="20"/>
          <w:lang w:eastAsia="en-AU"/>
        </w:rPr>
      </w:pPr>
      <w:r w:rsidRPr="005D1125">
        <w:rPr>
          <w:rFonts w:cs="Arial"/>
          <w:szCs w:val="20"/>
        </w:rPr>
        <w:t xml:space="preserve">The evaluation has utilised data routinely collected as part of the delivery of the </w:t>
      </w:r>
      <w:r w:rsidR="0089333A">
        <w:rPr>
          <w:rFonts w:cs="Arial"/>
          <w:szCs w:val="20"/>
        </w:rPr>
        <w:t>MPS Program</w:t>
      </w:r>
      <w:r w:rsidRPr="005D1125">
        <w:rPr>
          <w:rFonts w:cs="Arial"/>
          <w:szCs w:val="20"/>
        </w:rPr>
        <w:t xml:space="preserve"> as well as other related and publicly available data sets including the</w:t>
      </w:r>
      <w:r w:rsidRPr="005D1125" w:rsidDel="00B74D20">
        <w:rPr>
          <w:rFonts w:cs="Arial"/>
          <w:szCs w:val="20"/>
        </w:rPr>
        <w:t xml:space="preserve"> </w:t>
      </w:r>
      <w:r w:rsidR="00FC1767">
        <w:rPr>
          <w:rFonts w:cs="Arial"/>
          <w:szCs w:val="20"/>
        </w:rPr>
        <w:t>Australian Bureau of Statistics (</w:t>
      </w:r>
      <w:r w:rsidRPr="005D1125" w:rsidDel="00B74D20">
        <w:rPr>
          <w:rFonts w:cs="Arial"/>
          <w:szCs w:val="20"/>
        </w:rPr>
        <w:t>ABS</w:t>
      </w:r>
      <w:r w:rsidR="00FC1767">
        <w:rPr>
          <w:rFonts w:cs="Arial"/>
          <w:szCs w:val="20"/>
        </w:rPr>
        <w:t>)</w:t>
      </w:r>
      <w:r w:rsidRPr="005D1125">
        <w:rPr>
          <w:rFonts w:cs="Arial"/>
          <w:szCs w:val="20"/>
        </w:rPr>
        <w:t>. Based on the approach to consultation and other data collection activities and in line with National Health and Medical Research Council guidance on the</w:t>
      </w:r>
      <w:r w:rsidRPr="005D1125">
        <w:rPr>
          <w:rFonts w:cs="Arial"/>
          <w:i/>
          <w:szCs w:val="20"/>
        </w:rPr>
        <w:t xml:space="preserve"> Ethical Considerations in Quality Assurance and Evaluation Activities,</w:t>
      </w:r>
      <w:r w:rsidR="001D1A3C">
        <w:rPr>
          <w:rFonts w:ascii="ZWAdobeF" w:hAnsi="ZWAdobeF" w:cs="ZWAdobeF"/>
          <w:sz w:val="2"/>
          <w:szCs w:val="2"/>
        </w:rPr>
        <w:t>10F</w:t>
      </w:r>
      <w:r w:rsidR="005F7EBC">
        <w:rPr>
          <w:rFonts w:ascii="ZWAdobeF" w:hAnsi="ZWAdobeF" w:cs="ZWAdobeF"/>
          <w:sz w:val="2"/>
          <w:szCs w:val="2"/>
        </w:rPr>
        <w:t>12F</w:t>
      </w:r>
      <w:r w:rsidRPr="005D1125">
        <w:rPr>
          <w:rStyle w:val="FootnoteReference"/>
          <w:rFonts w:cs="Arial"/>
          <w:szCs w:val="20"/>
        </w:rPr>
        <w:footnoteReference w:id="14"/>
      </w:r>
      <w:r w:rsidRPr="005D1125">
        <w:rPr>
          <w:rFonts w:cs="Arial"/>
          <w:i/>
          <w:szCs w:val="20"/>
        </w:rPr>
        <w:t xml:space="preserve"> </w:t>
      </w:r>
      <w:r w:rsidRPr="005D1125">
        <w:rPr>
          <w:rFonts w:cs="Arial"/>
          <w:szCs w:val="20"/>
        </w:rPr>
        <w:t>it was determined that ethics approval was not required for this evaluation.</w:t>
      </w:r>
    </w:p>
    <w:p w14:paraId="664B10AC" w14:textId="5831D43F" w:rsidR="00F965B8" w:rsidRDefault="00613091" w:rsidP="00273E1A">
      <w:pPr>
        <w:pStyle w:val="Heading2"/>
      </w:pPr>
      <w:bookmarkStart w:id="33" w:name="_Toc184396562"/>
      <w:bookmarkStart w:id="34" w:name="_Toc216711567"/>
      <w:bookmarkStart w:id="35" w:name="_Toc216791990"/>
      <w:r>
        <w:t xml:space="preserve">Evaluative </w:t>
      </w:r>
      <w:r w:rsidR="00B660C7">
        <w:t>approach</w:t>
      </w:r>
      <w:bookmarkEnd w:id="33"/>
      <w:bookmarkEnd w:id="34"/>
      <w:bookmarkEnd w:id="35"/>
    </w:p>
    <w:p w14:paraId="7B4A98FF" w14:textId="02374923" w:rsidR="002A156F" w:rsidRPr="0019756D" w:rsidRDefault="002A156F" w:rsidP="0019756D">
      <w:r w:rsidRPr="002E2C1F">
        <w:t xml:space="preserve">As discussed above, the key domains of interest to the </w:t>
      </w:r>
      <w:r w:rsidR="002E067B">
        <w:t>Department</w:t>
      </w:r>
      <w:r w:rsidRPr="002E2C1F">
        <w:t xml:space="preserve"> for this evaluation of the </w:t>
      </w:r>
      <w:r w:rsidR="002E067B">
        <w:t>MPS Program</w:t>
      </w:r>
      <w:r w:rsidRPr="002E2C1F">
        <w:t xml:space="preserve"> were:</w:t>
      </w:r>
    </w:p>
    <w:p w14:paraId="036D6CD5" w14:textId="7BB92EEA" w:rsidR="004C050F" w:rsidRPr="0019756D" w:rsidRDefault="004C050F" w:rsidP="0019756D">
      <w:pPr>
        <w:pStyle w:val="ListBullet"/>
      </w:pPr>
      <w:r w:rsidRPr="0019756D">
        <w:t>Implementation</w:t>
      </w:r>
      <w:r w:rsidR="007B0647" w:rsidRPr="0019756D">
        <w:t>:</w:t>
      </w:r>
      <w:r w:rsidRPr="0019756D">
        <w:t xml:space="preserve"> </w:t>
      </w:r>
      <w:r w:rsidR="007B0647" w:rsidRPr="0019756D">
        <w:t>t</w:t>
      </w:r>
      <w:r w:rsidRPr="0019756D">
        <w:t xml:space="preserve">he extent to which the MPS Program has been implemented as </w:t>
      </w:r>
      <w:proofErr w:type="gramStart"/>
      <w:r w:rsidRPr="0019756D">
        <w:t>intended;</w:t>
      </w:r>
      <w:proofErr w:type="gramEnd"/>
      <w:r w:rsidRPr="0019756D">
        <w:t xml:space="preserve"> </w:t>
      </w:r>
    </w:p>
    <w:p w14:paraId="17F4D311" w14:textId="4CAB4615" w:rsidR="004C050F" w:rsidRPr="0019756D" w:rsidRDefault="004C050F" w:rsidP="0019756D">
      <w:pPr>
        <w:pStyle w:val="ListBullet"/>
      </w:pPr>
      <w:r w:rsidRPr="0019756D">
        <w:rPr>
          <w:rStyle w:val="Strong"/>
        </w:rPr>
        <w:t>Appropriateness</w:t>
      </w:r>
      <w:r w:rsidR="007B0647" w:rsidRPr="0019756D">
        <w:t>:</w:t>
      </w:r>
      <w:r w:rsidRPr="0019756D">
        <w:t xml:space="preserve"> </w:t>
      </w:r>
      <w:r w:rsidR="007B0647" w:rsidRPr="0019756D">
        <w:t>t</w:t>
      </w:r>
      <w:r w:rsidRPr="0019756D">
        <w:t xml:space="preserve">he extent to which the MPS Program meets workforce needs and is the right response to workforce </w:t>
      </w:r>
      <w:proofErr w:type="gramStart"/>
      <w:r w:rsidRPr="0019756D">
        <w:t>shortages;</w:t>
      </w:r>
      <w:proofErr w:type="gramEnd"/>
      <w:r w:rsidRPr="0019756D">
        <w:t xml:space="preserve"> </w:t>
      </w:r>
    </w:p>
    <w:p w14:paraId="2651E2AF" w14:textId="2041BB5A" w:rsidR="004C050F" w:rsidRPr="0019756D" w:rsidRDefault="004C050F" w:rsidP="0019756D">
      <w:pPr>
        <w:pStyle w:val="ListBullet"/>
      </w:pPr>
      <w:r w:rsidRPr="0019756D">
        <w:rPr>
          <w:rStyle w:val="Strong"/>
        </w:rPr>
        <w:t>Efficiency</w:t>
      </w:r>
      <w:r w:rsidR="007B0647" w:rsidRPr="0019756D">
        <w:t>:</w:t>
      </w:r>
      <w:r w:rsidRPr="0019756D">
        <w:t xml:space="preserve"> </w:t>
      </w:r>
      <w:r w:rsidR="007B0647" w:rsidRPr="0019756D">
        <w:t xml:space="preserve">the </w:t>
      </w:r>
      <w:r w:rsidRPr="0019756D">
        <w:t xml:space="preserve">extent to which the MPS Program resources are used well to achieve program </w:t>
      </w:r>
      <w:proofErr w:type="gramStart"/>
      <w:r w:rsidRPr="0019756D">
        <w:t>outputs;</w:t>
      </w:r>
      <w:proofErr w:type="gramEnd"/>
      <w:r w:rsidRPr="0019756D">
        <w:t xml:space="preserve"> </w:t>
      </w:r>
    </w:p>
    <w:p w14:paraId="5E139139" w14:textId="3B964B11" w:rsidR="009F08A3" w:rsidRPr="0019756D" w:rsidRDefault="004C050F" w:rsidP="0019756D">
      <w:pPr>
        <w:pStyle w:val="ListBullet"/>
      </w:pPr>
      <w:r w:rsidRPr="0019756D">
        <w:rPr>
          <w:rStyle w:val="Strong"/>
        </w:rPr>
        <w:t>Sustainability</w:t>
      </w:r>
      <w:r w:rsidR="007B0647" w:rsidRPr="0019756D">
        <w:t>:</w:t>
      </w:r>
      <w:r w:rsidRPr="0019756D">
        <w:t xml:space="preserve"> </w:t>
      </w:r>
      <w:r w:rsidR="007B0647" w:rsidRPr="0019756D">
        <w:t xml:space="preserve">the </w:t>
      </w:r>
      <w:r w:rsidRPr="0019756D">
        <w:t xml:space="preserve">extent to which the net </w:t>
      </w:r>
      <w:r w:rsidR="002A156F" w:rsidRPr="0019756D">
        <w:t xml:space="preserve">benefits </w:t>
      </w:r>
      <w:r w:rsidRPr="0019756D">
        <w:t>of the MPS Program are expected to continue or are likely to continue</w:t>
      </w:r>
      <w:r w:rsidR="006E7B7C" w:rsidRPr="0019756D">
        <w:t>; and</w:t>
      </w:r>
    </w:p>
    <w:p w14:paraId="6796EBA2" w14:textId="04D3594B" w:rsidR="006E7B7C" w:rsidRPr="0019756D" w:rsidRDefault="006E7B7C" w:rsidP="0019756D">
      <w:pPr>
        <w:pStyle w:val="ListBullet"/>
      </w:pPr>
      <w:r w:rsidRPr="0019756D">
        <w:rPr>
          <w:rStyle w:val="Strong"/>
        </w:rPr>
        <w:t>Effectiveness</w:t>
      </w:r>
      <w:r w:rsidRPr="0019756D">
        <w:t>: the extent to which the MPS Program achieves, or is expected to achieve, its expected outcomes, including any differential results across MMM 2-7.</w:t>
      </w:r>
    </w:p>
    <w:p w14:paraId="3E81CB96" w14:textId="6C4BDA92" w:rsidR="00AF58CD" w:rsidRPr="0095300A" w:rsidRDefault="006E7B7C" w:rsidP="0095300A">
      <w:pPr>
        <w:pStyle w:val="BodyText"/>
        <w:rPr>
          <w:rFonts w:cs="Arial"/>
          <w:szCs w:val="20"/>
        </w:rPr>
      </w:pPr>
      <w:r w:rsidRPr="002E2C1F">
        <w:rPr>
          <w:rFonts w:cs="Arial"/>
          <w:szCs w:val="20"/>
        </w:rPr>
        <w:t>To</w:t>
      </w:r>
      <w:r w:rsidR="002A156F" w:rsidRPr="002E2C1F">
        <w:rPr>
          <w:rFonts w:cs="Arial"/>
          <w:szCs w:val="20"/>
        </w:rPr>
        <w:t xml:space="preserve"> evaluate the </w:t>
      </w:r>
      <w:r w:rsidR="002E2AD5">
        <w:rPr>
          <w:rFonts w:cs="Arial"/>
          <w:szCs w:val="20"/>
        </w:rPr>
        <w:t>MPS Program</w:t>
      </w:r>
      <w:r w:rsidR="002A156F" w:rsidRPr="002E2C1F">
        <w:rPr>
          <w:rFonts w:cs="Arial"/>
          <w:szCs w:val="20"/>
        </w:rPr>
        <w:t xml:space="preserve"> against each of these domains of interest, a strength of evidence rubric </w:t>
      </w:r>
      <w:r w:rsidR="00AD103A">
        <w:rPr>
          <w:rFonts w:cs="Arial"/>
          <w:szCs w:val="20"/>
        </w:rPr>
        <w:t>has</w:t>
      </w:r>
      <w:r w:rsidR="002A156F" w:rsidRPr="002E2C1F">
        <w:rPr>
          <w:rFonts w:cs="Arial"/>
          <w:szCs w:val="20"/>
        </w:rPr>
        <w:t xml:space="preserve"> been used as a consistent framework throughout this report.</w:t>
      </w:r>
      <w:r w:rsidR="008123FC">
        <w:rPr>
          <w:rFonts w:cs="Arial"/>
          <w:szCs w:val="20"/>
        </w:rPr>
        <w:t xml:space="preserve"> </w:t>
      </w:r>
      <w:r w:rsidR="00AF58CD" w:rsidRPr="002E2C1F">
        <w:rPr>
          <w:lang w:val="en-US"/>
        </w:rPr>
        <w:t xml:space="preserve">The evaluation has applied the following guide in assessing the strength of evidence in determining the findings for each </w:t>
      </w:r>
      <w:r w:rsidR="00AF3CBC">
        <w:rPr>
          <w:lang w:val="en-US"/>
        </w:rPr>
        <w:t>KEQ</w:t>
      </w:r>
      <w:r w:rsidR="00AF58CD" w:rsidRPr="002E2C1F">
        <w:rPr>
          <w:lang w:val="en-US"/>
        </w:rPr>
        <w:t>:</w:t>
      </w:r>
    </w:p>
    <w:p w14:paraId="146C0998" w14:textId="6F255713" w:rsidR="00AF58CD" w:rsidRPr="0019756D" w:rsidRDefault="00AF58CD" w:rsidP="0019756D">
      <w:pPr>
        <w:pStyle w:val="ListBullet"/>
      </w:pPr>
      <w:r w:rsidRPr="0019756D">
        <w:rPr>
          <w:rStyle w:val="Strong"/>
        </w:rPr>
        <w:t xml:space="preserve">Sufficient evidence: </w:t>
      </w:r>
      <w:r w:rsidRPr="0019756D">
        <w:t xml:space="preserve">where the evidence is sufficient to draw a largely unqualified conclusion regarding the evaluation question because either there </w:t>
      </w:r>
      <w:proofErr w:type="gramStart"/>
      <w:r w:rsidRPr="0019756D">
        <w:t>is</w:t>
      </w:r>
      <w:proofErr w:type="gramEnd"/>
      <w:r w:rsidRPr="0019756D">
        <w:t xml:space="preserve"> a single source of quality data or multiple sources of data with no major quality issues</w:t>
      </w:r>
      <w:r w:rsidR="00F27169" w:rsidRPr="0019756D">
        <w:t>,</w:t>
      </w:r>
      <w:r w:rsidRPr="0019756D">
        <w:t xml:space="preserve"> and which consistently point to the conclusion reached</w:t>
      </w:r>
      <w:r w:rsidR="00F27169" w:rsidRPr="0019756D">
        <w:t>.</w:t>
      </w:r>
    </w:p>
    <w:p w14:paraId="0FB8C65E" w14:textId="068A5E14" w:rsidR="00AF58CD" w:rsidRPr="0019756D" w:rsidRDefault="00AF58CD" w:rsidP="0019756D">
      <w:pPr>
        <w:pStyle w:val="ListBullet"/>
      </w:pPr>
      <w:r w:rsidRPr="0019756D">
        <w:rPr>
          <w:rStyle w:val="Strong"/>
        </w:rPr>
        <w:t>Some evidence</w:t>
      </w:r>
      <w:r w:rsidRPr="0019756D">
        <w:t>: where the evidence suggests the observation is true but there are data limitations, such that the finding is qualified and further and/or different data (which may have been unavailable to this evaluation) would need to be sourced to be more confident in the conclusion reached</w:t>
      </w:r>
      <w:r w:rsidR="00F27169" w:rsidRPr="0019756D">
        <w:t>.</w:t>
      </w:r>
    </w:p>
    <w:p w14:paraId="3E9EB5D4" w14:textId="0547E795" w:rsidR="00AF58CD" w:rsidRPr="0019756D" w:rsidRDefault="00AF58CD" w:rsidP="0019756D">
      <w:pPr>
        <w:pStyle w:val="ListBullet"/>
      </w:pPr>
      <w:r w:rsidRPr="0019756D">
        <w:rPr>
          <w:rStyle w:val="Strong"/>
        </w:rPr>
        <w:t>Weak evidence</w:t>
      </w:r>
      <w:r w:rsidRPr="0019756D">
        <w:t>: where the evidence is indicative of a finding but there are major shortcomings in the data such that limited confidence can be placed on the conclusion</w:t>
      </w:r>
      <w:r w:rsidR="00F27169" w:rsidRPr="0019756D">
        <w:t>.</w:t>
      </w:r>
    </w:p>
    <w:p w14:paraId="69B249E6" w14:textId="77777777" w:rsidR="00AF58CD" w:rsidRPr="0019756D" w:rsidRDefault="00AF58CD" w:rsidP="0019756D">
      <w:pPr>
        <w:pStyle w:val="ListBullet"/>
      </w:pPr>
      <w:r w:rsidRPr="0019756D">
        <w:rPr>
          <w:rStyle w:val="Strong"/>
        </w:rPr>
        <w:t>No evidence</w:t>
      </w:r>
      <w:r w:rsidRPr="0019756D">
        <w:t xml:space="preserve">: where no data exists upon which to make any finding. </w:t>
      </w:r>
    </w:p>
    <w:p w14:paraId="6F74E686" w14:textId="56E152A2" w:rsidR="001D4050" w:rsidRPr="001D4050" w:rsidRDefault="001D4050" w:rsidP="001D4050">
      <w:pPr>
        <w:spacing w:before="0" w:after="160" w:line="259" w:lineRule="auto"/>
        <w:rPr>
          <w:rFonts w:cs="Arial"/>
          <w:szCs w:val="20"/>
        </w:rPr>
      </w:pPr>
      <w:r w:rsidRPr="001D4050">
        <w:rPr>
          <w:rFonts w:cs="Calibri"/>
          <w:lang w:val="en-US"/>
        </w:rPr>
        <w:t xml:space="preserve">The strength of evidence assessments </w:t>
      </w:r>
      <w:proofErr w:type="gramStart"/>
      <w:r w:rsidRPr="001D4050">
        <w:rPr>
          <w:rFonts w:cs="Calibri"/>
          <w:lang w:val="en-US"/>
        </w:rPr>
        <w:t>were</w:t>
      </w:r>
      <w:proofErr w:type="gramEnd"/>
      <w:r w:rsidRPr="001D4050">
        <w:rPr>
          <w:rFonts w:cs="Calibri"/>
          <w:lang w:val="en-US"/>
        </w:rPr>
        <w:t xml:space="preserve"> reviewed by multiple reviewers, with any differences resolved through discussion amongst the evaluation team.</w:t>
      </w:r>
    </w:p>
    <w:p w14:paraId="1A5AFD82" w14:textId="37A3FE7F" w:rsidR="00657C38" w:rsidRPr="00AE349D" w:rsidRDefault="00657C38" w:rsidP="00AE349D">
      <w:pPr>
        <w:pStyle w:val="Heading3"/>
      </w:pPr>
      <w:bookmarkStart w:id="36" w:name="_Toc216711568"/>
      <w:r w:rsidRPr="00AE349D">
        <w:t>Project Steering Group</w:t>
      </w:r>
      <w:bookmarkEnd w:id="36"/>
    </w:p>
    <w:p w14:paraId="0C917B90" w14:textId="532FE482" w:rsidR="000B6A66" w:rsidRPr="000B6A66" w:rsidRDefault="000B6A66" w:rsidP="00DC27F5">
      <w:pPr>
        <w:pStyle w:val="BodyText"/>
      </w:pPr>
      <w:r>
        <w:t>As part of this evaluation</w:t>
      </w:r>
      <w:r w:rsidR="005E0EB1">
        <w:t>,</w:t>
      </w:r>
      <w:r>
        <w:t xml:space="preserve"> a Project Sterring Group (PSG</w:t>
      </w:r>
      <w:r w:rsidR="000667C5">
        <w:t>) was established</w:t>
      </w:r>
      <w:r w:rsidR="00657512" w:rsidRPr="00657512">
        <w:rPr>
          <w:rFonts w:cstheme="minorHAnsi"/>
        </w:rPr>
        <w:t xml:space="preserve"> </w:t>
      </w:r>
      <w:r w:rsidR="00657512" w:rsidRPr="00BC07CC">
        <w:rPr>
          <w:rFonts w:cstheme="minorHAnsi"/>
        </w:rPr>
        <w:t xml:space="preserve">as a time-limited group to provide specific advice to the Department and </w:t>
      </w:r>
      <w:r w:rsidR="00657512">
        <w:rPr>
          <w:rFonts w:cstheme="minorHAnsi"/>
        </w:rPr>
        <w:t>to KPMG</w:t>
      </w:r>
      <w:r w:rsidR="000667C5">
        <w:t xml:space="preserve">. </w:t>
      </w:r>
      <w:r w:rsidR="003D5D63">
        <w:t>The role of the PSG was to oversee the evaluation and provide key insights</w:t>
      </w:r>
      <w:r w:rsidR="00BE51AE">
        <w:t xml:space="preserve"> at various points throughout the evaluation. </w:t>
      </w:r>
      <w:r w:rsidR="000667C5">
        <w:t xml:space="preserve">The </w:t>
      </w:r>
      <w:r w:rsidR="003165AB">
        <w:t>T</w:t>
      </w:r>
      <w:r w:rsidR="004E0270">
        <w:t xml:space="preserve">erms of </w:t>
      </w:r>
      <w:r w:rsidR="003165AB">
        <w:t>R</w:t>
      </w:r>
      <w:r w:rsidR="004E0270">
        <w:t xml:space="preserve">eference for the PSG </w:t>
      </w:r>
      <w:r w:rsidR="00DB485D">
        <w:t>were</w:t>
      </w:r>
      <w:r w:rsidR="00752C71">
        <w:t xml:space="preserve"> to</w:t>
      </w:r>
      <w:r w:rsidR="00DB485D">
        <w:t>:</w:t>
      </w:r>
    </w:p>
    <w:p w14:paraId="3D2FBC2C" w14:textId="0CE9A55D" w:rsidR="008213D6" w:rsidRPr="0019756D" w:rsidRDefault="008213D6" w:rsidP="0019756D">
      <w:pPr>
        <w:pStyle w:val="ListBullet"/>
      </w:pPr>
      <w:r w:rsidRPr="0019756D">
        <w:t>Provide advice, information and guidance to the department that will assist in the delivery of the MPS</w:t>
      </w:r>
      <w:r w:rsidR="00752C71" w:rsidRPr="0019756D">
        <w:t xml:space="preserve"> Program</w:t>
      </w:r>
      <w:r w:rsidRPr="0019756D">
        <w:t xml:space="preserve"> </w:t>
      </w:r>
      <w:proofErr w:type="gramStart"/>
      <w:r w:rsidRPr="0019756D">
        <w:t>evaluation</w:t>
      </w:r>
      <w:r w:rsidR="003165AB" w:rsidRPr="0019756D">
        <w:t>;</w:t>
      </w:r>
      <w:proofErr w:type="gramEnd"/>
      <w:r w:rsidRPr="0019756D">
        <w:t xml:space="preserve"> </w:t>
      </w:r>
    </w:p>
    <w:p w14:paraId="6B52CA8F" w14:textId="28197EE8" w:rsidR="008213D6" w:rsidRPr="0019756D" w:rsidRDefault="008213D6" w:rsidP="0019756D">
      <w:pPr>
        <w:pStyle w:val="ListBullet"/>
      </w:pPr>
      <w:r w:rsidRPr="0019756D">
        <w:t xml:space="preserve">Provide feedback on key deliverables during the evaluation process, including to comment on the Evaluation Framework, Methodology, Stakeholder Consultation and Data Management </w:t>
      </w:r>
      <w:proofErr w:type="gramStart"/>
      <w:r w:rsidRPr="0019756D">
        <w:t>Plans</w:t>
      </w:r>
      <w:r w:rsidR="003165AB" w:rsidRPr="0019756D">
        <w:t>;</w:t>
      </w:r>
      <w:proofErr w:type="gramEnd"/>
    </w:p>
    <w:p w14:paraId="6231C356" w14:textId="59F06C8F" w:rsidR="008213D6" w:rsidRPr="0019756D" w:rsidRDefault="008213D6" w:rsidP="0019756D">
      <w:pPr>
        <w:pStyle w:val="ListBullet"/>
      </w:pPr>
      <w:r w:rsidRPr="0019756D">
        <w:t xml:space="preserve">If required, provide technical, programmatic, and related input into the data strategy developed to collect information to inform the evaluation </w:t>
      </w:r>
      <w:proofErr w:type="gramStart"/>
      <w:r w:rsidRPr="0019756D">
        <w:t>outcomes</w:t>
      </w:r>
      <w:r w:rsidR="003165AB" w:rsidRPr="0019756D">
        <w:t>;</w:t>
      </w:r>
      <w:proofErr w:type="gramEnd"/>
    </w:p>
    <w:p w14:paraId="2A1FAFF5" w14:textId="3E36B33A" w:rsidR="008213D6" w:rsidRPr="0019756D" w:rsidRDefault="008213D6" w:rsidP="0019756D">
      <w:pPr>
        <w:pStyle w:val="ListBullet"/>
      </w:pPr>
      <w:r w:rsidRPr="0019756D">
        <w:t xml:space="preserve">If necessary, assist the department where possible in seeking sector specific advice where that advice may not already be present on the </w:t>
      </w:r>
      <w:proofErr w:type="gramStart"/>
      <w:r w:rsidRPr="0019756D">
        <w:t>PSG</w:t>
      </w:r>
      <w:r w:rsidR="003165AB" w:rsidRPr="0019756D">
        <w:t>;</w:t>
      </w:r>
      <w:proofErr w:type="gramEnd"/>
    </w:p>
    <w:p w14:paraId="1CAE0B32" w14:textId="22DE1DA1" w:rsidR="008213D6" w:rsidRPr="0019756D" w:rsidRDefault="008213D6" w:rsidP="0019756D">
      <w:pPr>
        <w:pStyle w:val="ListBullet"/>
      </w:pPr>
      <w:r w:rsidRPr="0019756D">
        <w:t>Monitor progress and provide advice on any issues that may present a risk to the project or have impact on the project rationale or success</w:t>
      </w:r>
      <w:r w:rsidR="003165AB" w:rsidRPr="0019756D">
        <w:t>; and</w:t>
      </w:r>
    </w:p>
    <w:p w14:paraId="6BA3E350" w14:textId="7334A408" w:rsidR="008213D6" w:rsidRPr="0019756D" w:rsidRDefault="008213D6" w:rsidP="0019756D">
      <w:pPr>
        <w:pStyle w:val="ListBullet"/>
      </w:pPr>
      <w:r w:rsidRPr="0019756D">
        <w:t>Suggest solutions to issues arising critical to project success.</w:t>
      </w:r>
    </w:p>
    <w:p w14:paraId="1B302F3F" w14:textId="5B39E2B3" w:rsidR="001B6C16" w:rsidRPr="008F0019" w:rsidRDefault="006D57AB" w:rsidP="0019756D">
      <w:pPr>
        <w:rPr>
          <w:rFonts w:cs="Arial"/>
          <w:szCs w:val="20"/>
        </w:rPr>
      </w:pPr>
      <w:r>
        <w:rPr>
          <w:rFonts w:cs="Arial"/>
          <w:szCs w:val="20"/>
        </w:rPr>
        <w:t xml:space="preserve">The PSG </w:t>
      </w:r>
      <w:r w:rsidR="00B66EB9">
        <w:rPr>
          <w:rFonts w:cs="Arial"/>
          <w:szCs w:val="20"/>
        </w:rPr>
        <w:t>comprised</w:t>
      </w:r>
      <w:r>
        <w:rPr>
          <w:rFonts w:cs="Arial"/>
          <w:szCs w:val="20"/>
        </w:rPr>
        <w:t xml:space="preserve"> representatives from the Department</w:t>
      </w:r>
      <w:r w:rsidR="00572C97">
        <w:rPr>
          <w:rFonts w:cs="Arial"/>
          <w:szCs w:val="20"/>
        </w:rPr>
        <w:t xml:space="preserve">, including the </w:t>
      </w:r>
      <w:r w:rsidR="006E2A1C">
        <w:rPr>
          <w:rFonts w:cs="Arial"/>
          <w:szCs w:val="20"/>
        </w:rPr>
        <w:t>project team, representatives from the Health Econo</w:t>
      </w:r>
      <w:r w:rsidR="001E5E1F">
        <w:rPr>
          <w:rFonts w:cs="Arial"/>
          <w:szCs w:val="20"/>
        </w:rPr>
        <w:t>mics and Research Division</w:t>
      </w:r>
      <w:r w:rsidR="0086464A">
        <w:rPr>
          <w:rFonts w:cs="Arial"/>
          <w:szCs w:val="20"/>
        </w:rPr>
        <w:t xml:space="preserve"> and workforce branch, </w:t>
      </w:r>
      <w:r w:rsidR="00B112E8">
        <w:rPr>
          <w:rFonts w:cs="Arial"/>
          <w:szCs w:val="20"/>
        </w:rPr>
        <w:t xml:space="preserve">the KPMG project leadership team and representatives from ACPSEM. </w:t>
      </w:r>
      <w:r w:rsidR="005E6141">
        <w:rPr>
          <w:rFonts w:cs="Arial"/>
          <w:szCs w:val="20"/>
        </w:rPr>
        <w:t>The</w:t>
      </w:r>
      <w:r w:rsidR="00B112E8">
        <w:rPr>
          <w:rFonts w:cs="Arial"/>
          <w:szCs w:val="20"/>
        </w:rPr>
        <w:t xml:space="preserve"> PSG </w:t>
      </w:r>
      <w:r w:rsidR="005E6141">
        <w:rPr>
          <w:rFonts w:cs="Arial"/>
          <w:szCs w:val="20"/>
        </w:rPr>
        <w:t xml:space="preserve">came </w:t>
      </w:r>
      <w:r w:rsidR="00B112E8">
        <w:rPr>
          <w:rFonts w:cs="Arial"/>
          <w:szCs w:val="20"/>
        </w:rPr>
        <w:t xml:space="preserve">together </w:t>
      </w:r>
      <w:r w:rsidR="002133A1">
        <w:rPr>
          <w:rFonts w:cs="Arial"/>
          <w:szCs w:val="20"/>
        </w:rPr>
        <w:t>three time</w:t>
      </w:r>
      <w:r w:rsidR="005E6141">
        <w:rPr>
          <w:rFonts w:cs="Arial"/>
          <w:szCs w:val="20"/>
        </w:rPr>
        <w:t>s</w:t>
      </w:r>
      <w:r w:rsidR="00B112E8">
        <w:rPr>
          <w:rFonts w:cs="Arial"/>
          <w:szCs w:val="20"/>
        </w:rPr>
        <w:t xml:space="preserve"> </w:t>
      </w:r>
      <w:r w:rsidR="005E6141">
        <w:rPr>
          <w:rFonts w:cs="Arial"/>
          <w:szCs w:val="20"/>
        </w:rPr>
        <w:t xml:space="preserve">over the course of the evaluation </w:t>
      </w:r>
      <w:r w:rsidR="00B112E8">
        <w:rPr>
          <w:rFonts w:cs="Arial"/>
          <w:szCs w:val="20"/>
        </w:rPr>
        <w:t>to discuss data collection, project progress</w:t>
      </w:r>
      <w:r w:rsidR="009B6D95">
        <w:rPr>
          <w:rFonts w:cs="Arial"/>
          <w:szCs w:val="20"/>
        </w:rPr>
        <w:t xml:space="preserve">, evaluation </w:t>
      </w:r>
      <w:r w:rsidR="00D6598F">
        <w:rPr>
          <w:rFonts w:cs="Arial"/>
          <w:szCs w:val="20"/>
        </w:rPr>
        <w:t>findings</w:t>
      </w:r>
      <w:r w:rsidR="009B6D95">
        <w:rPr>
          <w:rFonts w:cs="Arial"/>
          <w:szCs w:val="20"/>
        </w:rPr>
        <w:t>,</w:t>
      </w:r>
      <w:r w:rsidR="00B112E8">
        <w:rPr>
          <w:rFonts w:cs="Arial"/>
          <w:szCs w:val="20"/>
        </w:rPr>
        <w:t xml:space="preserve"> and </w:t>
      </w:r>
      <w:r w:rsidR="00947B52">
        <w:rPr>
          <w:rFonts w:cs="Arial"/>
          <w:szCs w:val="20"/>
        </w:rPr>
        <w:t>other items to develop a shared understanding of the nuances present within the MPS Progr</w:t>
      </w:r>
      <w:r w:rsidR="002E2498">
        <w:rPr>
          <w:rFonts w:cs="Arial"/>
          <w:szCs w:val="20"/>
        </w:rPr>
        <w:t>am</w:t>
      </w:r>
      <w:r w:rsidR="00415499">
        <w:rPr>
          <w:rFonts w:cs="Arial"/>
          <w:szCs w:val="20"/>
        </w:rPr>
        <w:t xml:space="preserve"> and </w:t>
      </w:r>
      <w:r w:rsidR="002E2498">
        <w:rPr>
          <w:rFonts w:cs="Arial"/>
          <w:szCs w:val="20"/>
        </w:rPr>
        <w:t>to test key evaluation findings.</w:t>
      </w:r>
    </w:p>
    <w:p w14:paraId="16C535B2" w14:textId="77777777" w:rsidR="00267F62" w:rsidRPr="00AE349D" w:rsidRDefault="00D32009" w:rsidP="00AE349D">
      <w:pPr>
        <w:pStyle w:val="Heading3"/>
      </w:pPr>
      <w:bookmarkStart w:id="37" w:name="_Ref184199303"/>
      <w:bookmarkStart w:id="38" w:name="_Toc216711569"/>
      <w:r w:rsidRPr="00AE349D">
        <w:t>Data limitations</w:t>
      </w:r>
      <w:bookmarkEnd w:id="37"/>
      <w:bookmarkEnd w:id="38"/>
    </w:p>
    <w:p w14:paraId="60D9638F" w14:textId="5224CC42" w:rsidR="00E4401E" w:rsidRPr="0019756D" w:rsidRDefault="00267F62" w:rsidP="0019756D">
      <w:r w:rsidRPr="0019756D">
        <w:t xml:space="preserve">There were several </w:t>
      </w:r>
      <w:r w:rsidR="00DD1BA7" w:rsidRPr="0019756D">
        <w:t>data limitations including:</w:t>
      </w:r>
    </w:p>
    <w:p w14:paraId="14BE1E21" w14:textId="3A249226" w:rsidR="00DD4C5A" w:rsidRPr="0019756D" w:rsidRDefault="004954AF" w:rsidP="0019756D">
      <w:pPr>
        <w:pStyle w:val="ListBullet"/>
      </w:pPr>
      <w:r w:rsidRPr="0019756D">
        <w:rPr>
          <w:rStyle w:val="Strong"/>
        </w:rPr>
        <w:t>Information availability</w:t>
      </w:r>
      <w:r w:rsidR="0027524C" w:rsidRPr="0019756D">
        <w:t xml:space="preserve">: </w:t>
      </w:r>
      <w:r w:rsidR="00784926" w:rsidRPr="0019756D">
        <w:t>t</w:t>
      </w:r>
      <w:r w:rsidR="0059249B" w:rsidRPr="0019756D">
        <w:t xml:space="preserve">his evaluation </w:t>
      </w:r>
      <w:r w:rsidR="00C65692" w:rsidRPr="0019756D">
        <w:t xml:space="preserve">relied on historical data and information provided by ACPSEM to the Department as part of reporting requirements under the Grant Agreement. As the evaluation progressed, </w:t>
      </w:r>
      <w:proofErr w:type="gramStart"/>
      <w:r w:rsidR="00C65692" w:rsidRPr="0019756D">
        <w:t>a number of</w:t>
      </w:r>
      <w:proofErr w:type="gramEnd"/>
      <w:r w:rsidR="00C65692" w:rsidRPr="0019756D">
        <w:t xml:space="preserve"> gaps in</w:t>
      </w:r>
      <w:r w:rsidR="0027524C" w:rsidRPr="0019756D">
        <w:t xml:space="preserve"> </w:t>
      </w:r>
      <w:r w:rsidR="00DE75A9" w:rsidRPr="0019756D">
        <w:t xml:space="preserve">data and information were identified to support an assessment of the Program against the agreed KEQs. </w:t>
      </w:r>
      <w:r w:rsidR="00E106F7" w:rsidRPr="0019756D">
        <w:t xml:space="preserve">These gaps were addressed through additional </w:t>
      </w:r>
      <w:r w:rsidR="00DF11BD" w:rsidRPr="0019756D">
        <w:t>desktop scan</w:t>
      </w:r>
      <w:r w:rsidR="00B43E2E" w:rsidRPr="0019756D">
        <w:t>s</w:t>
      </w:r>
      <w:r w:rsidR="00DF11BD" w:rsidRPr="0019756D">
        <w:t xml:space="preserve"> and requests</w:t>
      </w:r>
      <w:r w:rsidR="005E31E8" w:rsidRPr="0019756D">
        <w:t xml:space="preserve"> to ACPSEM (including for data relating to </w:t>
      </w:r>
      <w:r w:rsidR="00953084" w:rsidRPr="0019756D">
        <w:t>new enrolments, drop-outs</w:t>
      </w:r>
      <w:r w:rsidR="00B43E2E" w:rsidRPr="0019756D">
        <w:t>,</w:t>
      </w:r>
      <w:r w:rsidR="001E0B2B" w:rsidRPr="0019756D">
        <w:t xml:space="preserve"> </w:t>
      </w:r>
      <w:r w:rsidR="00A836F0" w:rsidRPr="0019756D">
        <w:t xml:space="preserve">and </w:t>
      </w:r>
      <w:r w:rsidR="00953084" w:rsidRPr="0019756D">
        <w:t>registrations over time</w:t>
      </w:r>
      <w:r w:rsidR="005E31E8" w:rsidRPr="0019756D">
        <w:t>)</w:t>
      </w:r>
      <w:r w:rsidR="00953084" w:rsidRPr="0019756D">
        <w:t xml:space="preserve">. </w:t>
      </w:r>
      <w:r w:rsidR="005E31E8" w:rsidRPr="0019756D">
        <w:t>However,</w:t>
      </w:r>
      <w:r w:rsidR="00393283" w:rsidRPr="0019756D">
        <w:t xml:space="preserve"> </w:t>
      </w:r>
      <w:r w:rsidR="00F5605A" w:rsidRPr="0019756D">
        <w:t>there remained some data gaps</w:t>
      </w:r>
      <w:r w:rsidR="005E31E8" w:rsidRPr="0019756D">
        <w:t>,</w:t>
      </w:r>
      <w:r w:rsidR="00953084" w:rsidRPr="0019756D">
        <w:t xml:space="preserve"> </w:t>
      </w:r>
      <w:r w:rsidR="00393283" w:rsidRPr="0019756D">
        <w:t xml:space="preserve">including </w:t>
      </w:r>
      <w:r w:rsidR="008316B8" w:rsidRPr="0019756D">
        <w:t>data relating to</w:t>
      </w:r>
      <w:r w:rsidR="008D02ED" w:rsidRPr="0019756D">
        <w:t xml:space="preserve"> MMM of </w:t>
      </w:r>
      <w:r w:rsidR="00B43E2E" w:rsidRPr="0019756D">
        <w:t>Registrars</w:t>
      </w:r>
      <w:r w:rsidR="008D02ED" w:rsidRPr="0019756D">
        <w:t xml:space="preserve"> and facilities</w:t>
      </w:r>
      <w:r w:rsidR="00097FD4" w:rsidRPr="0019756D">
        <w:t xml:space="preserve"> who received grants</w:t>
      </w:r>
      <w:r w:rsidR="008D02ED" w:rsidRPr="0019756D">
        <w:t xml:space="preserve">. </w:t>
      </w:r>
    </w:p>
    <w:p w14:paraId="1D1A3D6D" w14:textId="609D0584" w:rsidR="00B6284B" w:rsidRPr="0019756D" w:rsidRDefault="0053615B" w:rsidP="0019756D">
      <w:pPr>
        <w:pStyle w:val="ListBullet"/>
      </w:pPr>
      <w:r w:rsidRPr="0019756D">
        <w:rPr>
          <w:rStyle w:val="Strong"/>
        </w:rPr>
        <w:t>Third party information</w:t>
      </w:r>
      <w:r w:rsidR="00B6284B" w:rsidRPr="0019756D">
        <w:t xml:space="preserve">: </w:t>
      </w:r>
      <w:r w:rsidR="00784926" w:rsidRPr="0019756D">
        <w:t>i</w:t>
      </w:r>
      <w:r w:rsidR="009915A8" w:rsidRPr="0019756D">
        <w:t xml:space="preserve">nformation </w:t>
      </w:r>
      <w:r w:rsidR="00AF7E39" w:rsidRPr="0019756D">
        <w:t xml:space="preserve">provided </w:t>
      </w:r>
      <w:r w:rsidR="00EC4C90" w:rsidRPr="0019756D">
        <w:t>b</w:t>
      </w:r>
      <w:r w:rsidR="001A7D97" w:rsidRPr="0019756D">
        <w:t>y the Department and ACPSEM</w:t>
      </w:r>
      <w:r w:rsidR="00503205" w:rsidRPr="0019756D">
        <w:t xml:space="preserve"> were not </w:t>
      </w:r>
      <w:r w:rsidR="0095410D" w:rsidRPr="0019756D">
        <w:t xml:space="preserve">subjected </w:t>
      </w:r>
      <w:r w:rsidR="00C0344E" w:rsidRPr="0019756D">
        <w:t xml:space="preserve">to </w:t>
      </w:r>
      <w:r w:rsidR="003405FE" w:rsidRPr="0019756D">
        <w:t>examination</w:t>
      </w:r>
      <w:r w:rsidR="009C75EC" w:rsidRPr="0019756D">
        <w:t xml:space="preserve"> and were taken as correct</w:t>
      </w:r>
      <w:r w:rsidR="00C17D96" w:rsidRPr="0019756D">
        <w:t xml:space="preserve"> for the purpose of this review. </w:t>
      </w:r>
    </w:p>
    <w:p w14:paraId="17D714F7" w14:textId="5152E281" w:rsidR="00E50EB0" w:rsidRPr="0019756D" w:rsidRDefault="001809FD" w:rsidP="0019756D">
      <w:pPr>
        <w:pStyle w:val="ListBullet"/>
      </w:pPr>
      <w:r w:rsidRPr="0019756D">
        <w:rPr>
          <w:rStyle w:val="Strong"/>
        </w:rPr>
        <w:t>Multiple data sources</w:t>
      </w:r>
      <w:r w:rsidR="003A711E" w:rsidRPr="0019756D">
        <w:t xml:space="preserve">: </w:t>
      </w:r>
      <w:r w:rsidR="00784926" w:rsidRPr="0019756D">
        <w:t>d</w:t>
      </w:r>
      <w:r w:rsidR="00EF5A36" w:rsidRPr="0019756D">
        <w:t>ue to</w:t>
      </w:r>
      <w:r w:rsidR="00D41355" w:rsidRPr="0019756D">
        <w:t xml:space="preserve"> information availability </w:t>
      </w:r>
      <w:r w:rsidR="00097D17" w:rsidRPr="0019756D">
        <w:t xml:space="preserve">limitations, analysis </w:t>
      </w:r>
      <w:r w:rsidR="00385482" w:rsidRPr="0019756D">
        <w:t>undertaken</w:t>
      </w:r>
      <w:r w:rsidR="004C3453" w:rsidRPr="0019756D">
        <w:t xml:space="preserve"> drew </w:t>
      </w:r>
      <w:r w:rsidR="00C92DFF" w:rsidRPr="0019756D">
        <w:t>from multiple data sources</w:t>
      </w:r>
      <w:r w:rsidR="0078358D" w:rsidRPr="0019756D">
        <w:t xml:space="preserve"> to bridge data gaps from one source. </w:t>
      </w:r>
      <w:r w:rsidR="00E50EB0" w:rsidRPr="0019756D">
        <w:t xml:space="preserve">Some examples of this include: </w:t>
      </w:r>
    </w:p>
    <w:p w14:paraId="7A817880" w14:textId="659A65A1" w:rsidR="00793910" w:rsidRPr="0019756D" w:rsidRDefault="00793910" w:rsidP="0019756D">
      <w:pPr>
        <w:pStyle w:val="ListBullet2"/>
      </w:pPr>
      <w:r>
        <w:rPr>
          <w:rFonts w:cs="Arial"/>
        </w:rPr>
        <w:t>Using the Financial a</w:t>
      </w:r>
      <w:r w:rsidRPr="0019756D">
        <w:t>cquittal report to understand funding amounts for the 2021 period</w:t>
      </w:r>
      <w:r w:rsidR="00F51BB4" w:rsidRPr="0019756D">
        <w:t xml:space="preserve">; and </w:t>
      </w:r>
    </w:p>
    <w:p w14:paraId="6C52009A" w14:textId="05C1CA4D" w:rsidR="00E50EB0" w:rsidRPr="0019756D" w:rsidRDefault="005D237C" w:rsidP="0019756D">
      <w:pPr>
        <w:pStyle w:val="ListBullet2"/>
      </w:pPr>
      <w:r w:rsidRPr="0019756D">
        <w:t xml:space="preserve">Cross-referencing ACPSEM provided Registrar and Workforce datasets to obtain a </w:t>
      </w:r>
      <w:r w:rsidR="006278CC" w:rsidRPr="0019756D">
        <w:t xml:space="preserve">more holistic impact of the program. </w:t>
      </w:r>
    </w:p>
    <w:p w14:paraId="2EE06567" w14:textId="2807834A" w:rsidR="00DD1BA7" w:rsidRPr="0019756D" w:rsidRDefault="009858A4" w:rsidP="0019756D">
      <w:r w:rsidRPr="0019756D">
        <w:t xml:space="preserve">Where information provided was misaligned, </w:t>
      </w:r>
      <w:r w:rsidR="00CD6301" w:rsidRPr="0019756D">
        <w:t>data p</w:t>
      </w:r>
      <w:r w:rsidR="00252D61" w:rsidRPr="0019756D">
        <w:t xml:space="preserve">rovided by the Department was taken as </w:t>
      </w:r>
      <w:r w:rsidR="00890888" w:rsidRPr="0019756D">
        <w:t>the source of truth.</w:t>
      </w:r>
      <w:r w:rsidR="004C3453" w:rsidRPr="0019756D">
        <w:t xml:space="preserve"> To ensure transparency, sources have been provided after each table and figure within this report. </w:t>
      </w:r>
    </w:p>
    <w:p w14:paraId="246476AA" w14:textId="0FEE520D" w:rsidR="009A7906" w:rsidRDefault="006E4AB0" w:rsidP="0019756D">
      <w:pPr>
        <w:pStyle w:val="ListBullet"/>
      </w:pPr>
      <w:r w:rsidRPr="0019756D">
        <w:rPr>
          <w:rStyle w:val="Strong"/>
        </w:rPr>
        <w:t xml:space="preserve">Stakeholder </w:t>
      </w:r>
      <w:r w:rsidR="00C53C39" w:rsidRPr="0019756D">
        <w:rPr>
          <w:rStyle w:val="Strong"/>
        </w:rPr>
        <w:t xml:space="preserve">consultation pool: </w:t>
      </w:r>
      <w:r w:rsidR="000528C4">
        <w:t xml:space="preserve">contacts of </w:t>
      </w:r>
      <w:r w:rsidR="00784926">
        <w:t>s</w:t>
      </w:r>
      <w:r w:rsidR="00367156" w:rsidRPr="00264D50">
        <w:t>takeholders consult</w:t>
      </w:r>
      <w:r w:rsidR="000528C4">
        <w:t>ed</w:t>
      </w:r>
      <w:r w:rsidR="00367156" w:rsidRPr="00264D50">
        <w:t xml:space="preserve"> with (see </w:t>
      </w:r>
      <w:r w:rsidR="00367156" w:rsidRPr="00DC27F5">
        <w:t xml:space="preserve">Appendix </w:t>
      </w:r>
      <w:r w:rsidR="0048638F" w:rsidRPr="00DC27F5">
        <w:t>E</w:t>
      </w:r>
      <w:r w:rsidR="00367156" w:rsidRPr="00DC27F5">
        <w:t>)</w:t>
      </w:r>
      <w:r w:rsidR="00367156" w:rsidRPr="00264D50">
        <w:t xml:space="preserve"> where</w:t>
      </w:r>
      <w:r w:rsidR="00367156">
        <w:t xml:space="preserve"> provided by ACPSEM</w:t>
      </w:r>
      <w:r w:rsidR="00301351">
        <w:t>, with many</w:t>
      </w:r>
      <w:r w:rsidR="001627D5">
        <w:t xml:space="preserve"> stakeholders</w:t>
      </w:r>
      <w:r w:rsidR="00301351">
        <w:t xml:space="preserve"> </w:t>
      </w:r>
      <w:r w:rsidR="002E735B">
        <w:t xml:space="preserve">having roles within </w:t>
      </w:r>
      <w:r w:rsidR="00834482">
        <w:t>ACPSEM</w:t>
      </w:r>
      <w:r w:rsidR="002E735B">
        <w:t xml:space="preserve">. </w:t>
      </w:r>
      <w:r w:rsidR="000E22ED">
        <w:t xml:space="preserve">Additionally, </w:t>
      </w:r>
      <w:r w:rsidR="001627D5">
        <w:t xml:space="preserve">consultations with </w:t>
      </w:r>
      <w:r w:rsidR="000E22ED">
        <w:t xml:space="preserve">stakeholders </w:t>
      </w:r>
      <w:r w:rsidR="00B8536F">
        <w:t xml:space="preserve">were </w:t>
      </w:r>
      <w:r w:rsidR="001A2062">
        <w:t>predominantly</w:t>
      </w:r>
      <w:r w:rsidR="00B8536F">
        <w:t xml:space="preserve"> </w:t>
      </w:r>
      <w:r w:rsidR="001627D5">
        <w:t xml:space="preserve">focused on </w:t>
      </w:r>
      <w:r w:rsidR="00B8536F">
        <w:t xml:space="preserve">TEAP, with </w:t>
      </w:r>
      <w:proofErr w:type="gramStart"/>
      <w:r w:rsidR="006D19C1">
        <w:t xml:space="preserve">the </w:t>
      </w:r>
      <w:r w:rsidR="001A2062">
        <w:t xml:space="preserve">majority </w:t>
      </w:r>
      <w:r w:rsidR="006D19C1">
        <w:t>of</w:t>
      </w:r>
      <w:proofErr w:type="gramEnd"/>
      <w:r w:rsidR="006D19C1">
        <w:t xml:space="preserve"> stakeholders </w:t>
      </w:r>
      <w:r w:rsidR="005A6EFF">
        <w:t xml:space="preserve">either </w:t>
      </w:r>
      <w:r w:rsidR="00CE2842">
        <w:t>having completed or currently</w:t>
      </w:r>
      <w:r w:rsidR="005A6EFF">
        <w:t xml:space="preserve"> undertak</w:t>
      </w:r>
      <w:r w:rsidR="00CE2842">
        <w:t>ing</w:t>
      </w:r>
      <w:r w:rsidR="005A6EFF">
        <w:t xml:space="preserve"> TEAP</w:t>
      </w:r>
      <w:r w:rsidR="001D6835">
        <w:t xml:space="preserve"> to become certified. </w:t>
      </w:r>
      <w:r w:rsidR="002244CE">
        <w:t>Stakeholders engaged in consultation who were not involved with TEAP include o</w:t>
      </w:r>
      <w:r w:rsidR="001D6835">
        <w:t xml:space="preserve">ne facility head of department </w:t>
      </w:r>
      <w:r w:rsidR="002244CE">
        <w:t xml:space="preserve">who </w:t>
      </w:r>
      <w:r w:rsidR="001D6835">
        <w:t xml:space="preserve">was uncertified and </w:t>
      </w:r>
      <w:r w:rsidR="00082725">
        <w:t>unregistered</w:t>
      </w:r>
      <w:r w:rsidR="002244CE">
        <w:t>,</w:t>
      </w:r>
      <w:r w:rsidR="001D6835">
        <w:t xml:space="preserve"> </w:t>
      </w:r>
      <w:r w:rsidR="00082725">
        <w:t xml:space="preserve">and another </w:t>
      </w:r>
      <w:r w:rsidR="0053176C">
        <w:t xml:space="preserve">hospital employee </w:t>
      </w:r>
      <w:r w:rsidR="002244CE">
        <w:t>undertaking</w:t>
      </w:r>
      <w:r w:rsidR="00082725">
        <w:t xml:space="preserve"> the “safe to practice” </w:t>
      </w:r>
      <w:r w:rsidR="0053176C">
        <w:t>pathway</w:t>
      </w:r>
      <w:r w:rsidR="00082725">
        <w:t xml:space="preserve">. </w:t>
      </w:r>
      <w:r w:rsidR="00A72873">
        <w:t>The</w:t>
      </w:r>
      <w:r w:rsidR="003F18C3">
        <w:t xml:space="preserve">re was no consultation with </w:t>
      </w:r>
      <w:r w:rsidR="0053176C">
        <w:t>past</w:t>
      </w:r>
      <w:r w:rsidR="001D6835">
        <w:t xml:space="preserve"> </w:t>
      </w:r>
      <w:r w:rsidR="00082725">
        <w:t xml:space="preserve">Registrars who had </w:t>
      </w:r>
      <w:r w:rsidR="0053176C">
        <w:t>resigned from the program</w:t>
      </w:r>
      <w:r w:rsidR="00082725">
        <w:t xml:space="preserve"> </w:t>
      </w:r>
      <w:r w:rsidR="00453909">
        <w:t>prior to program completion</w:t>
      </w:r>
      <w:r w:rsidR="00082725">
        <w:t xml:space="preserve">. </w:t>
      </w:r>
      <w:r w:rsidR="002E735B">
        <w:t>A</w:t>
      </w:r>
      <w:r w:rsidR="00E91775">
        <w:t>s such</w:t>
      </w:r>
      <w:r w:rsidR="003E233D">
        <w:t>,</w:t>
      </w:r>
      <w:r w:rsidR="00E91775">
        <w:t xml:space="preserve"> </w:t>
      </w:r>
      <w:r w:rsidR="00503205">
        <w:t xml:space="preserve">consultation findings are indicative and may not be representative of the workforce in its entirety. </w:t>
      </w:r>
    </w:p>
    <w:p w14:paraId="4B8990D0" w14:textId="0E6419B1" w:rsidR="00562B72" w:rsidRPr="00562B72" w:rsidRDefault="00562B72" w:rsidP="0019756D">
      <w:pPr>
        <w:pStyle w:val="ListBullet"/>
      </w:pPr>
      <w:r w:rsidRPr="0019756D">
        <w:rPr>
          <w:rStyle w:val="Strong"/>
        </w:rPr>
        <w:t xml:space="preserve">Lack of comparison group: </w:t>
      </w:r>
      <w:r w:rsidR="00784926">
        <w:t>t</w:t>
      </w:r>
      <w:r>
        <w:t xml:space="preserve">he evaluation did not include a counterfactual or comparison group to determine the impact on the </w:t>
      </w:r>
      <w:r w:rsidR="005E644F">
        <w:t>m</w:t>
      </w:r>
      <w:r>
        <w:t xml:space="preserve">edical </w:t>
      </w:r>
      <w:r w:rsidR="005E644F">
        <w:t>p</w:t>
      </w:r>
      <w:r>
        <w:t>hysicist workforce in the absence of the MPS Program.</w:t>
      </w:r>
    </w:p>
    <w:p w14:paraId="014EA1AA" w14:textId="43446C4C" w:rsidR="00A95BE2" w:rsidRDefault="00A95BE2" w:rsidP="0019756D">
      <w:pPr>
        <w:pStyle w:val="ListBullet"/>
      </w:pPr>
      <w:r w:rsidRPr="0019756D">
        <w:rPr>
          <w:rStyle w:val="Strong"/>
        </w:rPr>
        <w:t xml:space="preserve">RPS limitations: </w:t>
      </w:r>
      <w:r w:rsidR="00784926">
        <w:t>s</w:t>
      </w:r>
      <w:r>
        <w:t xml:space="preserve">takeholder consultation pool limitations were </w:t>
      </w:r>
      <w:r w:rsidR="00641D8A">
        <w:t>further constrained for the RPS workforce</w:t>
      </w:r>
      <w:r w:rsidR="00CE3B6C">
        <w:t xml:space="preserve">. </w:t>
      </w:r>
      <w:r w:rsidR="006E243D">
        <w:t>RPS s</w:t>
      </w:r>
      <w:r w:rsidR="00CE3B6C">
        <w:t xml:space="preserve">takeholders </w:t>
      </w:r>
      <w:r w:rsidR="00F12CE9">
        <w:t>who participated in</w:t>
      </w:r>
      <w:r w:rsidR="006E243D">
        <w:t xml:space="preserve"> this evaluation include </w:t>
      </w:r>
      <w:r w:rsidR="00640352">
        <w:t xml:space="preserve">a </w:t>
      </w:r>
      <w:r w:rsidR="00CE3B6C">
        <w:t xml:space="preserve">one </w:t>
      </w:r>
      <w:r w:rsidR="004E1A37">
        <w:t xml:space="preserve">RPS contact who was </w:t>
      </w:r>
      <w:r w:rsidR="00BD4006">
        <w:t xml:space="preserve">consulted and is </w:t>
      </w:r>
      <w:r w:rsidR="004E1A37">
        <w:t xml:space="preserve">not a member of ACPSEM, </w:t>
      </w:r>
      <w:r w:rsidR="00CE3B6C">
        <w:t xml:space="preserve">five </w:t>
      </w:r>
      <w:r w:rsidR="00C1554A">
        <w:t xml:space="preserve">Registrar </w:t>
      </w:r>
      <w:r w:rsidR="00AE1D7E">
        <w:t>survey respondents</w:t>
      </w:r>
      <w:r w:rsidR="00F12CE9">
        <w:t>,</w:t>
      </w:r>
      <w:r w:rsidR="00AE1D7E">
        <w:t xml:space="preserve"> and</w:t>
      </w:r>
      <w:r w:rsidR="00CE3B6C">
        <w:t xml:space="preserve"> two </w:t>
      </w:r>
      <w:r w:rsidR="00C1554A">
        <w:t>S</w:t>
      </w:r>
      <w:r w:rsidR="00CE3B6C">
        <w:t xml:space="preserve">upervisor survey respondents. </w:t>
      </w:r>
      <w:r w:rsidR="00AE1D7E">
        <w:t>A</w:t>
      </w:r>
      <w:r w:rsidR="005922CF">
        <w:t xml:space="preserve">s a result, some analysis focuses more on ROMP and DIMP </w:t>
      </w:r>
      <w:r w:rsidR="005F65E1">
        <w:t>S</w:t>
      </w:r>
      <w:r w:rsidR="005922CF">
        <w:t>treams</w:t>
      </w:r>
      <w:r w:rsidR="00423F6E">
        <w:t xml:space="preserve">, and </w:t>
      </w:r>
      <w:r w:rsidR="00A56E02">
        <w:t xml:space="preserve">there are no specific findings for the RPS workforce. </w:t>
      </w:r>
    </w:p>
    <w:p w14:paraId="216BDB73" w14:textId="4C9512F1" w:rsidR="0019756D" w:rsidRDefault="0019756D">
      <w:pPr>
        <w:spacing w:before="0" w:after="160" w:line="259" w:lineRule="auto"/>
      </w:pPr>
      <w:r>
        <w:br w:type="page"/>
      </w:r>
    </w:p>
    <w:p w14:paraId="3D64F2D3" w14:textId="30D7BD27" w:rsidR="00D2403E" w:rsidRDefault="008F0A07" w:rsidP="00F046F3">
      <w:pPr>
        <w:pStyle w:val="Heading1"/>
      </w:pPr>
      <w:bookmarkStart w:id="39" w:name="_Toc178240785"/>
      <w:bookmarkStart w:id="40" w:name="_Toc184396563"/>
      <w:bookmarkStart w:id="41" w:name="_Toc216711570"/>
      <w:bookmarkStart w:id="42" w:name="_Toc216791991"/>
      <w:r>
        <w:t>Overview of the MPS Program</w:t>
      </w:r>
      <w:bookmarkEnd w:id="39"/>
      <w:bookmarkEnd w:id="40"/>
      <w:bookmarkEnd w:id="41"/>
      <w:bookmarkEnd w:id="42"/>
    </w:p>
    <w:p w14:paraId="43301DA5" w14:textId="77777777" w:rsidR="003E2B02" w:rsidRDefault="003E2B02" w:rsidP="00273E1A">
      <w:pPr>
        <w:pStyle w:val="Heading2"/>
      </w:pPr>
      <w:bookmarkStart w:id="43" w:name="_Toc178240786"/>
      <w:bookmarkStart w:id="44" w:name="_Toc184396564"/>
      <w:bookmarkStart w:id="45" w:name="_Toc216711571"/>
      <w:bookmarkStart w:id="46" w:name="_Toc216791992"/>
      <w:r>
        <w:t>Background and context</w:t>
      </w:r>
      <w:bookmarkEnd w:id="43"/>
      <w:bookmarkEnd w:id="44"/>
      <w:bookmarkEnd w:id="45"/>
      <w:bookmarkEnd w:id="46"/>
    </w:p>
    <w:p w14:paraId="27EE2D0B" w14:textId="2DBEF2C2" w:rsidR="00220F0D" w:rsidRDefault="00D20747" w:rsidP="008B60C5">
      <w:pPr>
        <w:pStyle w:val="BodyText"/>
      </w:pPr>
      <w:r>
        <w:t>A m</w:t>
      </w:r>
      <w:r w:rsidR="008D7BBC">
        <w:t xml:space="preserve">edical </w:t>
      </w:r>
      <w:r>
        <w:t>p</w:t>
      </w:r>
      <w:r w:rsidR="008D7BBC">
        <w:t>hysicist is a health professional with specialist education and training in the concepts and techniques of applying physics in medicine and practices in one or more subfields (specialities) of medical physics</w:t>
      </w:r>
      <w:bookmarkStart w:id="47" w:name="_Ref174712918"/>
      <w:r w:rsidR="00A23961">
        <w:t>.</w:t>
      </w:r>
      <w:r w:rsidR="001D1A3C">
        <w:rPr>
          <w:rFonts w:ascii="ZWAdobeF" w:hAnsi="ZWAdobeF" w:cs="ZWAdobeF"/>
          <w:sz w:val="2"/>
          <w:szCs w:val="2"/>
        </w:rPr>
        <w:t>11F</w:t>
      </w:r>
      <w:r w:rsidR="005F7EBC">
        <w:rPr>
          <w:rFonts w:ascii="ZWAdobeF" w:hAnsi="ZWAdobeF" w:cs="ZWAdobeF"/>
          <w:sz w:val="2"/>
          <w:szCs w:val="2"/>
        </w:rPr>
        <w:t>13F</w:t>
      </w:r>
      <w:r w:rsidR="00850F07">
        <w:rPr>
          <w:rStyle w:val="FootnoteReference"/>
        </w:rPr>
        <w:footnoteReference w:id="15"/>
      </w:r>
      <w:bookmarkEnd w:id="47"/>
      <w:r w:rsidR="00094B87">
        <w:t xml:space="preserve"> </w:t>
      </w:r>
      <w:r w:rsidR="00521C37" w:rsidRPr="00521C37">
        <w:t xml:space="preserve">The medical </w:t>
      </w:r>
      <w:r w:rsidR="005F230F">
        <w:t>physics</w:t>
      </w:r>
      <w:r w:rsidR="00521C37" w:rsidRPr="00521C37">
        <w:t xml:space="preserve"> workforce </w:t>
      </w:r>
      <w:r w:rsidR="008A0284">
        <w:t>is</w:t>
      </w:r>
      <w:r w:rsidR="00521C37" w:rsidRPr="00521C37">
        <w:t xml:space="preserve"> valuable to ensuring medical treatments and diagnoses that involve radiation, particularly for diagnosing and treating cancers</w:t>
      </w:r>
      <w:r w:rsidR="008A0284">
        <w:t xml:space="preserve">, are </w:t>
      </w:r>
      <w:r w:rsidR="008A0284" w:rsidRPr="00521C37">
        <w:t>safe and effective</w:t>
      </w:r>
      <w:r w:rsidR="00521C37" w:rsidRPr="00521C37">
        <w:t>.</w:t>
      </w:r>
    </w:p>
    <w:p w14:paraId="6065AC66" w14:textId="1FC46336" w:rsidR="00021000" w:rsidRDefault="00096377" w:rsidP="00552FEF">
      <w:pPr>
        <w:pStyle w:val="BodyText"/>
      </w:pPr>
      <w:r>
        <w:rPr>
          <w:rFonts w:eastAsia="Calibri" w:cs="Arial"/>
          <w:szCs w:val="20"/>
        </w:rPr>
        <w:t xml:space="preserve">ACPSEM is responsible for formal certification of medical physicists and RPSs in Australia and New Zealand. </w:t>
      </w:r>
      <w:r w:rsidR="00D4637B">
        <w:t xml:space="preserve">Certification is the formal process involving examinations and practical assessments by which the skills, knowledge and proficiency of an individual </w:t>
      </w:r>
      <w:r w:rsidR="00BD3F59">
        <w:t xml:space="preserve">is evaluated </w:t>
      </w:r>
      <w:r w:rsidR="00D4637B">
        <w:t>against pre-determined criteria encompassing both education and training.</w:t>
      </w:r>
      <w:r w:rsidR="005F7EBC">
        <w:rPr>
          <w:rFonts w:ascii="ZWAdobeF" w:hAnsi="ZWAdobeF" w:cs="ZWAdobeF"/>
          <w:sz w:val="2"/>
          <w:szCs w:val="2"/>
        </w:rPr>
        <w:t>14F</w:t>
      </w:r>
      <w:r w:rsidR="00B43E72">
        <w:rPr>
          <w:rStyle w:val="FootnoteReference"/>
        </w:rPr>
        <w:footnoteReference w:id="16"/>
      </w:r>
      <w:r w:rsidR="00D4637B">
        <w:t xml:space="preserve"> </w:t>
      </w:r>
      <w:r w:rsidR="00F413F5">
        <w:rPr>
          <w:rFonts w:eastAsia="Calibri" w:cs="Arial"/>
          <w:szCs w:val="20"/>
        </w:rPr>
        <w:t>To become certified, medical physicists must complete ACPSE</w:t>
      </w:r>
      <w:r w:rsidR="00137861">
        <w:rPr>
          <w:rFonts w:eastAsia="Calibri" w:cs="Arial"/>
          <w:szCs w:val="20"/>
        </w:rPr>
        <w:t>M</w:t>
      </w:r>
      <w:r w:rsidR="00F413F5">
        <w:rPr>
          <w:rFonts w:eastAsia="Calibri" w:cs="Arial"/>
          <w:szCs w:val="20"/>
        </w:rPr>
        <w:t xml:space="preserve"> TEAP. </w:t>
      </w:r>
      <w:r w:rsidR="008554FA">
        <w:t xml:space="preserve">Medical physicists with certification and evidence of CPD are automatically eligible to </w:t>
      </w:r>
      <w:r w:rsidR="00A26F42">
        <w:t xml:space="preserve">become registered by </w:t>
      </w:r>
      <w:r w:rsidR="008554FA">
        <w:t>enter</w:t>
      </w:r>
      <w:r w:rsidR="00A26F42">
        <w:t>ing</w:t>
      </w:r>
      <w:r w:rsidR="008554FA">
        <w:t xml:space="preserve"> ACPSEM </w:t>
      </w:r>
      <w:r w:rsidR="008554FA" w:rsidRPr="005D07E0">
        <w:t xml:space="preserve">Register of Qualified Medical Physics Specialists and </w:t>
      </w:r>
      <w:r w:rsidR="008554FA">
        <w:t>RPSs</w:t>
      </w:r>
      <w:r w:rsidR="007463F3">
        <w:t>. R</w:t>
      </w:r>
      <w:r w:rsidR="008554FA">
        <w:t xml:space="preserve">egistration is not a legal requirement in Australia or </w:t>
      </w:r>
      <w:proofErr w:type="gramStart"/>
      <w:r w:rsidR="008554FA">
        <w:t>New Zealand</w:t>
      </w:r>
      <w:proofErr w:type="gramEnd"/>
      <w:r w:rsidR="008554FA">
        <w:t xml:space="preserve"> and </w:t>
      </w:r>
      <w:r w:rsidR="009526E3">
        <w:t>‘</w:t>
      </w:r>
      <w:r w:rsidR="008554FA">
        <w:t>Medical Physicist</w:t>
      </w:r>
      <w:r w:rsidR="009526E3">
        <w:t>’</w:t>
      </w:r>
      <w:r w:rsidR="008554FA">
        <w:t xml:space="preserve"> is not a protected title.</w:t>
      </w:r>
      <w:r w:rsidR="008554FA">
        <w:rPr>
          <w:rFonts w:ascii="ZWAdobeF" w:hAnsi="ZWAdobeF" w:cs="ZWAdobeF"/>
          <w:sz w:val="2"/>
          <w:szCs w:val="2"/>
        </w:rPr>
        <w:t>83F</w:t>
      </w:r>
      <w:r w:rsidR="005F7EBC">
        <w:rPr>
          <w:rFonts w:ascii="ZWAdobeF" w:hAnsi="ZWAdobeF" w:cs="ZWAdobeF"/>
          <w:sz w:val="2"/>
          <w:szCs w:val="2"/>
        </w:rPr>
        <w:t>15F</w:t>
      </w:r>
      <w:r w:rsidR="008554FA">
        <w:rPr>
          <w:rStyle w:val="FootnoteReference"/>
        </w:rPr>
        <w:footnoteReference w:id="17"/>
      </w:r>
      <w:r w:rsidR="00E007FF">
        <w:t xml:space="preserve"> </w:t>
      </w:r>
      <w:r w:rsidR="00021000">
        <w:t>Alternatively</w:t>
      </w:r>
      <w:r w:rsidR="003B44D7">
        <w:t xml:space="preserve"> to TEAP, individual</w:t>
      </w:r>
      <w:r w:rsidR="00E007FF">
        <w:t>s</w:t>
      </w:r>
      <w:r w:rsidR="003B44D7">
        <w:t xml:space="preserve"> can obtain registration through the “Safe to Practice” Pathway and will </w:t>
      </w:r>
      <w:r w:rsidR="00E007FF">
        <w:t>also need to undertake CPD to maintain registration</w:t>
      </w:r>
      <w:r w:rsidR="00B3565A">
        <w:t>.</w:t>
      </w:r>
    </w:p>
    <w:p w14:paraId="7742BA43" w14:textId="188C7B5F" w:rsidR="006144F8" w:rsidRDefault="006144F8" w:rsidP="00552FEF">
      <w:pPr>
        <w:pStyle w:val="BodyText"/>
      </w:pPr>
      <w:r>
        <w:t xml:space="preserve">The three main disciplines of the medical </w:t>
      </w:r>
      <w:r w:rsidR="005F230F">
        <w:t>physics</w:t>
      </w:r>
      <w:r>
        <w:t xml:space="preserve"> workforce</w:t>
      </w:r>
      <w:r w:rsidR="00996341">
        <w:t xml:space="preserve"> </w:t>
      </w:r>
      <w:r w:rsidR="00552FEF">
        <w:t xml:space="preserve">considered </w:t>
      </w:r>
      <w:r>
        <w:t xml:space="preserve">under the </w:t>
      </w:r>
      <w:r w:rsidR="00C40D22">
        <w:t>MPS Program</w:t>
      </w:r>
      <w:r>
        <w:t xml:space="preserve"> are: </w:t>
      </w:r>
    </w:p>
    <w:p w14:paraId="55F0902E" w14:textId="102D1DF6" w:rsidR="006144F8" w:rsidRPr="00EF1923" w:rsidRDefault="006144F8" w:rsidP="00584EC6">
      <w:pPr>
        <w:pStyle w:val="BodyText"/>
        <w:numPr>
          <w:ilvl w:val="0"/>
          <w:numId w:val="58"/>
        </w:numPr>
      </w:pPr>
      <w:proofErr w:type="gramStart"/>
      <w:r w:rsidRPr="00EF1923">
        <w:t>ROMP</w:t>
      </w:r>
      <w:r w:rsidR="00FB7D8A" w:rsidRPr="00EF1923">
        <w:t>;</w:t>
      </w:r>
      <w:proofErr w:type="gramEnd"/>
    </w:p>
    <w:p w14:paraId="08D807A9" w14:textId="38F1B689" w:rsidR="006144F8" w:rsidRPr="00EF1923" w:rsidRDefault="006144F8" w:rsidP="00584EC6">
      <w:pPr>
        <w:pStyle w:val="BodyText"/>
        <w:numPr>
          <w:ilvl w:val="0"/>
          <w:numId w:val="58"/>
        </w:numPr>
      </w:pPr>
      <w:r w:rsidRPr="00EF1923">
        <w:t>DIMP</w:t>
      </w:r>
      <w:r w:rsidR="00FB7D8A" w:rsidRPr="00EF1923">
        <w:t>; and</w:t>
      </w:r>
    </w:p>
    <w:p w14:paraId="62AA94CA" w14:textId="4F6E8E68" w:rsidR="006144F8" w:rsidRPr="00EF1923" w:rsidRDefault="00E03D58" w:rsidP="00584EC6">
      <w:pPr>
        <w:pStyle w:val="BodyText"/>
        <w:numPr>
          <w:ilvl w:val="0"/>
          <w:numId w:val="58"/>
        </w:numPr>
      </w:pPr>
      <w:r w:rsidRPr="00EF1923">
        <w:t>RPS</w:t>
      </w:r>
      <w:r w:rsidR="006144F8" w:rsidRPr="00EF1923">
        <w:t xml:space="preserve">. </w:t>
      </w:r>
    </w:p>
    <w:p w14:paraId="451B04A4" w14:textId="40677C45" w:rsidR="006144F8" w:rsidRDefault="006144F8" w:rsidP="008B60C5">
      <w:pPr>
        <w:pStyle w:val="BodyText"/>
      </w:pPr>
      <w:r>
        <w:t xml:space="preserve">Further details on each </w:t>
      </w:r>
      <w:r w:rsidR="00B3565A">
        <w:t xml:space="preserve">discipline </w:t>
      </w:r>
      <w:r>
        <w:t xml:space="preserve">are provided in </w:t>
      </w:r>
      <w:r w:rsidR="005E78E8">
        <w:t xml:space="preserve">Section </w:t>
      </w:r>
      <w:r w:rsidR="005E78E8">
        <w:fldChar w:fldCharType="begin" w:fldLock="1"/>
      </w:r>
      <w:r w:rsidR="005E78E8">
        <w:instrText xml:space="preserve"> REF _Ref178170584 \r \h </w:instrText>
      </w:r>
      <w:r w:rsidR="005E78E8">
        <w:fldChar w:fldCharType="separate"/>
      </w:r>
      <w:r w:rsidR="00D35A75">
        <w:t>2.1.1</w:t>
      </w:r>
      <w:r w:rsidR="005E78E8">
        <w:fldChar w:fldCharType="end"/>
      </w:r>
      <w:r w:rsidR="00442B78" w:rsidRPr="00442B78">
        <w:t xml:space="preserve"> </w:t>
      </w:r>
      <w:r w:rsidR="005F230F" w:rsidRPr="00442B78">
        <w:t>below</w:t>
      </w:r>
      <w:r>
        <w:t xml:space="preserve">. </w:t>
      </w:r>
    </w:p>
    <w:p w14:paraId="5C4C5518" w14:textId="40A5E576" w:rsidR="00240793" w:rsidRPr="00AE349D" w:rsidRDefault="00317049" w:rsidP="00AE349D">
      <w:pPr>
        <w:pStyle w:val="Heading3"/>
      </w:pPr>
      <w:bookmarkStart w:id="48" w:name="_Ref178170584"/>
      <w:bookmarkStart w:id="49" w:name="_Toc216711572"/>
      <w:r w:rsidRPr="00AE349D">
        <w:t>Medical Physicist disciplines</w:t>
      </w:r>
      <w:bookmarkEnd w:id="48"/>
      <w:bookmarkEnd w:id="49"/>
    </w:p>
    <w:p w14:paraId="0C057280" w14:textId="7DCC0AC1" w:rsidR="005438F6" w:rsidRPr="005A784C" w:rsidRDefault="005438F6" w:rsidP="00194457">
      <w:pPr>
        <w:pStyle w:val="Heading4"/>
      </w:pPr>
      <w:r w:rsidRPr="005A784C">
        <w:t>Radiation Oncology Medical Physicists</w:t>
      </w:r>
    </w:p>
    <w:p w14:paraId="26866BE5" w14:textId="0F658260" w:rsidR="00807886" w:rsidRDefault="00807886" w:rsidP="00807886">
      <w:pPr>
        <w:pStyle w:val="BodyText"/>
      </w:pPr>
      <w:r>
        <w:t>ROMPs provide services relating to radiation therapy, brachytherapy, simulation</w:t>
      </w:r>
      <w:r w:rsidR="005F230F">
        <w:t>,</w:t>
      </w:r>
      <w:r>
        <w:t xml:space="preserve"> and radiation measurement. They work with </w:t>
      </w:r>
      <w:r w:rsidRPr="00C75894">
        <w:t>physicians, nurses, therapists</w:t>
      </w:r>
      <w:r w:rsidR="005F230F">
        <w:t>,</w:t>
      </w:r>
      <w:r w:rsidRPr="00C75894">
        <w:t xml:space="preserve"> and engineers in the delivery of</w:t>
      </w:r>
      <w:r>
        <w:t xml:space="preserve"> these services to provide radiation treatments, particularly for cancer. A high-level summary of the role of ROMPs is provided </w:t>
      </w:r>
      <w:r w:rsidR="00E11FD7">
        <w:t>in</w:t>
      </w:r>
      <w:r w:rsidR="00DF206E">
        <w:t xml:space="preserve"> </w:t>
      </w:r>
      <w:r w:rsidR="00DF206E">
        <w:fldChar w:fldCharType="begin" w:fldLock="1"/>
      </w:r>
      <w:r w:rsidR="00DF206E">
        <w:instrText xml:space="preserve"> REF _Ref182584855 \h </w:instrText>
      </w:r>
      <w:r w:rsidR="00DF206E">
        <w:fldChar w:fldCharType="separate"/>
      </w:r>
      <w:r w:rsidR="00DF206E">
        <w:t xml:space="preserve">Table </w:t>
      </w:r>
      <w:r w:rsidR="00DF206E">
        <w:rPr>
          <w:noProof/>
        </w:rPr>
        <w:t>3</w:t>
      </w:r>
      <w:r w:rsidR="00DF206E">
        <w:fldChar w:fldCharType="end"/>
      </w:r>
      <w:r>
        <w:t xml:space="preserve">. </w:t>
      </w:r>
    </w:p>
    <w:p w14:paraId="52849C54" w14:textId="77777777" w:rsidR="006B2F03" w:rsidRDefault="006B2F03">
      <w:pPr>
        <w:spacing w:before="0" w:after="160" w:line="259" w:lineRule="auto"/>
        <w:rPr>
          <w:rFonts w:eastAsia="Times New Roman" w:cs="Times New Roman"/>
          <w:bCs/>
          <w:i/>
          <w:color w:val="00338D" w:themeColor="accent1"/>
          <w:sz w:val="18"/>
          <w:szCs w:val="20"/>
          <w:lang w:eastAsia="en-AU"/>
        </w:rPr>
      </w:pPr>
      <w:bookmarkStart w:id="50" w:name="_Ref182584855"/>
      <w:r>
        <w:br w:type="page"/>
      </w:r>
    </w:p>
    <w:p w14:paraId="6AC3D581" w14:textId="4376055B" w:rsidR="005F230F" w:rsidRDefault="005F230F" w:rsidP="005F230F">
      <w:pPr>
        <w:pStyle w:val="Caption"/>
      </w:pPr>
      <w:r>
        <w:t xml:space="preserve">Table </w:t>
      </w:r>
      <w:r w:rsidR="00255CD1">
        <w:fldChar w:fldCharType="begin"/>
      </w:r>
      <w:r w:rsidR="00255CD1">
        <w:instrText xml:space="preserve"> SEQ Table \* ARABIC </w:instrText>
      </w:r>
      <w:r w:rsidR="00255CD1">
        <w:fldChar w:fldCharType="separate"/>
      </w:r>
      <w:r w:rsidR="005F7EBC">
        <w:rPr>
          <w:noProof/>
        </w:rPr>
        <w:t>3</w:t>
      </w:r>
      <w:r w:rsidR="00255CD1">
        <w:rPr>
          <w:noProof/>
        </w:rPr>
        <w:fldChar w:fldCharType="end"/>
      </w:r>
      <w:bookmarkEnd w:id="50"/>
      <w:r>
        <w:t>: High-level summary of the role of ROMPs</w:t>
      </w:r>
    </w:p>
    <w:tbl>
      <w:tblPr>
        <w:tblStyle w:val="GridTable1Light-Accent1"/>
        <w:tblW w:w="0" w:type="auto"/>
        <w:tblLook w:val="04A0" w:firstRow="1" w:lastRow="0" w:firstColumn="1" w:lastColumn="0" w:noHBand="0" w:noVBand="1"/>
      </w:tblPr>
      <w:tblGrid>
        <w:gridCol w:w="1413"/>
        <w:gridCol w:w="8215"/>
      </w:tblGrid>
      <w:tr w:rsidR="007C740C" w14:paraId="122CF259"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tcBorders>
            <w:shd w:val="clear" w:color="auto" w:fill="F1F4FE"/>
          </w:tcPr>
          <w:p w14:paraId="0DE5EC70" w14:textId="77777777" w:rsidR="007C740C" w:rsidRPr="004B3150" w:rsidRDefault="007C740C">
            <w:pPr>
              <w:pStyle w:val="BodyText"/>
            </w:pPr>
            <w:r w:rsidRPr="004B3150">
              <w:t>Area</w:t>
            </w:r>
          </w:p>
        </w:tc>
        <w:tc>
          <w:tcPr>
            <w:tcW w:w="8215" w:type="dxa"/>
            <w:tcBorders>
              <w:top w:val="nil"/>
              <w:right w:val="nil"/>
            </w:tcBorders>
          </w:tcPr>
          <w:p w14:paraId="48AC39A9" w14:textId="77777777" w:rsidR="007C740C" w:rsidRPr="004B3150" w:rsidRDefault="007C740C">
            <w:pPr>
              <w:pStyle w:val="BodyText"/>
              <w:cnfStyle w:val="100000000000" w:firstRow="1" w:lastRow="0" w:firstColumn="0" w:lastColumn="0" w:oddVBand="0" w:evenVBand="0" w:oddHBand="0" w:evenHBand="0" w:firstRowFirstColumn="0" w:firstRowLastColumn="0" w:lastRowFirstColumn="0" w:lastRowLastColumn="0"/>
            </w:pPr>
            <w:r w:rsidRPr="004B3150">
              <w:t xml:space="preserve">Role </w:t>
            </w:r>
          </w:p>
        </w:tc>
      </w:tr>
      <w:tr w:rsidR="007C740C" w14:paraId="219F4151" w14:textId="77777777">
        <w:tc>
          <w:tcPr>
            <w:cnfStyle w:val="001000000000" w:firstRow="0" w:lastRow="0" w:firstColumn="1" w:lastColumn="0" w:oddVBand="0" w:evenVBand="0" w:oddHBand="0" w:evenHBand="0" w:firstRowFirstColumn="0" w:firstRowLastColumn="0" w:lastRowFirstColumn="0" w:lastRowLastColumn="0"/>
            <w:tcW w:w="1413" w:type="dxa"/>
            <w:tcBorders>
              <w:left w:val="nil"/>
            </w:tcBorders>
            <w:shd w:val="clear" w:color="auto" w:fill="F1F4FE"/>
          </w:tcPr>
          <w:p w14:paraId="6159EDA9" w14:textId="77777777" w:rsidR="007C740C" w:rsidRDefault="007C740C" w:rsidP="007C740C">
            <w:pPr>
              <w:pStyle w:val="BodyText"/>
            </w:pPr>
            <w:r>
              <w:t xml:space="preserve">Equipment </w:t>
            </w:r>
          </w:p>
        </w:tc>
        <w:tc>
          <w:tcPr>
            <w:tcW w:w="8215" w:type="dxa"/>
            <w:tcBorders>
              <w:right w:val="nil"/>
            </w:tcBorders>
          </w:tcPr>
          <w:p w14:paraId="51FF687A" w14:textId="3B38210B" w:rsidR="007C740C" w:rsidRDefault="007C740C" w:rsidP="00584EC6">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t xml:space="preserve">Develop specifications for radiation therapy, brachytherapy, simulation and radiation measurement. </w:t>
            </w:r>
          </w:p>
          <w:p w14:paraId="4E57E25E" w14:textId="77777777" w:rsidR="007C740C" w:rsidRDefault="007C740C" w:rsidP="00584EC6">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t xml:space="preserve">Provide evidence of compliance of equipment with regulatory and accreditation rules and recommendations. </w:t>
            </w:r>
          </w:p>
          <w:p w14:paraId="1C940605" w14:textId="77777777" w:rsidR="007C740C" w:rsidRDefault="007C740C" w:rsidP="00584EC6">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t xml:space="preserve">Measure and characterise medical radiation from equipment prior to clinical utilisation. </w:t>
            </w:r>
          </w:p>
          <w:p w14:paraId="75B7A76F" w14:textId="18EC138B" w:rsidR="007C740C" w:rsidRDefault="007C740C" w:rsidP="00584EC6">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t xml:space="preserve">Perform acceptance testing, evaluation, and commissioning of equipment used, including of associated computer systems, algorithms, data, and output. </w:t>
            </w:r>
          </w:p>
        </w:tc>
      </w:tr>
      <w:tr w:rsidR="007C740C" w14:paraId="69B4C6C0" w14:textId="77777777">
        <w:tc>
          <w:tcPr>
            <w:cnfStyle w:val="001000000000" w:firstRow="0" w:lastRow="0" w:firstColumn="1" w:lastColumn="0" w:oddVBand="0" w:evenVBand="0" w:oddHBand="0" w:evenHBand="0" w:firstRowFirstColumn="0" w:firstRowLastColumn="0" w:lastRowFirstColumn="0" w:lastRowLastColumn="0"/>
            <w:tcW w:w="1413" w:type="dxa"/>
            <w:tcBorders>
              <w:left w:val="nil"/>
            </w:tcBorders>
            <w:shd w:val="clear" w:color="auto" w:fill="F1F4FE"/>
          </w:tcPr>
          <w:p w14:paraId="75997ACB" w14:textId="77777777" w:rsidR="007C740C" w:rsidRDefault="007C740C" w:rsidP="007C740C">
            <w:pPr>
              <w:pStyle w:val="BodyText"/>
            </w:pPr>
            <w:r>
              <w:t xml:space="preserve">Policies and procedures </w:t>
            </w:r>
          </w:p>
        </w:tc>
        <w:tc>
          <w:tcPr>
            <w:tcW w:w="8215" w:type="dxa"/>
            <w:tcBorders>
              <w:right w:val="nil"/>
            </w:tcBorders>
          </w:tcPr>
          <w:p w14:paraId="1C08AAB2" w14:textId="77777777" w:rsidR="007C740C" w:rsidRDefault="007C740C"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Develop procedures for the initial and continuing evaluation of equipment.</w:t>
            </w:r>
          </w:p>
          <w:p w14:paraId="13892657" w14:textId="77777777" w:rsidR="007C740C" w:rsidRDefault="007C740C"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 xml:space="preserve">Approve radiation oncology technical procedures prior to clinical use. </w:t>
            </w:r>
          </w:p>
          <w:p w14:paraId="0F908983" w14:textId="3FDAC932" w:rsidR="007C740C" w:rsidRDefault="007C740C"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 xml:space="preserve">In conjunction with the medical practitioner, develop and/or evaluate policies and procedures related to the appropriate therapeutic use of radiation. </w:t>
            </w:r>
          </w:p>
          <w:p w14:paraId="36F81904" w14:textId="77777777" w:rsidR="007C740C" w:rsidRDefault="007C740C"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 xml:space="preserve">Develop and/or evaluate a comprehensive clinical radiation safety program in radiation oncology. </w:t>
            </w:r>
          </w:p>
          <w:p w14:paraId="66E491A8" w14:textId="600CF22D" w:rsidR="007C740C" w:rsidRDefault="007C740C"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 xml:space="preserve">Develop and manage a comprehensive Quality Management Program that monitors, evaluates, and optimises radiation oncology processes. </w:t>
            </w:r>
          </w:p>
        </w:tc>
      </w:tr>
      <w:tr w:rsidR="007C740C" w14:paraId="1FE5F019" w14:textId="77777777">
        <w:tc>
          <w:tcPr>
            <w:cnfStyle w:val="001000000000" w:firstRow="0" w:lastRow="0" w:firstColumn="1" w:lastColumn="0" w:oddVBand="0" w:evenVBand="0" w:oddHBand="0" w:evenHBand="0" w:firstRowFirstColumn="0" w:firstRowLastColumn="0" w:lastRowFirstColumn="0" w:lastRowLastColumn="0"/>
            <w:tcW w:w="1413" w:type="dxa"/>
            <w:tcBorders>
              <w:left w:val="nil"/>
            </w:tcBorders>
            <w:shd w:val="clear" w:color="auto" w:fill="F1F4FE"/>
          </w:tcPr>
          <w:p w14:paraId="5739A318" w14:textId="77777777" w:rsidR="007C740C" w:rsidRDefault="007C740C" w:rsidP="007C740C">
            <w:pPr>
              <w:pStyle w:val="BodyText"/>
            </w:pPr>
            <w:r>
              <w:t>Dosimetry</w:t>
            </w:r>
          </w:p>
        </w:tc>
        <w:tc>
          <w:tcPr>
            <w:tcW w:w="8215" w:type="dxa"/>
            <w:tcBorders>
              <w:right w:val="nil"/>
            </w:tcBorders>
          </w:tcPr>
          <w:p w14:paraId="5932A669" w14:textId="05B1B125" w:rsidR="007C740C" w:rsidRDefault="007C740C"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 xml:space="preserve">With the medical practitioner, develop and/or evaluate the </w:t>
            </w:r>
            <w:proofErr w:type="spellStart"/>
            <w:r>
              <w:t>dosimetric</w:t>
            </w:r>
            <w:proofErr w:type="spellEnd"/>
            <w:r>
              <w:t xml:space="preserve"> component of patients’ treatment plans. </w:t>
            </w:r>
          </w:p>
          <w:p w14:paraId="0726EA0E" w14:textId="123B604D" w:rsidR="007C740C" w:rsidRDefault="007C740C"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 xml:space="preserve">Review radiation oncology dosimetry information in patient records. </w:t>
            </w:r>
          </w:p>
          <w:p w14:paraId="7AEDE1BD" w14:textId="77777777" w:rsidR="007C740C" w:rsidRDefault="007C740C"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 xml:space="preserve">Provide consultation on patient or personnel radiation dose and associated risks. </w:t>
            </w:r>
          </w:p>
          <w:p w14:paraId="12FA1AE1" w14:textId="64617E58" w:rsidR="007C740C" w:rsidRDefault="007C740C"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Provide consultation to assure accurate radiation dose delivery.</w:t>
            </w:r>
          </w:p>
        </w:tc>
      </w:tr>
      <w:tr w:rsidR="007C740C" w14:paraId="4AAA0158" w14:textId="77777777">
        <w:tc>
          <w:tcPr>
            <w:cnfStyle w:val="001000000000" w:firstRow="0" w:lastRow="0" w:firstColumn="1" w:lastColumn="0" w:oddVBand="0" w:evenVBand="0" w:oddHBand="0" w:evenHBand="0" w:firstRowFirstColumn="0" w:firstRowLastColumn="0" w:lastRowFirstColumn="0" w:lastRowLastColumn="0"/>
            <w:tcW w:w="1413" w:type="dxa"/>
            <w:tcBorders>
              <w:left w:val="nil"/>
              <w:bottom w:val="nil"/>
            </w:tcBorders>
            <w:shd w:val="clear" w:color="auto" w:fill="F1F4FE"/>
          </w:tcPr>
          <w:p w14:paraId="5338B810" w14:textId="77777777" w:rsidR="007C740C" w:rsidRDefault="007C740C" w:rsidP="007C740C">
            <w:pPr>
              <w:pStyle w:val="BodyText"/>
            </w:pPr>
            <w:r>
              <w:t>Other</w:t>
            </w:r>
          </w:p>
        </w:tc>
        <w:tc>
          <w:tcPr>
            <w:tcW w:w="8215" w:type="dxa"/>
            <w:tcBorders>
              <w:bottom w:val="nil"/>
              <w:right w:val="nil"/>
            </w:tcBorders>
          </w:tcPr>
          <w:p w14:paraId="41FA1481" w14:textId="7CC81C91" w:rsidR="007C740C" w:rsidRDefault="007C740C" w:rsidP="00584E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Provide radiation oncology physics and radiation dosimetry training for medical practitioners and other health-care providers.</w:t>
            </w:r>
          </w:p>
          <w:p w14:paraId="31F178C6" w14:textId="7CD6EA59" w:rsidR="007C740C" w:rsidRDefault="007C740C" w:rsidP="00584E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Plan and specify thickness, material, and placement of shielding needed to protect patients, workers, the public, and the environment from radiation produced incidentally.</w:t>
            </w:r>
          </w:p>
          <w:p w14:paraId="17B30A97" w14:textId="09D3C454" w:rsidR="007C740C" w:rsidRDefault="007C740C" w:rsidP="00584E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Assess and instal shielding designed to protect patients, workers, and the public from incidentally produced radiation. </w:t>
            </w:r>
          </w:p>
        </w:tc>
      </w:tr>
    </w:tbl>
    <w:p w14:paraId="5CCFAA4F" w14:textId="3161365E" w:rsidR="00A2761B" w:rsidRPr="008254BD" w:rsidRDefault="00A2761B" w:rsidP="00A2761B">
      <w:pPr>
        <w:pStyle w:val="Caption"/>
        <w:rPr>
          <w:szCs w:val="24"/>
        </w:rPr>
      </w:pPr>
      <w:r w:rsidRPr="008254BD">
        <w:rPr>
          <w:szCs w:val="24"/>
        </w:rPr>
        <w:t xml:space="preserve">Source: </w:t>
      </w:r>
      <w:r w:rsidR="00D9699D" w:rsidRPr="00D9699D">
        <w:rPr>
          <w:szCs w:val="24"/>
        </w:rPr>
        <w:t xml:space="preserve">ACPSEM Position on the roles and responsibilities of the qualified medical </w:t>
      </w:r>
      <w:proofErr w:type="gramStart"/>
      <w:r w:rsidR="00D9699D" w:rsidRPr="00D9699D">
        <w:rPr>
          <w:szCs w:val="24"/>
        </w:rPr>
        <w:t>physicists</w:t>
      </w:r>
      <w:proofErr w:type="gramEnd"/>
      <w:r w:rsidR="00D9699D" w:rsidRPr="00D9699D">
        <w:rPr>
          <w:szCs w:val="24"/>
        </w:rPr>
        <w:t xml:space="preserve"> version 2.3, April 2014</w:t>
      </w:r>
      <w:r w:rsidR="00016BF0" w:rsidRPr="00016BF0">
        <w:rPr>
          <w:szCs w:val="24"/>
          <w:vertAlign w:val="superscript"/>
        </w:rPr>
        <w:fldChar w:fldCharType="begin"/>
      </w:r>
      <w:r w:rsidR="00016BF0" w:rsidRPr="00016BF0">
        <w:rPr>
          <w:szCs w:val="24"/>
          <w:vertAlign w:val="superscript"/>
        </w:rPr>
        <w:instrText xml:space="preserve"> NOTEREF _Ref174712918 \h </w:instrText>
      </w:r>
      <w:r w:rsidR="00016BF0">
        <w:rPr>
          <w:szCs w:val="24"/>
          <w:vertAlign w:val="superscript"/>
        </w:rPr>
        <w:instrText xml:space="preserve"> \* MERGEFORMAT </w:instrText>
      </w:r>
      <w:r w:rsidR="00016BF0" w:rsidRPr="00016BF0">
        <w:rPr>
          <w:szCs w:val="24"/>
          <w:vertAlign w:val="superscript"/>
        </w:rPr>
      </w:r>
      <w:r w:rsidR="00016BF0" w:rsidRPr="00016BF0">
        <w:rPr>
          <w:szCs w:val="24"/>
          <w:vertAlign w:val="superscript"/>
        </w:rPr>
        <w:fldChar w:fldCharType="separate"/>
      </w:r>
      <w:r w:rsidR="005F7EBC">
        <w:rPr>
          <w:szCs w:val="24"/>
          <w:vertAlign w:val="superscript"/>
        </w:rPr>
        <w:t>14</w:t>
      </w:r>
      <w:r w:rsidR="00016BF0" w:rsidRPr="00016BF0">
        <w:rPr>
          <w:szCs w:val="24"/>
          <w:vertAlign w:val="superscript"/>
        </w:rPr>
        <w:fldChar w:fldCharType="end"/>
      </w:r>
    </w:p>
    <w:p w14:paraId="61E7774B" w14:textId="1700A281" w:rsidR="00394E63" w:rsidRPr="00394E63" w:rsidRDefault="00394E63" w:rsidP="00194457">
      <w:pPr>
        <w:pStyle w:val="Heading4"/>
      </w:pPr>
      <w:r>
        <w:t>Diagnostic Imaging Medical Physics</w:t>
      </w:r>
    </w:p>
    <w:p w14:paraId="42A7D194" w14:textId="41C3BE67" w:rsidR="006B3600" w:rsidRPr="00C75894" w:rsidRDefault="006B3600" w:rsidP="006B3600">
      <w:pPr>
        <w:pStyle w:val="BodyText"/>
      </w:pPr>
      <w:r>
        <w:t xml:space="preserve">DIMPs play a vital role in the optimisation of image quality and patient dose across a range of diagnostic and interventional imaging methods. </w:t>
      </w:r>
      <w:r w:rsidRPr="00C75894">
        <w:t>DIMP combines the certification pathways for Nuclear Medicine Physics and Radiology specialties under the one discipl</w:t>
      </w:r>
      <w:r w:rsidR="00DD4407">
        <w:t>in</w:t>
      </w:r>
      <w:r w:rsidRPr="00C75894">
        <w:t xml:space="preserve">e. </w:t>
      </w:r>
    </w:p>
    <w:p w14:paraId="3B1FF355" w14:textId="4C1EC025" w:rsidR="006B3600" w:rsidRDefault="006B3600" w:rsidP="00584EC6">
      <w:pPr>
        <w:pStyle w:val="BodyText"/>
        <w:numPr>
          <w:ilvl w:val="0"/>
          <w:numId w:val="58"/>
        </w:numPr>
      </w:pPr>
      <w:r w:rsidRPr="00EF1923">
        <w:rPr>
          <w:b/>
          <w:bCs/>
        </w:rPr>
        <w:t>Nuclear Medicine Physicists</w:t>
      </w:r>
      <w:r w:rsidRPr="00EF1923">
        <w:t>:</w:t>
      </w:r>
      <w:r w:rsidRPr="00C75894">
        <w:t xml:space="preserve"> responsible for the safe handling, calibration and use of radionuclides or the diagnoses and treatment of disease. </w:t>
      </w:r>
      <w:r>
        <w:t>Nuclear Medicine uses radioactive isotopes to assess organ function and structure, offering early disease detection.</w:t>
      </w:r>
      <w:bookmarkStart w:id="51" w:name="_Ref174713062"/>
      <w:r w:rsidR="001D1A3C">
        <w:rPr>
          <w:rFonts w:ascii="ZWAdobeF" w:hAnsi="ZWAdobeF" w:cs="ZWAdobeF"/>
          <w:sz w:val="2"/>
          <w:szCs w:val="2"/>
        </w:rPr>
        <w:t>12F</w:t>
      </w:r>
      <w:r w:rsidR="005F7EBC">
        <w:rPr>
          <w:rFonts w:ascii="ZWAdobeF" w:hAnsi="ZWAdobeF" w:cs="ZWAdobeF"/>
          <w:sz w:val="2"/>
          <w:szCs w:val="2"/>
        </w:rPr>
        <w:t>16F</w:t>
      </w:r>
      <w:r w:rsidR="00E82D99" w:rsidRPr="00EF1923">
        <w:rPr>
          <w:vertAlign w:val="superscript"/>
        </w:rPr>
        <w:footnoteReference w:id="18"/>
      </w:r>
      <w:bookmarkEnd w:id="51"/>
      <w:r>
        <w:t xml:space="preserve"> </w:t>
      </w:r>
    </w:p>
    <w:p w14:paraId="53C6D22E" w14:textId="45AD0B58" w:rsidR="006B3600" w:rsidRDefault="006B3600" w:rsidP="00584EC6">
      <w:pPr>
        <w:pStyle w:val="BodyText"/>
        <w:numPr>
          <w:ilvl w:val="0"/>
          <w:numId w:val="58"/>
        </w:numPr>
      </w:pPr>
      <w:r w:rsidRPr="00EF1923">
        <w:rPr>
          <w:b/>
          <w:bCs/>
        </w:rPr>
        <w:t>Radiology Medical Physicists</w:t>
      </w:r>
      <w:r w:rsidRPr="00EF1923">
        <w:t xml:space="preserve">: </w:t>
      </w:r>
      <w:r w:rsidRPr="00C75894">
        <w:t>resident experts in the application of radiation for diagnosis. They direct and advise on the use of x-ray apparatus, compute</w:t>
      </w:r>
      <w:r w:rsidR="00E11FD7">
        <w:t>d</w:t>
      </w:r>
      <w:r w:rsidRPr="00C75894">
        <w:t xml:space="preserve"> tomography (CT) and magnetic resonance imaging (MRI)</w:t>
      </w:r>
      <w:r>
        <w:t>. Radiology provides detailed images of the anatomy to assist in diagnosing conditions based on structural appearance.</w:t>
      </w:r>
      <w:r w:rsidR="00780986" w:rsidRPr="00EF1923">
        <w:rPr>
          <w:vertAlign w:val="superscript"/>
        </w:rPr>
        <w:fldChar w:fldCharType="begin"/>
      </w:r>
      <w:r w:rsidR="00780986" w:rsidRPr="00EF1923">
        <w:rPr>
          <w:vertAlign w:val="superscript"/>
        </w:rPr>
        <w:instrText xml:space="preserve"> NOTEREF _Ref174713062 \h  \* MERGEFORMAT </w:instrText>
      </w:r>
      <w:r w:rsidR="00780986" w:rsidRPr="00EF1923">
        <w:rPr>
          <w:vertAlign w:val="superscript"/>
        </w:rPr>
      </w:r>
      <w:r w:rsidR="00780986" w:rsidRPr="00EF1923">
        <w:rPr>
          <w:vertAlign w:val="superscript"/>
        </w:rPr>
        <w:fldChar w:fldCharType="separate"/>
      </w:r>
      <w:r w:rsidR="005F7EBC">
        <w:rPr>
          <w:vertAlign w:val="superscript"/>
        </w:rPr>
        <w:t>17</w:t>
      </w:r>
      <w:r w:rsidR="00780986" w:rsidRPr="00EF1923">
        <w:rPr>
          <w:vertAlign w:val="superscript"/>
        </w:rPr>
        <w:fldChar w:fldCharType="end"/>
      </w:r>
      <w:r w:rsidRPr="00EF1923">
        <w:rPr>
          <w:vertAlign w:val="superscript"/>
        </w:rPr>
        <w:t xml:space="preserve"> </w:t>
      </w:r>
    </w:p>
    <w:p w14:paraId="259C6B44" w14:textId="42A05216" w:rsidR="001846E4" w:rsidRDefault="006B3600" w:rsidP="006B2F03">
      <w:pPr>
        <w:pStyle w:val="BodyText"/>
      </w:pPr>
      <w:r>
        <w:t>A high-level summary of the role of DIMPs</w:t>
      </w:r>
      <w:r w:rsidR="001846E4">
        <w:t>, including Nuclear Medicine Physicists and Radiology Medical Physicists,</w:t>
      </w:r>
      <w:r>
        <w:t xml:space="preserve"> is provided </w:t>
      </w:r>
      <w:r w:rsidR="00454A12">
        <w:t xml:space="preserve">in </w:t>
      </w:r>
      <w:r w:rsidR="005B04C2">
        <w:fldChar w:fldCharType="begin" w:fldLock="1"/>
      </w:r>
      <w:r w:rsidR="005B04C2">
        <w:instrText xml:space="preserve"> REF _Ref184390218 \h </w:instrText>
      </w:r>
      <w:r w:rsidR="005B04C2">
        <w:fldChar w:fldCharType="separate"/>
      </w:r>
      <w:r w:rsidR="005B04C2">
        <w:t xml:space="preserve">Table </w:t>
      </w:r>
      <w:r w:rsidR="005B04C2">
        <w:rPr>
          <w:noProof/>
        </w:rPr>
        <w:t>4</w:t>
      </w:r>
      <w:r w:rsidR="005B04C2">
        <w:fldChar w:fldCharType="end"/>
      </w:r>
      <w:r w:rsidR="00651CDC">
        <w:t xml:space="preserve"> </w:t>
      </w:r>
      <w:r>
        <w:t xml:space="preserve">below. </w:t>
      </w:r>
      <w:bookmarkStart w:id="52" w:name="_Ref174974359"/>
    </w:p>
    <w:p w14:paraId="0426EA45" w14:textId="3528D52D" w:rsidR="00E11FD7" w:rsidRDefault="00E11FD7" w:rsidP="00E11FD7">
      <w:pPr>
        <w:pStyle w:val="Caption"/>
      </w:pPr>
      <w:r>
        <w:t xml:space="preserve">Table </w:t>
      </w:r>
      <w:r w:rsidR="00255CD1">
        <w:fldChar w:fldCharType="begin"/>
      </w:r>
      <w:r w:rsidR="00255CD1">
        <w:instrText xml:space="preserve"> SEQ Table \* ARABIC </w:instrText>
      </w:r>
      <w:r w:rsidR="00255CD1">
        <w:fldChar w:fldCharType="separate"/>
      </w:r>
      <w:r w:rsidR="005F7EBC">
        <w:rPr>
          <w:noProof/>
        </w:rPr>
        <w:t>4</w:t>
      </w:r>
      <w:r w:rsidR="00255CD1">
        <w:rPr>
          <w:noProof/>
        </w:rPr>
        <w:fldChar w:fldCharType="end"/>
      </w:r>
      <w:bookmarkEnd w:id="52"/>
      <w:r>
        <w:t xml:space="preserve">: High-level summary of the role of </w:t>
      </w:r>
      <w:r w:rsidR="00090CB0">
        <w:t>DIMPs</w:t>
      </w:r>
    </w:p>
    <w:tbl>
      <w:tblPr>
        <w:tblStyle w:val="GridTable1Light-Accent1"/>
        <w:tblW w:w="9639" w:type="dxa"/>
        <w:tblLook w:val="04A0" w:firstRow="1" w:lastRow="0" w:firstColumn="1" w:lastColumn="0" w:noHBand="0" w:noVBand="1"/>
      </w:tblPr>
      <w:tblGrid>
        <w:gridCol w:w="2351"/>
        <w:gridCol w:w="3678"/>
        <w:gridCol w:w="3610"/>
      </w:tblGrid>
      <w:tr w:rsidR="00C179AB" w:rsidRPr="004B3150" w14:paraId="4731FAB4" w14:textId="39197917" w:rsidTr="0024283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tcBorders>
            <w:shd w:val="clear" w:color="auto" w:fill="F1F4FE"/>
          </w:tcPr>
          <w:p w14:paraId="31A8A0E3" w14:textId="1487F7CE" w:rsidR="00C179AB" w:rsidRPr="00242835" w:rsidRDefault="00C179AB" w:rsidP="00242835">
            <w:r w:rsidRPr="00242835">
              <w:t>Area</w:t>
            </w:r>
          </w:p>
        </w:tc>
        <w:tc>
          <w:tcPr>
            <w:tcW w:w="4113" w:type="dxa"/>
            <w:tcBorders>
              <w:top w:val="nil"/>
              <w:right w:val="nil"/>
            </w:tcBorders>
          </w:tcPr>
          <w:p w14:paraId="2D30E0EF" w14:textId="3A2DADD0" w:rsidR="00C179AB" w:rsidRPr="00242835" w:rsidRDefault="00C179AB" w:rsidP="00242835">
            <w:pPr>
              <w:cnfStyle w:val="100000000000" w:firstRow="1" w:lastRow="0" w:firstColumn="0" w:lastColumn="0" w:oddVBand="0" w:evenVBand="0" w:oddHBand="0" w:evenHBand="0" w:firstRowFirstColumn="0" w:firstRowLastColumn="0" w:lastRowFirstColumn="0" w:lastRowLastColumn="0"/>
            </w:pPr>
            <w:r w:rsidRPr="00242835">
              <w:t>Nuclear Medicine Physicists</w:t>
            </w:r>
          </w:p>
        </w:tc>
        <w:tc>
          <w:tcPr>
            <w:tcW w:w="4113" w:type="dxa"/>
            <w:tcBorders>
              <w:top w:val="nil"/>
              <w:right w:val="nil"/>
            </w:tcBorders>
          </w:tcPr>
          <w:p w14:paraId="21473CB3" w14:textId="0571DFD4" w:rsidR="00C179AB" w:rsidRPr="00242835" w:rsidRDefault="00C179AB" w:rsidP="00242835">
            <w:pPr>
              <w:cnfStyle w:val="100000000000" w:firstRow="1" w:lastRow="0" w:firstColumn="0" w:lastColumn="0" w:oddVBand="0" w:evenVBand="0" w:oddHBand="0" w:evenHBand="0" w:firstRowFirstColumn="0" w:firstRowLastColumn="0" w:lastRowFirstColumn="0" w:lastRowLastColumn="0"/>
            </w:pPr>
            <w:r w:rsidRPr="00242835">
              <w:t>Radiology Medical Physicists</w:t>
            </w:r>
          </w:p>
        </w:tc>
      </w:tr>
      <w:tr w:rsidR="00C179AB" w14:paraId="561B85BB" w14:textId="75D3C568" w:rsidTr="00C179AB">
        <w:tc>
          <w:tcPr>
            <w:cnfStyle w:val="001000000000" w:firstRow="0" w:lastRow="0" w:firstColumn="1" w:lastColumn="0" w:oddVBand="0" w:evenVBand="0" w:oddHBand="0" w:evenHBand="0" w:firstRowFirstColumn="0" w:firstRowLastColumn="0" w:lastRowFirstColumn="0" w:lastRowLastColumn="0"/>
            <w:tcW w:w="1413" w:type="dxa"/>
            <w:tcBorders>
              <w:left w:val="nil"/>
            </w:tcBorders>
            <w:shd w:val="clear" w:color="auto" w:fill="F1F4FE"/>
          </w:tcPr>
          <w:p w14:paraId="636BA8F9" w14:textId="4E8112AB" w:rsidR="00C179AB" w:rsidRDefault="00C179AB" w:rsidP="00C179AB">
            <w:pPr>
              <w:pStyle w:val="BodyText"/>
            </w:pPr>
            <w:r>
              <w:t xml:space="preserve">Equipment </w:t>
            </w:r>
          </w:p>
        </w:tc>
        <w:tc>
          <w:tcPr>
            <w:tcW w:w="4113" w:type="dxa"/>
            <w:tcBorders>
              <w:right w:val="nil"/>
            </w:tcBorders>
          </w:tcPr>
          <w:p w14:paraId="09164DCD" w14:textId="77777777" w:rsidR="00C179AB" w:rsidRDefault="00C179AB" w:rsidP="00C179AB">
            <w:pPr>
              <w:pStyle w:val="BodyText"/>
              <w:cnfStyle w:val="000000000000" w:firstRow="0" w:lastRow="0" w:firstColumn="0" w:lastColumn="0" w:oddVBand="0" w:evenVBand="0" w:oddHBand="0" w:evenHBand="0" w:firstRowFirstColumn="0" w:firstRowLastColumn="0" w:lastRowFirstColumn="0" w:lastRowLastColumn="0"/>
            </w:pPr>
            <w:r>
              <w:t xml:space="preserve">The below relates to nuclear imaging and radioactivity equipment: </w:t>
            </w:r>
          </w:p>
          <w:p w14:paraId="37B37595" w14:textId="77777777" w:rsidR="00C179AB" w:rsidRDefault="00C179AB" w:rsidP="00584EC6">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t xml:space="preserve">Develop equipment specifications. </w:t>
            </w:r>
          </w:p>
          <w:p w14:paraId="7AB2B33C" w14:textId="77777777" w:rsidR="00C179AB" w:rsidRDefault="00C179AB" w:rsidP="00584EC6">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t xml:space="preserve">Provide evidence of compliance with regulatory and accreditation rules and recommendations. </w:t>
            </w:r>
          </w:p>
          <w:p w14:paraId="343E53A4" w14:textId="34930A65" w:rsidR="00C179AB" w:rsidRDefault="00C179AB" w:rsidP="00584EC6">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t xml:space="preserve">Perform acceptance testing, evaluation, and commissioning of equipment, including associated computer systems, algorithms, data, and output. </w:t>
            </w:r>
          </w:p>
        </w:tc>
        <w:tc>
          <w:tcPr>
            <w:tcW w:w="4113" w:type="dxa"/>
            <w:tcBorders>
              <w:right w:val="nil"/>
            </w:tcBorders>
          </w:tcPr>
          <w:p w14:paraId="08029970" w14:textId="77777777" w:rsidR="00C179AB" w:rsidRDefault="00C179AB" w:rsidP="00C179AB">
            <w:pPr>
              <w:pStyle w:val="BodyText"/>
              <w:cnfStyle w:val="000000000000" w:firstRow="0" w:lastRow="0" w:firstColumn="0" w:lastColumn="0" w:oddVBand="0" w:evenVBand="0" w:oddHBand="0" w:evenHBand="0" w:firstRowFirstColumn="0" w:firstRowLastColumn="0" w:lastRowFirstColumn="0" w:lastRowLastColumn="0"/>
            </w:pPr>
            <w:r>
              <w:t xml:space="preserve">The below relates to imaging equipment and diagnostic radiation detectors: </w:t>
            </w:r>
          </w:p>
          <w:p w14:paraId="66C521DF" w14:textId="77777777" w:rsidR="00C179AB" w:rsidRDefault="00C179AB" w:rsidP="00584EC6">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t xml:space="preserve">Develop equipment specifications. </w:t>
            </w:r>
          </w:p>
          <w:p w14:paraId="205C416F" w14:textId="77777777" w:rsidR="001846E4" w:rsidRDefault="00C179AB" w:rsidP="00584EC6">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t xml:space="preserve">Provide evidence of compliance with regulatory and accreditation rules and recommendations. </w:t>
            </w:r>
          </w:p>
          <w:p w14:paraId="58492C61" w14:textId="54AA3265" w:rsidR="00C179AB" w:rsidRDefault="00C179AB" w:rsidP="00584EC6">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t>Perform acceptance testing, evaluation, and commissioning of equipment, including associated computer systems, algorithms, data, and output.</w:t>
            </w:r>
          </w:p>
        </w:tc>
      </w:tr>
      <w:tr w:rsidR="00C179AB" w14:paraId="626E5205" w14:textId="0380D704" w:rsidTr="00C179AB">
        <w:tc>
          <w:tcPr>
            <w:cnfStyle w:val="001000000000" w:firstRow="0" w:lastRow="0" w:firstColumn="1" w:lastColumn="0" w:oddVBand="0" w:evenVBand="0" w:oddHBand="0" w:evenHBand="0" w:firstRowFirstColumn="0" w:firstRowLastColumn="0" w:lastRowFirstColumn="0" w:lastRowLastColumn="0"/>
            <w:tcW w:w="1413" w:type="dxa"/>
            <w:tcBorders>
              <w:left w:val="nil"/>
            </w:tcBorders>
            <w:shd w:val="clear" w:color="auto" w:fill="F1F4FE"/>
          </w:tcPr>
          <w:p w14:paraId="78E637E3" w14:textId="417AD346" w:rsidR="00C179AB" w:rsidRDefault="00C179AB" w:rsidP="00C179AB">
            <w:pPr>
              <w:pStyle w:val="BodyText"/>
            </w:pPr>
            <w:r>
              <w:t xml:space="preserve">Policies and procedures </w:t>
            </w:r>
          </w:p>
        </w:tc>
        <w:tc>
          <w:tcPr>
            <w:tcW w:w="4113" w:type="dxa"/>
            <w:tcBorders>
              <w:right w:val="nil"/>
            </w:tcBorders>
          </w:tcPr>
          <w:p w14:paraId="6CE937CA" w14:textId="77777777" w:rsidR="00C179AB" w:rsidRDefault="00C179AB"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 xml:space="preserve">Develop procedures for the initial and continuing evaluation of nuclear imaging and radioactivity equipment. </w:t>
            </w:r>
          </w:p>
          <w:p w14:paraId="4A0E2DB4" w14:textId="77777777" w:rsidR="00C179AB" w:rsidRDefault="00C179AB"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 xml:space="preserve">Evaluate nuclear imaging and radioactivity measurement procedures prior to clinical use. </w:t>
            </w:r>
          </w:p>
          <w:p w14:paraId="1CFC2CD5" w14:textId="77777777" w:rsidR="00C179AB" w:rsidRDefault="00C179AB"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 xml:space="preserve">Develop and/or evaluate policies and procedures related to the appropriate clinical use of radiation for nuclear imaging, radiopharmaceutical therapy and/or radioactivity measurement purposes. </w:t>
            </w:r>
          </w:p>
          <w:p w14:paraId="1150A413" w14:textId="77777777" w:rsidR="00C179AB" w:rsidRDefault="00C179AB"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Develop and manage a comprehensive Quality Management Program that monitors, evaluates, and optimises nuclear imaging, radiopharmaceutical therapy, and/or radioactivity measurement processes.</w:t>
            </w:r>
          </w:p>
          <w:p w14:paraId="32FB0151" w14:textId="5DB32552" w:rsidR="00C179AB" w:rsidRDefault="00C179AB"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 xml:space="preserve">Develop and apply Medical Health Physics procedures associated with the practice of Nuclear Medicine. </w:t>
            </w:r>
          </w:p>
        </w:tc>
        <w:tc>
          <w:tcPr>
            <w:tcW w:w="4113" w:type="dxa"/>
            <w:tcBorders>
              <w:right w:val="nil"/>
            </w:tcBorders>
          </w:tcPr>
          <w:p w14:paraId="3CABB260" w14:textId="77777777" w:rsidR="00C179AB" w:rsidRDefault="00C179AB"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 xml:space="preserve">Develop procedures for the initial and continuing evaluation of imaging equipment and diagnostic radiation detectors. </w:t>
            </w:r>
          </w:p>
          <w:p w14:paraId="21E6E2D2" w14:textId="77777777" w:rsidR="00C179AB" w:rsidRDefault="00C179AB"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 xml:space="preserve">Develop and/or evaluate policies and procedures related to the appropriate clinical use of radiation for imaging purposes. </w:t>
            </w:r>
          </w:p>
          <w:p w14:paraId="319852E1" w14:textId="77777777" w:rsidR="00C179AB" w:rsidRDefault="00C179AB"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Develop and manage a comprehensive Quality Management Program that monitors, evaluates, and optimises imaging processes.</w:t>
            </w:r>
          </w:p>
          <w:p w14:paraId="00C56935" w14:textId="3BB04B3E" w:rsidR="00C179AB" w:rsidRDefault="00C179AB" w:rsidP="00584EC6">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t xml:space="preserve">Develop and apply Medical Health Physics procedures associated with the practice of Diagnostic Radiology. </w:t>
            </w:r>
          </w:p>
        </w:tc>
      </w:tr>
      <w:tr w:rsidR="00C179AB" w14:paraId="241BA8A0" w14:textId="1C759233" w:rsidTr="00C179AB">
        <w:tc>
          <w:tcPr>
            <w:cnfStyle w:val="001000000000" w:firstRow="0" w:lastRow="0" w:firstColumn="1" w:lastColumn="0" w:oddVBand="0" w:evenVBand="0" w:oddHBand="0" w:evenHBand="0" w:firstRowFirstColumn="0" w:firstRowLastColumn="0" w:lastRowFirstColumn="0" w:lastRowLastColumn="0"/>
            <w:tcW w:w="1413" w:type="dxa"/>
            <w:tcBorders>
              <w:left w:val="nil"/>
            </w:tcBorders>
            <w:shd w:val="clear" w:color="auto" w:fill="F1F4FE"/>
          </w:tcPr>
          <w:p w14:paraId="3D4D829A" w14:textId="365E8BEA" w:rsidR="00C179AB" w:rsidRDefault="00C179AB" w:rsidP="00C179AB">
            <w:pPr>
              <w:pStyle w:val="BodyText"/>
            </w:pPr>
            <w:r>
              <w:t xml:space="preserve">Radiopharmaceuticals and dosimetry </w:t>
            </w:r>
          </w:p>
        </w:tc>
        <w:tc>
          <w:tcPr>
            <w:tcW w:w="4113" w:type="dxa"/>
            <w:tcBorders>
              <w:right w:val="nil"/>
            </w:tcBorders>
          </w:tcPr>
          <w:p w14:paraId="47B317F5" w14:textId="77777777" w:rsidR="00C179AB" w:rsidRDefault="00C179AB"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 xml:space="preserve">Measure and characterise medical radiation from radiopharmaceuticals prior to clinical use. </w:t>
            </w:r>
          </w:p>
          <w:p w14:paraId="3CAADD4F" w14:textId="77777777" w:rsidR="00C179AB" w:rsidRDefault="00C179AB"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 xml:space="preserve">Review radiopharmaceutical dosimetry information in patient records. </w:t>
            </w:r>
          </w:p>
          <w:p w14:paraId="01F8E83C" w14:textId="77777777" w:rsidR="00C179AB" w:rsidRDefault="00C179AB"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 xml:space="preserve">Provide consultation on patient or personnel radiation dose and associated risks. </w:t>
            </w:r>
          </w:p>
          <w:p w14:paraId="6198204A" w14:textId="44F1F2AE" w:rsidR="00C179AB" w:rsidRDefault="00C179AB"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 xml:space="preserve">Provide consultation to assure an optimised balance between image quality and patient dose. </w:t>
            </w:r>
          </w:p>
        </w:tc>
        <w:tc>
          <w:tcPr>
            <w:tcW w:w="4113" w:type="dxa"/>
            <w:tcBorders>
              <w:right w:val="nil"/>
            </w:tcBorders>
          </w:tcPr>
          <w:p w14:paraId="10F7CF7D" w14:textId="77777777" w:rsidR="00C179AB" w:rsidRDefault="00C179AB"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 xml:space="preserve">Measure and characterise medical radiation from imaging equipment prior to clinical use. </w:t>
            </w:r>
          </w:p>
          <w:p w14:paraId="0DDFA376" w14:textId="77777777" w:rsidR="00C179AB" w:rsidRDefault="00C179AB"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 xml:space="preserve">Review diagnostic imaging dosimetry information in patient records. </w:t>
            </w:r>
          </w:p>
          <w:p w14:paraId="578EB06B" w14:textId="77777777" w:rsidR="00C179AB" w:rsidRDefault="00C179AB"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 xml:space="preserve">Provide consultation on patient or personnel radiation dose and associated risks. </w:t>
            </w:r>
          </w:p>
          <w:p w14:paraId="6576736C" w14:textId="1812EED0" w:rsidR="00C179AB" w:rsidRDefault="00C179AB" w:rsidP="00584EC6">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Provide consultation to assure an optimised balance between image quality and patient dose.</w:t>
            </w:r>
          </w:p>
        </w:tc>
      </w:tr>
      <w:tr w:rsidR="00C179AB" w14:paraId="245A87E6" w14:textId="5FB134B2" w:rsidTr="00C179AB">
        <w:tc>
          <w:tcPr>
            <w:cnfStyle w:val="001000000000" w:firstRow="0" w:lastRow="0" w:firstColumn="1" w:lastColumn="0" w:oddVBand="0" w:evenVBand="0" w:oddHBand="0" w:evenHBand="0" w:firstRowFirstColumn="0" w:firstRowLastColumn="0" w:lastRowFirstColumn="0" w:lastRowLastColumn="0"/>
            <w:tcW w:w="1413" w:type="dxa"/>
            <w:tcBorders>
              <w:left w:val="nil"/>
              <w:bottom w:val="nil"/>
            </w:tcBorders>
            <w:shd w:val="clear" w:color="auto" w:fill="F1F4FE"/>
          </w:tcPr>
          <w:p w14:paraId="5420D19F" w14:textId="6F1B78C5" w:rsidR="00C179AB" w:rsidRDefault="00C179AB" w:rsidP="00C179AB">
            <w:pPr>
              <w:pStyle w:val="BodyText"/>
            </w:pPr>
            <w:r>
              <w:t>Other</w:t>
            </w:r>
          </w:p>
        </w:tc>
        <w:tc>
          <w:tcPr>
            <w:tcW w:w="4113" w:type="dxa"/>
            <w:tcBorders>
              <w:bottom w:val="nil"/>
              <w:right w:val="nil"/>
            </w:tcBorders>
          </w:tcPr>
          <w:p w14:paraId="51D50ABB" w14:textId="77777777" w:rsidR="00C179AB" w:rsidRDefault="00C179AB" w:rsidP="00584E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Provide institutional consultation on program development in medical nuclear imagine and radiopharmaceutical therapy. </w:t>
            </w:r>
          </w:p>
          <w:p w14:paraId="75099148" w14:textId="77777777" w:rsidR="00C179AB" w:rsidRDefault="00C179AB" w:rsidP="00584E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Provide medical nuclear physics training for medical practitioners and other health-care providers. </w:t>
            </w:r>
          </w:p>
          <w:p w14:paraId="0B175FD6" w14:textId="77777777" w:rsidR="00C179AB" w:rsidRDefault="00C179AB" w:rsidP="00584E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Plan and specify thickness, material, and placement of shielding needed to protect patients, workers, the public and the environment from radiation produced incidentally.</w:t>
            </w:r>
          </w:p>
          <w:p w14:paraId="0A16B641" w14:textId="1AC43EC8" w:rsidR="00C179AB" w:rsidRDefault="00C179AB" w:rsidP="00584E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Assess and instal shielding designed to protect patients, workers, and the public from incidentally produced radiation.</w:t>
            </w:r>
          </w:p>
        </w:tc>
        <w:tc>
          <w:tcPr>
            <w:tcW w:w="4113" w:type="dxa"/>
            <w:tcBorders>
              <w:bottom w:val="nil"/>
              <w:right w:val="nil"/>
            </w:tcBorders>
          </w:tcPr>
          <w:p w14:paraId="75A92E4F" w14:textId="77777777" w:rsidR="00C179AB" w:rsidRDefault="00C179AB" w:rsidP="00584E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 xml:space="preserve">Provide diagnostic imaging physics training for medical practitioners and other health-care providers. </w:t>
            </w:r>
          </w:p>
          <w:p w14:paraId="76627A9E" w14:textId="77777777" w:rsidR="00C179AB" w:rsidRDefault="00C179AB" w:rsidP="00584E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Plan and specify thickness, material, and placement of shielding needed to protect patients, workers, the public, and the environment from radiation produced incidentally.</w:t>
            </w:r>
          </w:p>
          <w:p w14:paraId="2C3F86C1" w14:textId="3B06EB39" w:rsidR="00C179AB" w:rsidRDefault="00C179AB" w:rsidP="00584E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Assess and instal shielding designed to protect patients, workers, and the public from incidentally produced radiation.</w:t>
            </w:r>
          </w:p>
        </w:tc>
      </w:tr>
    </w:tbl>
    <w:p w14:paraId="65FAE0EB" w14:textId="6BD2C901" w:rsidR="00A2761B" w:rsidRPr="008254BD" w:rsidRDefault="00A2761B" w:rsidP="00A2761B">
      <w:pPr>
        <w:pStyle w:val="Caption"/>
        <w:rPr>
          <w:szCs w:val="24"/>
        </w:rPr>
      </w:pPr>
      <w:r w:rsidRPr="008254BD">
        <w:rPr>
          <w:szCs w:val="24"/>
        </w:rPr>
        <w:t xml:space="preserve">Source: </w:t>
      </w:r>
      <w:r w:rsidR="00D9699D" w:rsidRPr="00D9699D">
        <w:rPr>
          <w:szCs w:val="24"/>
        </w:rPr>
        <w:t xml:space="preserve">ACPSEM Position on the roles and responsibilities of the qualified medical </w:t>
      </w:r>
      <w:proofErr w:type="gramStart"/>
      <w:r w:rsidR="00D9699D" w:rsidRPr="00D9699D">
        <w:rPr>
          <w:szCs w:val="24"/>
        </w:rPr>
        <w:t>physicists</w:t>
      </w:r>
      <w:proofErr w:type="gramEnd"/>
      <w:r w:rsidR="00D9699D" w:rsidRPr="00D9699D">
        <w:rPr>
          <w:szCs w:val="24"/>
        </w:rPr>
        <w:t xml:space="preserve"> version 2.3, April 2014</w:t>
      </w:r>
      <w:r w:rsidR="00016BF0" w:rsidRPr="00016BF0">
        <w:rPr>
          <w:szCs w:val="24"/>
          <w:vertAlign w:val="superscript"/>
        </w:rPr>
        <w:fldChar w:fldCharType="begin"/>
      </w:r>
      <w:r w:rsidR="00016BF0" w:rsidRPr="00016BF0">
        <w:rPr>
          <w:szCs w:val="24"/>
          <w:vertAlign w:val="superscript"/>
        </w:rPr>
        <w:instrText xml:space="preserve"> NOTEREF _Ref174712918 \h </w:instrText>
      </w:r>
      <w:r w:rsidR="00016BF0">
        <w:rPr>
          <w:szCs w:val="24"/>
          <w:vertAlign w:val="superscript"/>
        </w:rPr>
        <w:instrText xml:space="preserve"> \* MERGEFORMAT </w:instrText>
      </w:r>
      <w:r w:rsidR="00016BF0" w:rsidRPr="00016BF0">
        <w:rPr>
          <w:szCs w:val="24"/>
          <w:vertAlign w:val="superscript"/>
        </w:rPr>
      </w:r>
      <w:r w:rsidR="00016BF0" w:rsidRPr="00016BF0">
        <w:rPr>
          <w:szCs w:val="24"/>
          <w:vertAlign w:val="superscript"/>
        </w:rPr>
        <w:fldChar w:fldCharType="separate"/>
      </w:r>
      <w:r w:rsidR="005F7EBC">
        <w:rPr>
          <w:szCs w:val="24"/>
          <w:vertAlign w:val="superscript"/>
        </w:rPr>
        <w:t>14</w:t>
      </w:r>
      <w:r w:rsidR="00016BF0" w:rsidRPr="00016BF0">
        <w:rPr>
          <w:szCs w:val="24"/>
          <w:vertAlign w:val="superscript"/>
        </w:rPr>
        <w:fldChar w:fldCharType="end"/>
      </w:r>
    </w:p>
    <w:p w14:paraId="25B48320" w14:textId="0AED22E7" w:rsidR="005438F6" w:rsidRPr="005A784C" w:rsidRDefault="005438F6" w:rsidP="00194457">
      <w:pPr>
        <w:pStyle w:val="Heading4"/>
      </w:pPr>
      <w:r w:rsidRPr="005A784C">
        <w:t xml:space="preserve">Radiopharmaceutical </w:t>
      </w:r>
      <w:r w:rsidR="00F2000F" w:rsidRPr="00350BD1">
        <w:t>Scientists</w:t>
      </w:r>
    </w:p>
    <w:p w14:paraId="3311A85F" w14:textId="52BE27C1" w:rsidR="005438F6" w:rsidRDefault="00F2000F" w:rsidP="005438F6">
      <w:pPr>
        <w:pStyle w:val="BodyText"/>
        <w:rPr>
          <w:color w:val="000000" w:themeColor="text1"/>
        </w:rPr>
      </w:pPr>
      <w:r w:rsidRPr="00571A0D">
        <w:rPr>
          <w:color w:val="000000" w:themeColor="text1"/>
        </w:rPr>
        <w:t xml:space="preserve">Radiopharmaceutical science </w:t>
      </w:r>
      <w:r w:rsidR="006B529B" w:rsidRPr="00571A0D">
        <w:rPr>
          <w:color w:val="000000" w:themeColor="text1"/>
        </w:rPr>
        <w:t xml:space="preserve">is the incorporation of a suitable </w:t>
      </w:r>
      <w:r w:rsidR="009279E3" w:rsidRPr="00571A0D">
        <w:rPr>
          <w:color w:val="000000" w:themeColor="text1"/>
        </w:rPr>
        <w:t>radi</w:t>
      </w:r>
      <w:r w:rsidR="00CF35C6" w:rsidRPr="00571A0D">
        <w:rPr>
          <w:color w:val="000000" w:themeColor="text1"/>
        </w:rPr>
        <w:t>oactive isotope</w:t>
      </w:r>
      <w:r w:rsidR="006B529B" w:rsidRPr="00571A0D">
        <w:rPr>
          <w:color w:val="000000" w:themeColor="text1"/>
        </w:rPr>
        <w:t xml:space="preserve"> (unstable </w:t>
      </w:r>
      <w:r w:rsidR="00703E26" w:rsidRPr="00571A0D">
        <w:rPr>
          <w:color w:val="000000" w:themeColor="text1"/>
        </w:rPr>
        <w:t>form of a chemical</w:t>
      </w:r>
      <w:r w:rsidR="006B529B" w:rsidRPr="00571A0D">
        <w:rPr>
          <w:color w:val="000000" w:themeColor="text1"/>
        </w:rPr>
        <w:t xml:space="preserve"> element) </w:t>
      </w:r>
      <w:r w:rsidR="007F45B7" w:rsidRPr="00571A0D">
        <w:rPr>
          <w:color w:val="000000" w:themeColor="text1"/>
        </w:rPr>
        <w:t>into a pharmaceutical</w:t>
      </w:r>
      <w:r w:rsidR="007257C4" w:rsidRPr="00571A0D">
        <w:rPr>
          <w:color w:val="000000" w:themeColor="text1"/>
        </w:rPr>
        <w:t xml:space="preserve"> or other biologically active molecule </w:t>
      </w:r>
      <w:r w:rsidR="002D0A6F" w:rsidRPr="00571A0D">
        <w:rPr>
          <w:color w:val="000000" w:themeColor="text1"/>
        </w:rPr>
        <w:t xml:space="preserve">to enable it to trace or mimic certain </w:t>
      </w:r>
      <w:r w:rsidR="001B07DF" w:rsidRPr="00571A0D">
        <w:rPr>
          <w:color w:val="000000" w:themeColor="text1"/>
        </w:rPr>
        <w:t>ph</w:t>
      </w:r>
      <w:r w:rsidR="00733CDE" w:rsidRPr="00571A0D">
        <w:rPr>
          <w:color w:val="000000" w:themeColor="text1"/>
        </w:rPr>
        <w:t>ysiological or biochemical processes</w:t>
      </w:r>
      <w:r w:rsidR="00631B5F" w:rsidRPr="00571A0D">
        <w:rPr>
          <w:color w:val="000000" w:themeColor="text1"/>
        </w:rPr>
        <w:t xml:space="preserve"> of a living human</w:t>
      </w:r>
      <w:r w:rsidR="00A3002C" w:rsidRPr="00571A0D">
        <w:rPr>
          <w:color w:val="000000" w:themeColor="text1"/>
        </w:rPr>
        <w:t xml:space="preserve">. </w:t>
      </w:r>
      <w:r w:rsidR="005438F6" w:rsidRPr="00571A0D">
        <w:rPr>
          <w:color w:val="000000" w:themeColor="text1"/>
        </w:rPr>
        <w:t>RPS</w:t>
      </w:r>
      <w:r w:rsidR="001B3938">
        <w:rPr>
          <w:color w:val="000000" w:themeColor="text1"/>
        </w:rPr>
        <w:t>s</w:t>
      </w:r>
      <w:r w:rsidR="005438F6" w:rsidRPr="00571A0D">
        <w:rPr>
          <w:color w:val="000000" w:themeColor="text1"/>
        </w:rPr>
        <w:t xml:space="preserve"> are specialist professionals involved in the design, manufacture and analysis of radiopharmaceuticals. RPSs provide knowledge and guidance on the safe and efficacious use of these products to ensure their suitability for clinical use.</w:t>
      </w:r>
      <w:r w:rsidR="001D1A3C">
        <w:rPr>
          <w:rFonts w:ascii="ZWAdobeF" w:hAnsi="ZWAdobeF" w:cs="ZWAdobeF"/>
          <w:sz w:val="2"/>
          <w:szCs w:val="2"/>
        </w:rPr>
        <w:t>13F</w:t>
      </w:r>
      <w:r w:rsidR="005F7EBC">
        <w:rPr>
          <w:rFonts w:ascii="ZWAdobeF" w:hAnsi="ZWAdobeF" w:cs="ZWAdobeF"/>
          <w:sz w:val="2"/>
          <w:szCs w:val="2"/>
        </w:rPr>
        <w:t>17F</w:t>
      </w:r>
      <w:r w:rsidR="00A10A36">
        <w:rPr>
          <w:rStyle w:val="FootnoteReference"/>
          <w:color w:val="000000" w:themeColor="text1"/>
        </w:rPr>
        <w:footnoteReference w:id="19"/>
      </w:r>
      <w:r w:rsidR="005438F6" w:rsidRPr="00C75894">
        <w:rPr>
          <w:color w:val="000000" w:themeColor="text1"/>
        </w:rPr>
        <w:t xml:space="preserve"> </w:t>
      </w:r>
      <w:r w:rsidR="00A56F23">
        <w:rPr>
          <w:color w:val="000000" w:themeColor="text1"/>
        </w:rPr>
        <w:t xml:space="preserve">Additionally, </w:t>
      </w:r>
      <w:r w:rsidR="00645483">
        <w:rPr>
          <w:color w:val="000000" w:themeColor="text1"/>
        </w:rPr>
        <w:t>RP</w:t>
      </w:r>
      <w:r w:rsidR="00A56F23">
        <w:rPr>
          <w:color w:val="000000" w:themeColor="text1"/>
        </w:rPr>
        <w:t>S</w:t>
      </w:r>
      <w:r w:rsidR="00F04E24">
        <w:rPr>
          <w:color w:val="000000" w:themeColor="text1"/>
        </w:rPr>
        <w:t>s</w:t>
      </w:r>
      <w:r w:rsidR="00A56F23">
        <w:rPr>
          <w:color w:val="000000" w:themeColor="text1"/>
        </w:rPr>
        <w:t xml:space="preserve"> are responsible for creating the radiopharmaceuticals used in nuclear medicine. </w:t>
      </w:r>
    </w:p>
    <w:p w14:paraId="7AC97C92" w14:textId="591A0416" w:rsidR="009A01B3" w:rsidRPr="0072756A" w:rsidRDefault="009A01B3" w:rsidP="005438F6">
      <w:pPr>
        <w:pStyle w:val="BodyText"/>
        <w:rPr>
          <w:color w:val="000000" w:themeColor="text1"/>
        </w:rPr>
      </w:pPr>
      <w:r>
        <w:rPr>
          <w:color w:val="000000" w:themeColor="text1"/>
        </w:rPr>
        <w:t xml:space="preserve">A </w:t>
      </w:r>
      <w:r w:rsidR="000B2661">
        <w:rPr>
          <w:color w:val="000000" w:themeColor="text1"/>
        </w:rPr>
        <w:t>high-level summary</w:t>
      </w:r>
      <w:r>
        <w:rPr>
          <w:color w:val="000000" w:themeColor="text1"/>
        </w:rPr>
        <w:t xml:space="preserve"> of the roles and responsibilities of RPSs is unable to be provided</w:t>
      </w:r>
      <w:r w:rsidR="00DA3106">
        <w:rPr>
          <w:color w:val="000000" w:themeColor="text1"/>
        </w:rPr>
        <w:t xml:space="preserve"> due to </w:t>
      </w:r>
      <w:r w:rsidR="00CA1F25">
        <w:rPr>
          <w:color w:val="000000" w:themeColor="text1"/>
        </w:rPr>
        <w:t>a</w:t>
      </w:r>
      <w:r w:rsidR="009F42BD">
        <w:rPr>
          <w:color w:val="000000" w:themeColor="text1"/>
        </w:rPr>
        <w:t xml:space="preserve"> lack of consensus </w:t>
      </w:r>
      <w:r w:rsidR="00072C7A">
        <w:rPr>
          <w:color w:val="000000" w:themeColor="text1"/>
        </w:rPr>
        <w:t xml:space="preserve">amongst clinician groups </w:t>
      </w:r>
      <w:r w:rsidR="001A2D96">
        <w:rPr>
          <w:color w:val="000000" w:themeColor="text1"/>
        </w:rPr>
        <w:t xml:space="preserve">and </w:t>
      </w:r>
      <w:r w:rsidR="005E00BF">
        <w:rPr>
          <w:color w:val="000000" w:themeColor="text1"/>
        </w:rPr>
        <w:t xml:space="preserve">lack of </w:t>
      </w:r>
      <w:r w:rsidR="001A2D96">
        <w:rPr>
          <w:color w:val="000000" w:themeColor="text1"/>
        </w:rPr>
        <w:t xml:space="preserve">international guidance </w:t>
      </w:r>
      <w:r w:rsidR="00CA1F25">
        <w:rPr>
          <w:color w:val="000000" w:themeColor="text1"/>
        </w:rPr>
        <w:t>regarding roles and responsibilities of RPSs</w:t>
      </w:r>
      <w:r w:rsidR="009F42BD">
        <w:rPr>
          <w:color w:val="000000" w:themeColor="text1"/>
        </w:rPr>
        <w:t>.</w:t>
      </w:r>
      <w:r w:rsidR="00CA1F25">
        <w:rPr>
          <w:color w:val="000000" w:themeColor="text1"/>
        </w:rPr>
        <w:t xml:space="preserve"> This is linked to the relatively immature nature of the RPS workforce.</w:t>
      </w:r>
    </w:p>
    <w:p w14:paraId="26D94287" w14:textId="16F5DE98" w:rsidR="00C6032D" w:rsidRDefault="00E708EA" w:rsidP="00273E1A">
      <w:pPr>
        <w:pStyle w:val="Heading2"/>
      </w:pPr>
      <w:bookmarkStart w:id="53" w:name="_Toc178240787"/>
      <w:bookmarkStart w:id="54" w:name="_Toc184396565"/>
      <w:bookmarkStart w:id="55" w:name="_Toc216711573"/>
      <w:bookmarkStart w:id="56" w:name="_Toc216791993"/>
      <w:r>
        <w:t>Key components of the MPS Program</w:t>
      </w:r>
      <w:bookmarkEnd w:id="53"/>
      <w:bookmarkEnd w:id="54"/>
      <w:bookmarkEnd w:id="55"/>
      <w:bookmarkEnd w:id="56"/>
    </w:p>
    <w:p w14:paraId="36B2F57C" w14:textId="2373403B" w:rsidR="0094581E" w:rsidRPr="00AE349D" w:rsidRDefault="0094581E" w:rsidP="00AE349D">
      <w:pPr>
        <w:pStyle w:val="Heading3"/>
      </w:pPr>
      <w:bookmarkStart w:id="57" w:name="_Toc216711574"/>
      <w:r w:rsidRPr="00AE349D">
        <w:t>Context of the program</w:t>
      </w:r>
      <w:bookmarkEnd w:id="57"/>
    </w:p>
    <w:p w14:paraId="70995996" w14:textId="6407E88F" w:rsidR="00D63803" w:rsidRDefault="00D20747" w:rsidP="004939E1">
      <w:pPr>
        <w:spacing w:before="0" w:after="160" w:line="259" w:lineRule="auto"/>
      </w:pPr>
      <w:r w:rsidRPr="00272246">
        <w:t xml:space="preserve">The </w:t>
      </w:r>
      <w:r w:rsidR="00C40D22" w:rsidRPr="00272246">
        <w:t>MPS Program</w:t>
      </w:r>
      <w:r w:rsidRPr="00272246">
        <w:t xml:space="preserve"> sits within the </w:t>
      </w:r>
      <w:r w:rsidR="00457DE8">
        <w:t>STP</w:t>
      </w:r>
      <w:r w:rsidRPr="00272246">
        <w:t xml:space="preserve"> funded by the Department. </w:t>
      </w:r>
      <w:r w:rsidR="003F74B7">
        <w:t xml:space="preserve">The STP is administered </w:t>
      </w:r>
      <w:r w:rsidR="0094186C">
        <w:t xml:space="preserve">by the Department </w:t>
      </w:r>
      <w:r w:rsidR="008B199A" w:rsidRPr="008B199A">
        <w:t>under Outcome 1: Health Access and Support Services, Program 1.4 Health Workforce, Priority 21 – Health Workforce and Rural Access Program.</w:t>
      </w:r>
      <w:r w:rsidR="008B199A">
        <w:t xml:space="preserve"> </w:t>
      </w:r>
      <w:r w:rsidR="00165BB8">
        <w:t xml:space="preserve">The </w:t>
      </w:r>
      <w:r w:rsidR="004939E1">
        <w:t>STP extends</w:t>
      </w:r>
      <w:r w:rsidR="00165BB8" w:rsidRPr="00165BB8">
        <w:t xml:space="preserve"> vocational training for non-General Practice specialist registrars into</w:t>
      </w:r>
      <w:r w:rsidR="004939E1">
        <w:t xml:space="preserve"> “expanded</w:t>
      </w:r>
      <w:r w:rsidR="00165BB8" w:rsidRPr="00165BB8">
        <w:t xml:space="preserve"> settings</w:t>
      </w:r>
      <w:r w:rsidR="004939E1">
        <w:t>”</w:t>
      </w:r>
      <w:r w:rsidR="00165BB8" w:rsidRPr="00165BB8">
        <w:t xml:space="preserve">, including regional, rural and remote communities and private health facilities. </w:t>
      </w:r>
      <w:r w:rsidR="0087642C">
        <w:t xml:space="preserve">The STP </w:t>
      </w:r>
      <w:r w:rsidR="008150D3">
        <w:t>support</w:t>
      </w:r>
      <w:r w:rsidR="00A73BF6">
        <w:t>s</w:t>
      </w:r>
      <w:r w:rsidR="008150D3">
        <w:t xml:space="preserve"> </w:t>
      </w:r>
      <w:r w:rsidR="00C073F9">
        <w:t xml:space="preserve">the provision of high-quality </w:t>
      </w:r>
      <w:r w:rsidR="001276B8">
        <w:t>specialty</w:t>
      </w:r>
      <w:r w:rsidR="00C073F9">
        <w:t xml:space="preserve"> </w:t>
      </w:r>
      <w:r w:rsidR="008150D3">
        <w:t xml:space="preserve">training </w:t>
      </w:r>
      <w:r w:rsidR="00A73BF6">
        <w:t xml:space="preserve">and aims </w:t>
      </w:r>
      <w:r w:rsidR="00993B2C">
        <w:t xml:space="preserve">to </w:t>
      </w:r>
      <w:r w:rsidR="0087642C">
        <w:t xml:space="preserve">improve the quality of the future specialist workforce and positively influence future workforce </w:t>
      </w:r>
      <w:r w:rsidR="00F67787">
        <w:t xml:space="preserve">supply and </w:t>
      </w:r>
      <w:r w:rsidR="0087642C">
        <w:t>distribution.</w:t>
      </w:r>
      <w:r w:rsidR="001D1A3C">
        <w:rPr>
          <w:rFonts w:ascii="ZWAdobeF" w:hAnsi="ZWAdobeF" w:cs="ZWAdobeF"/>
          <w:sz w:val="2"/>
          <w:szCs w:val="2"/>
        </w:rPr>
        <w:t>14F</w:t>
      </w:r>
      <w:r w:rsidR="005F7EBC">
        <w:rPr>
          <w:rFonts w:ascii="ZWAdobeF" w:hAnsi="ZWAdobeF" w:cs="ZWAdobeF"/>
          <w:sz w:val="2"/>
          <w:szCs w:val="2"/>
        </w:rPr>
        <w:t>18F</w:t>
      </w:r>
      <w:r w:rsidR="001305C7">
        <w:rPr>
          <w:rStyle w:val="FootnoteReference"/>
        </w:rPr>
        <w:footnoteReference w:id="20"/>
      </w:r>
    </w:p>
    <w:p w14:paraId="3C1D5610" w14:textId="32728189" w:rsidR="00805CF6" w:rsidRPr="009234E2" w:rsidRDefault="00AF2356" w:rsidP="009234E2">
      <w:pPr>
        <w:spacing w:before="0" w:after="160" w:line="259" w:lineRule="auto"/>
      </w:pPr>
      <w:r w:rsidRPr="00AF2356">
        <w:t xml:space="preserve">The Commonwealth has provided funding to support the medical physics workforce since the early 2000s, initially through past Radiation Oncology Patient Access Workforce and Medical Physicists Trainee programs. The current iteration of the MPS Program was established in 2018, with the consolidation of </w:t>
      </w:r>
      <w:r w:rsidR="00FA4729">
        <w:t xml:space="preserve">the </w:t>
      </w:r>
      <w:r w:rsidRPr="00AF2356">
        <w:t xml:space="preserve">two </w:t>
      </w:r>
      <w:r w:rsidR="00FA4729">
        <w:t>pre-</w:t>
      </w:r>
      <w:r w:rsidRPr="00AF2356">
        <w:t xml:space="preserve">existing programs. </w:t>
      </w:r>
      <w:r w:rsidR="00F23193" w:rsidRPr="00272246">
        <w:t xml:space="preserve">Other key program dates are summarised in </w:t>
      </w:r>
      <w:r w:rsidR="00973A46" w:rsidRPr="00686EAE">
        <w:rPr>
          <w:rFonts w:cs="Arial"/>
        </w:rPr>
        <w:fldChar w:fldCharType="begin" w:fldLock="1"/>
      </w:r>
      <w:r w:rsidR="00973A46" w:rsidRPr="00686EAE">
        <w:rPr>
          <w:rFonts w:cs="Arial"/>
        </w:rPr>
        <w:instrText xml:space="preserve"> REF _Ref174606215 \h </w:instrText>
      </w:r>
      <w:r w:rsidR="00272246" w:rsidRPr="00686EAE">
        <w:rPr>
          <w:rFonts w:cs="Arial"/>
        </w:rPr>
        <w:instrText xml:space="preserve"> \* MERGEFORMAT </w:instrText>
      </w:r>
      <w:r w:rsidR="00973A46" w:rsidRPr="00686EAE">
        <w:rPr>
          <w:rFonts w:cs="Arial"/>
        </w:rPr>
      </w:r>
      <w:r w:rsidR="00973A46" w:rsidRPr="00686EAE">
        <w:rPr>
          <w:rFonts w:cs="Arial"/>
        </w:rPr>
        <w:fldChar w:fldCharType="separate"/>
      </w:r>
      <w:r w:rsidR="00D35A75" w:rsidRPr="00686EAE">
        <w:rPr>
          <w:rFonts w:cs="Arial"/>
        </w:rPr>
        <w:t>Figure 1</w:t>
      </w:r>
      <w:r w:rsidR="00973A46" w:rsidRPr="00686EAE">
        <w:rPr>
          <w:rFonts w:cs="Arial"/>
        </w:rPr>
        <w:fldChar w:fldCharType="end"/>
      </w:r>
      <w:r w:rsidR="00F23193" w:rsidRPr="00686EAE">
        <w:rPr>
          <w:rFonts w:cs="Arial"/>
        </w:rPr>
        <w:t xml:space="preserve"> </w:t>
      </w:r>
      <w:r w:rsidR="00F23193" w:rsidRPr="00272246">
        <w:t xml:space="preserve">below. </w:t>
      </w:r>
      <w:bookmarkStart w:id="58" w:name="_Ref174606215"/>
    </w:p>
    <w:p w14:paraId="38373882" w14:textId="17F22C04" w:rsidR="00B56DBD" w:rsidRDefault="00B56DBD" w:rsidP="00B56DBD">
      <w:pPr>
        <w:pStyle w:val="Caption"/>
        <w:rPr>
          <w:rFonts w:eastAsiaTheme="minorEastAsia"/>
        </w:rPr>
      </w:pPr>
      <w:r w:rsidRPr="005F230F">
        <w:t xml:space="preserve">Figure </w:t>
      </w:r>
      <w:r w:rsidR="00255CD1">
        <w:fldChar w:fldCharType="begin"/>
      </w:r>
      <w:r w:rsidR="00255CD1">
        <w:instrText xml:space="preserve"> SEQ Figure \* ARABIC </w:instrText>
      </w:r>
      <w:r w:rsidR="00255CD1">
        <w:fldChar w:fldCharType="separate"/>
      </w:r>
      <w:r w:rsidR="005F7EBC">
        <w:rPr>
          <w:noProof/>
        </w:rPr>
        <w:t>1</w:t>
      </w:r>
      <w:r w:rsidR="00255CD1">
        <w:rPr>
          <w:noProof/>
        </w:rPr>
        <w:fldChar w:fldCharType="end"/>
      </w:r>
      <w:bookmarkEnd w:id="58"/>
      <w:r w:rsidRPr="005F230F">
        <w:t xml:space="preserve">: </w:t>
      </w:r>
      <w:r w:rsidRPr="005F230F">
        <w:rPr>
          <w:rFonts w:eastAsiaTheme="minorEastAsia"/>
        </w:rPr>
        <w:t>Key Medical Physicists Support Program dates</w:t>
      </w:r>
    </w:p>
    <w:p w14:paraId="6ADFCF87" w14:textId="7F9C2C5C" w:rsidR="00EB557C" w:rsidRPr="00C75894" w:rsidRDefault="00BB61E9" w:rsidP="006C0F7B">
      <w:pPr>
        <w:pStyle w:val="BodyText"/>
        <w:jc w:val="center"/>
        <w:rPr>
          <w:lang w:eastAsia="en-AU"/>
        </w:rPr>
      </w:pPr>
      <w:r>
        <w:rPr>
          <w:noProof/>
          <w:lang w:eastAsia="en-AU"/>
        </w:rPr>
        <w:drawing>
          <wp:inline distT="0" distB="0" distL="0" distR="0" wp14:anchorId="52E7325F" wp14:editId="42FC9D97">
            <wp:extent cx="3969327" cy="5066340"/>
            <wp:effectExtent l="0" t="0" r="0" b="0"/>
            <wp:docPr id="1729204777" name="Picture 1" descr="Figure 1 shows key program dates:&#10;&#10;2002 - A Visition for Radiotherapy: REport of the Radiation Oncology Inquiry (Peter Baume) report is released.&#10;2004 - The Medical Physicist workforce is funded under several programs that evolve and change over time.&#10;2021 - Evaluation and significant revisition of the Radiation Oncology Medical Physicist (ROMP) Traning, Education and Assessment Program (TEAP).&#10;2022 - ACPSEM conduct and release an evaluation&#10;2022 - The most recent agreement between teh Department of Health and Aged Care and ACPSEM comes into force.&#10;2024 - Evaluation of the Medical Physicists Support Program comm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04777" name="Picture 1" descr="Figure 1 shows key program dates:&#10;&#10;2002 - A Visition for Radiotherapy: REport of the Radiation Oncology Inquiry (Peter Baume) report is released.&#10;2004 - The Medical Physicist workforce is funded under several programs that evolve and change over time.&#10;2021 - Evaluation and significant revisition of the Radiation Oncology Medical Physicist (ROMP) Traning, Education and Assessment Program (TEAP).&#10;2022 - ACPSEM conduct and release an evaluation&#10;2022 - The most recent agreement between teh Department of Health and Aged Care and ACPSEM comes into force.&#10;2024 - Evaluation of the Medical Physicists Support Program commenc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8715" cy="5078323"/>
                    </a:xfrm>
                    <a:prstGeom prst="rect">
                      <a:avLst/>
                    </a:prstGeom>
                    <a:noFill/>
                  </pic:spPr>
                </pic:pic>
              </a:graphicData>
            </a:graphic>
          </wp:inline>
        </w:drawing>
      </w:r>
    </w:p>
    <w:p w14:paraId="27295599" w14:textId="59D96BAF" w:rsidR="00B56DBD" w:rsidRPr="008254BD" w:rsidRDefault="00B56DBD" w:rsidP="00B56DBD">
      <w:pPr>
        <w:pStyle w:val="Caption"/>
        <w:rPr>
          <w:szCs w:val="18"/>
        </w:rPr>
      </w:pPr>
      <w:bookmarkStart w:id="59" w:name="_Hlk184387129"/>
      <w:r w:rsidRPr="008254BD">
        <w:rPr>
          <w:szCs w:val="18"/>
        </w:rPr>
        <w:t>Source: KPMG</w:t>
      </w:r>
      <w:r w:rsidR="008254BD">
        <w:rPr>
          <w:iCs/>
          <w:szCs w:val="18"/>
        </w:rPr>
        <w:t>, 2024.</w:t>
      </w:r>
    </w:p>
    <w:p w14:paraId="73990F53" w14:textId="793FBE89" w:rsidR="0094581E" w:rsidRPr="00AE349D" w:rsidRDefault="0094581E" w:rsidP="00AE349D">
      <w:pPr>
        <w:pStyle w:val="Heading3"/>
      </w:pPr>
      <w:bookmarkStart w:id="60" w:name="_Ref182493516"/>
      <w:bookmarkStart w:id="61" w:name="_Toc216711575"/>
      <w:bookmarkEnd w:id="59"/>
      <w:r w:rsidRPr="00AE349D">
        <w:t>Program objectives</w:t>
      </w:r>
      <w:bookmarkEnd w:id="60"/>
      <w:bookmarkEnd w:id="61"/>
    </w:p>
    <w:p w14:paraId="6F49490D" w14:textId="413E7DE2" w:rsidR="00887163" w:rsidRPr="00887163" w:rsidRDefault="00887163" w:rsidP="00887163">
      <w:pPr>
        <w:pStyle w:val="BodyText"/>
      </w:pPr>
      <w:r w:rsidRPr="00887163">
        <w:t xml:space="preserve">The MPS Program aims to increase the capacity and upskilling of the medical physicist and </w:t>
      </w:r>
      <w:r w:rsidR="007B5CBD">
        <w:t>RPS</w:t>
      </w:r>
      <w:r w:rsidRPr="00887163">
        <w:t xml:space="preserve"> workforce. </w:t>
      </w:r>
      <w:r w:rsidR="00772BB0">
        <w:t xml:space="preserve">The </w:t>
      </w:r>
      <w:r w:rsidRPr="00887163">
        <w:t>Program</w:t>
      </w:r>
      <w:r w:rsidR="00772BB0">
        <w:t>’s</w:t>
      </w:r>
      <w:r w:rsidRPr="00887163">
        <w:t xml:space="preserve"> objectives are: </w:t>
      </w:r>
    </w:p>
    <w:p w14:paraId="69845C0D" w14:textId="504C9B88" w:rsidR="00887163" w:rsidRPr="00887163" w:rsidRDefault="00887163" w:rsidP="00584EC6">
      <w:pPr>
        <w:pStyle w:val="BodyText"/>
        <w:numPr>
          <w:ilvl w:val="0"/>
          <w:numId w:val="57"/>
        </w:numPr>
      </w:pPr>
      <w:r w:rsidRPr="00887163">
        <w:t>To support the training, certification</w:t>
      </w:r>
      <w:r w:rsidR="003847B7">
        <w:t>, education</w:t>
      </w:r>
      <w:r w:rsidRPr="00887163">
        <w:t xml:space="preserve"> and assessment of medical physicists (including </w:t>
      </w:r>
      <w:r w:rsidR="00AF6791">
        <w:t>RPS</w:t>
      </w:r>
      <w:r w:rsidRPr="00887163">
        <w:t xml:space="preserve">s) and associated </w:t>
      </w:r>
      <w:proofErr w:type="gramStart"/>
      <w:r w:rsidRPr="00887163">
        <w:t>activities;</w:t>
      </w:r>
      <w:proofErr w:type="gramEnd"/>
      <w:r w:rsidRPr="00887163">
        <w:t xml:space="preserve"> </w:t>
      </w:r>
    </w:p>
    <w:p w14:paraId="15CC40F5" w14:textId="6499433E" w:rsidR="00887163" w:rsidRPr="00887163" w:rsidRDefault="00887163" w:rsidP="00584EC6">
      <w:pPr>
        <w:pStyle w:val="BodyText"/>
        <w:numPr>
          <w:ilvl w:val="0"/>
          <w:numId w:val="57"/>
        </w:numPr>
      </w:pPr>
      <w:r w:rsidRPr="00887163">
        <w:t>Provide profession-le</w:t>
      </w:r>
      <w:r w:rsidR="007250F8">
        <w:t>d</w:t>
      </w:r>
      <w:r w:rsidRPr="00887163">
        <w:t xml:space="preserve">, competitive funding support for </w:t>
      </w:r>
      <w:r w:rsidR="006D5625">
        <w:t>Trainee</w:t>
      </w:r>
      <w:r w:rsidRPr="00887163">
        <w:t xml:space="preserve">s, paid to facilities employing the </w:t>
      </w:r>
      <w:r w:rsidR="006D5625">
        <w:t>Trainee</w:t>
      </w:r>
      <w:r w:rsidRPr="00887163">
        <w:t xml:space="preserve"> and for associated activities including the most efficient and equitable way to allocate such payments; and </w:t>
      </w:r>
    </w:p>
    <w:p w14:paraId="57E4AF80" w14:textId="1D81CAE1" w:rsidR="00887163" w:rsidRPr="00887163" w:rsidRDefault="00887163" w:rsidP="00584EC6">
      <w:pPr>
        <w:pStyle w:val="BodyText"/>
        <w:numPr>
          <w:ilvl w:val="0"/>
          <w:numId w:val="57"/>
        </w:numPr>
      </w:pPr>
      <w:r w:rsidRPr="00887163">
        <w:t xml:space="preserve">Support training and innovation which encourage optimal distribution of the medical physicist and </w:t>
      </w:r>
      <w:r w:rsidR="00AF6791">
        <w:t>RPS</w:t>
      </w:r>
      <w:r w:rsidRPr="00887163">
        <w:t xml:space="preserve"> workforce.  </w:t>
      </w:r>
    </w:p>
    <w:p w14:paraId="7B1B03BF" w14:textId="77ADA725" w:rsidR="00166C50" w:rsidRDefault="00AF6791" w:rsidP="00162CD3">
      <w:pPr>
        <w:pStyle w:val="BodyText"/>
      </w:pPr>
      <w:r>
        <w:t>T</w:t>
      </w:r>
      <w:r w:rsidR="00887163" w:rsidRPr="00887163">
        <w:t xml:space="preserve">he long-term program outcome </w:t>
      </w:r>
      <w:r>
        <w:t>is achieving the</w:t>
      </w:r>
      <w:r w:rsidR="00887163" w:rsidRPr="00887163">
        <w:t xml:space="preserve"> optimal workforce capacity and distribution of appropriately </w:t>
      </w:r>
      <w:r w:rsidR="00FB234A">
        <w:t>qualified medical physicist</w:t>
      </w:r>
      <w:r w:rsidR="0003085A">
        <w:t xml:space="preserve"> </w:t>
      </w:r>
      <w:r w:rsidR="00887163" w:rsidRPr="00887163">
        <w:t xml:space="preserve">and </w:t>
      </w:r>
      <w:r>
        <w:t>RPS</w:t>
      </w:r>
      <w:r w:rsidR="00887163" w:rsidRPr="00887163">
        <w:t xml:space="preserve"> workforce to ensure quality and safety.</w:t>
      </w:r>
      <w:r w:rsidR="00162CD3">
        <w:t xml:space="preserve"> </w:t>
      </w:r>
      <w:r w:rsidR="006F4DA0">
        <w:t>T</w:t>
      </w:r>
      <w:r w:rsidR="00166C50">
        <w:t>he program logic of the MPS Program</w:t>
      </w:r>
      <w:r w:rsidR="006F4DA0">
        <w:t xml:space="preserve"> is shown in </w:t>
      </w:r>
      <w:r w:rsidR="006F4DA0">
        <w:fldChar w:fldCharType="begin" w:fldLock="1"/>
      </w:r>
      <w:r w:rsidR="006F4DA0">
        <w:instrText xml:space="preserve"> REF _Ref180588116 \h </w:instrText>
      </w:r>
      <w:r w:rsidR="006F4DA0">
        <w:fldChar w:fldCharType="separate"/>
      </w:r>
      <w:r w:rsidR="006F4DA0">
        <w:t xml:space="preserve">Figure </w:t>
      </w:r>
      <w:r w:rsidR="006F4DA0">
        <w:rPr>
          <w:noProof/>
        </w:rPr>
        <w:t>2</w:t>
      </w:r>
      <w:r w:rsidR="006F4DA0">
        <w:fldChar w:fldCharType="end"/>
      </w:r>
      <w:r w:rsidR="00166C50">
        <w:t>.</w:t>
      </w:r>
    </w:p>
    <w:p w14:paraId="1C56C2B4" w14:textId="77777777" w:rsidR="00C64CC4" w:rsidRDefault="00C64CC4" w:rsidP="00C64CC4">
      <w:pPr>
        <w:spacing w:before="0" w:after="160" w:line="259" w:lineRule="auto"/>
        <w:sectPr w:rsidR="00C64CC4" w:rsidSect="00CC2A81">
          <w:headerReference w:type="default" r:id="rId23"/>
          <w:pgSz w:w="11906" w:h="16838"/>
          <w:pgMar w:top="1701" w:right="1134" w:bottom="1134" w:left="1134" w:header="709" w:footer="454" w:gutter="0"/>
          <w:cols w:space="708"/>
          <w:docGrid w:linePitch="360"/>
        </w:sectPr>
      </w:pPr>
    </w:p>
    <w:p w14:paraId="193DA642" w14:textId="1F337B0F" w:rsidR="00C64CC4" w:rsidRDefault="00C64CC4" w:rsidP="00C64CC4">
      <w:pPr>
        <w:pStyle w:val="Caption"/>
      </w:pPr>
      <w:bookmarkStart w:id="62" w:name="_Ref180588116"/>
      <w:r>
        <w:t xml:space="preserve">Figure </w:t>
      </w:r>
      <w:r>
        <w:fldChar w:fldCharType="begin"/>
      </w:r>
      <w:r>
        <w:instrText xml:space="preserve"> SEQ Figure \* ARABIC </w:instrText>
      </w:r>
      <w:r>
        <w:fldChar w:fldCharType="separate"/>
      </w:r>
      <w:r w:rsidR="005F7EBC">
        <w:rPr>
          <w:noProof/>
        </w:rPr>
        <w:t>2</w:t>
      </w:r>
      <w:r>
        <w:fldChar w:fldCharType="end"/>
      </w:r>
      <w:bookmarkEnd w:id="62"/>
      <w:r>
        <w:t>: MPS Program Logic</w:t>
      </w:r>
    </w:p>
    <w:p w14:paraId="21D6F9F7" w14:textId="06A7F8B5" w:rsidR="00E72231" w:rsidRDefault="00D14EEB" w:rsidP="00E72231">
      <w:pPr>
        <w:pStyle w:val="BodyText"/>
        <w:rPr>
          <w:lang w:eastAsia="en-AU"/>
        </w:rPr>
      </w:pPr>
      <w:r w:rsidRPr="00D14EEB">
        <w:rPr>
          <w:noProof/>
        </w:rPr>
        <w:drawing>
          <wp:inline distT="0" distB="0" distL="0" distR="0" wp14:anchorId="79A09FA7" wp14:editId="77649491">
            <wp:extent cx="9448800" cy="5074943"/>
            <wp:effectExtent l="0" t="0" r="0" b="0"/>
            <wp:docPr id="1504843013" name="Picture 1" descr="Figure 2 shows the Program Logic diagram for the Medical Physicists Support program, structured into four sections: Inputs, Activities, Outputs and Outcomes. It outlines the programs goal to increase the capacity and upskilling of the medical physicist and radiopharmaceutical scientist workforce, supported by obectivtes, participation details, assumptions and external factors. Inputs include financial inputs, policy settings, infrastructure, govenance arrangements and net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43013" name="Picture 1" descr="Figure 2 shows the Program Logic diagram for the Medical Physicists Support program, structured into four sections: Inputs, Activities, Outputs and Outcomes. It outlines the programs goal to increase the capacity and upskilling of the medical physicist and radiopharmaceutical scientist workforce, supported by obectivtes, participation details, assumptions and external factors. Inputs include financial inputs, policy settings, infrastructure, govenance arrangements and network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64026" cy="5083121"/>
                    </a:xfrm>
                    <a:prstGeom prst="rect">
                      <a:avLst/>
                    </a:prstGeom>
                    <a:noFill/>
                    <a:ln>
                      <a:noFill/>
                    </a:ln>
                  </pic:spPr>
                </pic:pic>
              </a:graphicData>
            </a:graphic>
          </wp:inline>
        </w:drawing>
      </w:r>
    </w:p>
    <w:p w14:paraId="3102518A" w14:textId="1313CB03" w:rsidR="00E72231" w:rsidRPr="008254BD" w:rsidRDefault="00E72231" w:rsidP="00E72231">
      <w:pPr>
        <w:pStyle w:val="Caption"/>
        <w:rPr>
          <w:szCs w:val="18"/>
        </w:rPr>
      </w:pPr>
      <w:r w:rsidRPr="008254BD">
        <w:rPr>
          <w:szCs w:val="18"/>
        </w:rPr>
        <w:t>Source: KPMG</w:t>
      </w:r>
      <w:r>
        <w:rPr>
          <w:iCs/>
          <w:szCs w:val="18"/>
        </w:rPr>
        <w:t xml:space="preserve"> 2024</w:t>
      </w:r>
      <w:r w:rsidR="00FF7DDA">
        <w:rPr>
          <w:iCs/>
          <w:szCs w:val="18"/>
        </w:rPr>
        <w:t xml:space="preserve">, adapted from </w:t>
      </w:r>
      <w:r w:rsidR="00313D4A">
        <w:rPr>
          <w:iCs/>
          <w:szCs w:val="18"/>
        </w:rPr>
        <w:t>the Department</w:t>
      </w:r>
      <w:r>
        <w:rPr>
          <w:iCs/>
          <w:szCs w:val="18"/>
        </w:rPr>
        <w:t>.</w:t>
      </w:r>
    </w:p>
    <w:p w14:paraId="477840A4" w14:textId="7C6BA5C5" w:rsidR="001D1A3C" w:rsidRPr="00DC27F5" w:rsidRDefault="001D1A3C" w:rsidP="00DC27F5">
      <w:pPr>
        <w:pStyle w:val="BodyText"/>
        <w:rPr>
          <w:lang w:eastAsia="en-AU"/>
        </w:rPr>
        <w:sectPr w:rsidR="001D1A3C" w:rsidRPr="00DC27F5" w:rsidSect="006900EA">
          <w:pgSz w:w="16838" w:h="11906" w:orient="landscape"/>
          <w:pgMar w:top="1134" w:right="1701" w:bottom="1134" w:left="1134" w:header="709" w:footer="454" w:gutter="0"/>
          <w:cols w:space="708"/>
          <w:docGrid w:linePitch="360"/>
        </w:sectPr>
      </w:pPr>
    </w:p>
    <w:p w14:paraId="469EE46A" w14:textId="745D3052" w:rsidR="0094581E" w:rsidRPr="00AE349D" w:rsidRDefault="0094581E" w:rsidP="00AE349D">
      <w:pPr>
        <w:pStyle w:val="Heading3"/>
      </w:pPr>
      <w:bookmarkStart w:id="63" w:name="_Toc216711576"/>
      <w:r w:rsidRPr="00AE349D">
        <w:t>Scope of program activity</w:t>
      </w:r>
      <w:bookmarkEnd w:id="63"/>
    </w:p>
    <w:p w14:paraId="572EA596" w14:textId="0B77EC6E" w:rsidR="00DF56CC" w:rsidRPr="00C75894" w:rsidRDefault="00DF56CC" w:rsidP="00DF56CC">
      <w:pPr>
        <w:pStyle w:val="BodyText"/>
      </w:pPr>
      <w:r w:rsidRPr="00C75894">
        <w:t xml:space="preserve">The MPS Program supports the training, certification, education, and assessment of medical physicists (including </w:t>
      </w:r>
      <w:r w:rsidR="00AF6791">
        <w:t>RPS</w:t>
      </w:r>
      <w:r w:rsidRPr="00C75894">
        <w:t xml:space="preserve">s). </w:t>
      </w:r>
      <w:r w:rsidR="00BF6F1D">
        <w:t xml:space="preserve">To the extent possible, the Program prioritises </w:t>
      </w:r>
      <w:r w:rsidRPr="00C75894">
        <w:t>training within MMM 2-7 facilities.</w:t>
      </w:r>
    </w:p>
    <w:p w14:paraId="339357D7" w14:textId="2A49C913" w:rsidR="00DF56CC" w:rsidRDefault="00B2443F" w:rsidP="00CA48F2">
      <w:pPr>
        <w:pStyle w:val="BodyText"/>
      </w:pPr>
      <w:r>
        <w:t xml:space="preserve">Activity under the </w:t>
      </w:r>
      <w:r w:rsidR="00C40D22">
        <w:t>MPS Program</w:t>
      </w:r>
      <w:r>
        <w:t xml:space="preserve"> </w:t>
      </w:r>
      <w:r w:rsidR="00187E16">
        <w:t xml:space="preserve">falls within two streams: </w:t>
      </w:r>
    </w:p>
    <w:p w14:paraId="79A1F01E" w14:textId="6DE025BB" w:rsidR="00F80091" w:rsidRDefault="00F80091" w:rsidP="00584EC6">
      <w:pPr>
        <w:pStyle w:val="BodyText"/>
        <w:numPr>
          <w:ilvl w:val="0"/>
          <w:numId w:val="57"/>
        </w:numPr>
      </w:pPr>
      <w:r>
        <w:rPr>
          <w:b/>
          <w:bCs/>
        </w:rPr>
        <w:t>Training,</w:t>
      </w:r>
      <w:r w:rsidRPr="00EF1923">
        <w:rPr>
          <w:b/>
          <w:bCs/>
        </w:rPr>
        <w:t xml:space="preserve"> education and assessment</w:t>
      </w:r>
      <w:r w:rsidRPr="00EF1923">
        <w:t>:</w:t>
      </w:r>
      <w:r w:rsidRPr="00C75894">
        <w:t xml:space="preserve"> </w:t>
      </w:r>
      <w:r>
        <w:t>t</w:t>
      </w:r>
      <w:r w:rsidRPr="00C75894">
        <w:t>his funding stream focuses on supporting ACPSEM training and accreditation system for ROMP, DIMP, and RPS</w:t>
      </w:r>
      <w:r>
        <w:t>; and</w:t>
      </w:r>
    </w:p>
    <w:p w14:paraId="369D9F9C" w14:textId="37B9F129" w:rsidR="0060419C" w:rsidRPr="00C75894" w:rsidRDefault="0060419C" w:rsidP="00584EC6">
      <w:pPr>
        <w:pStyle w:val="BodyText"/>
        <w:numPr>
          <w:ilvl w:val="0"/>
          <w:numId w:val="57"/>
        </w:numPr>
      </w:pPr>
      <w:r w:rsidRPr="00EF1923">
        <w:rPr>
          <w:b/>
          <w:bCs/>
        </w:rPr>
        <w:t>Medical Physicists Trainee Support – Grants</w:t>
      </w:r>
      <w:r w:rsidRPr="00EF1923">
        <w:t>:</w:t>
      </w:r>
      <w:r w:rsidRPr="00C75894">
        <w:t xml:space="preserve"> </w:t>
      </w:r>
      <w:r w:rsidR="00F80091">
        <w:t>t</w:t>
      </w:r>
      <w:r w:rsidRPr="00C75894">
        <w:t xml:space="preserve">his funding stream focuses on the development of an industry-led, competitive process to support medical physicist </w:t>
      </w:r>
      <w:r w:rsidR="006D5625">
        <w:t>Trainee</w:t>
      </w:r>
      <w:r w:rsidRPr="00C75894">
        <w:t xml:space="preserve">s through grants to facilities employing </w:t>
      </w:r>
      <w:r w:rsidR="006D5625">
        <w:t>Trainee</w:t>
      </w:r>
      <w:r w:rsidRPr="00C75894">
        <w:t>s.</w:t>
      </w:r>
    </w:p>
    <w:p w14:paraId="2248A04B" w14:textId="6E999CFD" w:rsidR="00E00E2E" w:rsidRDefault="00E00E2E" w:rsidP="002C2C8E">
      <w:pPr>
        <w:pStyle w:val="BodyText"/>
        <w:rPr>
          <w:lang w:eastAsia="en-AU"/>
        </w:rPr>
        <w:sectPr w:rsidR="00E00E2E" w:rsidSect="00CC2A81">
          <w:pgSz w:w="11906" w:h="16838"/>
          <w:pgMar w:top="1701" w:right="1134" w:bottom="1134" w:left="1134" w:header="709" w:footer="454" w:gutter="0"/>
          <w:cols w:space="708"/>
          <w:docGrid w:linePitch="360"/>
        </w:sectPr>
      </w:pPr>
      <w:r>
        <w:rPr>
          <w:lang w:eastAsia="en-AU"/>
        </w:rPr>
        <w:fldChar w:fldCharType="begin" w:fldLock="1"/>
      </w:r>
      <w:r>
        <w:rPr>
          <w:lang w:eastAsia="en-AU"/>
        </w:rPr>
        <w:instrText xml:space="preserve"> REF _Ref184207419 \h </w:instrText>
      </w:r>
      <w:r>
        <w:rPr>
          <w:lang w:eastAsia="en-AU"/>
        </w:rPr>
      </w:r>
      <w:r>
        <w:rPr>
          <w:lang w:eastAsia="en-AU"/>
        </w:rPr>
        <w:fldChar w:fldCharType="separate"/>
      </w:r>
      <w:r w:rsidR="00BA2814">
        <w:t xml:space="preserve">Figure </w:t>
      </w:r>
      <w:r w:rsidR="00BA2814">
        <w:rPr>
          <w:noProof/>
        </w:rPr>
        <w:t>3</w:t>
      </w:r>
      <w:r>
        <w:rPr>
          <w:lang w:eastAsia="en-AU"/>
        </w:rPr>
        <w:fldChar w:fldCharType="end"/>
      </w:r>
      <w:r w:rsidR="00F80091">
        <w:rPr>
          <w:lang w:eastAsia="en-AU"/>
        </w:rPr>
        <w:t xml:space="preserve"> </w:t>
      </w:r>
      <w:r w:rsidR="00B26773">
        <w:rPr>
          <w:lang w:eastAsia="en-AU"/>
        </w:rPr>
        <w:t xml:space="preserve">below provides a </w:t>
      </w:r>
      <w:r w:rsidR="00D45C94">
        <w:rPr>
          <w:lang w:eastAsia="en-AU"/>
        </w:rPr>
        <w:t xml:space="preserve">high-level of </w:t>
      </w:r>
      <w:r w:rsidR="00875DEB">
        <w:rPr>
          <w:lang w:eastAsia="en-AU"/>
        </w:rPr>
        <w:t>overview of the MPS Program</w:t>
      </w:r>
      <w:r w:rsidR="00411318">
        <w:rPr>
          <w:lang w:eastAsia="en-AU"/>
        </w:rPr>
        <w:t xml:space="preserve"> and </w:t>
      </w:r>
      <w:r w:rsidR="00EA5863">
        <w:rPr>
          <w:lang w:eastAsia="en-AU"/>
        </w:rPr>
        <w:t>the linkage between</w:t>
      </w:r>
      <w:r w:rsidR="00411318">
        <w:rPr>
          <w:lang w:eastAsia="en-AU"/>
        </w:rPr>
        <w:t xml:space="preserve"> program objectives, funding streams</w:t>
      </w:r>
      <w:r w:rsidR="00EA5863">
        <w:rPr>
          <w:lang w:eastAsia="en-AU"/>
        </w:rPr>
        <w:t xml:space="preserve"> and </w:t>
      </w:r>
      <w:r>
        <w:rPr>
          <w:lang w:eastAsia="en-AU"/>
        </w:rPr>
        <w:t xml:space="preserve">key activities undertaken. </w:t>
      </w:r>
      <w:r>
        <w:rPr>
          <w:lang w:eastAsia="en-AU"/>
        </w:rPr>
        <w:br/>
      </w:r>
    </w:p>
    <w:p w14:paraId="552FE779" w14:textId="38C56D90" w:rsidR="002C2C8E" w:rsidRDefault="00E00E2E" w:rsidP="00194457">
      <w:pPr>
        <w:pStyle w:val="Caption"/>
      </w:pPr>
      <w:bookmarkStart w:id="64" w:name="_Ref184207419"/>
      <w:r>
        <w:t xml:space="preserve">Figure </w:t>
      </w:r>
      <w:r>
        <w:fldChar w:fldCharType="begin"/>
      </w:r>
      <w:r>
        <w:instrText xml:space="preserve"> SEQ Figure \* ARABIC </w:instrText>
      </w:r>
      <w:r>
        <w:fldChar w:fldCharType="separate"/>
      </w:r>
      <w:r w:rsidR="005F7EBC">
        <w:rPr>
          <w:noProof/>
        </w:rPr>
        <w:t>3</w:t>
      </w:r>
      <w:r>
        <w:fldChar w:fldCharType="end"/>
      </w:r>
      <w:bookmarkEnd w:id="64"/>
      <w:r>
        <w:t>: High-level overview of the MPS Program</w:t>
      </w:r>
    </w:p>
    <w:p w14:paraId="7C306172" w14:textId="2B657A58" w:rsidR="002C2C8E" w:rsidRDefault="00E00E2E" w:rsidP="002C2C8E">
      <w:pPr>
        <w:pStyle w:val="BodyText"/>
        <w:rPr>
          <w:lang w:eastAsia="en-AU"/>
        </w:rPr>
      </w:pPr>
      <w:r>
        <w:rPr>
          <w:noProof/>
          <w:lang w:eastAsia="en-AU"/>
        </w:rPr>
        <w:drawing>
          <wp:inline distT="0" distB="0" distL="0" distR="0" wp14:anchorId="1126CD2A" wp14:editId="0BDFBDB4">
            <wp:extent cx="9253182" cy="4688030"/>
            <wp:effectExtent l="0" t="0" r="5715" b="0"/>
            <wp:docPr id="899102602" name="Picture 1" descr="Figure 3 shows a high level overview of the Medical Physicists Support Program, broken down into program objectives, funding streams, funding purpose and a summary of key activities. &#10;The two funding streams are:  Training, Education and Assessment funding stream, where the funding purpose is to develop the curricula and coordinate training through the ACPSEM TEAP for ROMPs, DIMPs and RPS, and to mamage the certification of professional standards in radiology medical physicis, nuclear medicine medical physicis, ROMP and RPS. &#10;The Medical Physicists Trainees Support stream funding purpose is to select and administer grant funding to facilities employing TEAP medical physicist trainees, and to assess and monitor the most appropriate way to allocate grant funding to TEAP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02602" name="Picture 1" descr="Figure 3 shows a high level overview of the Medical Physicists Support Program, broken down into program objectives, funding streams, funding purpose and a summary of key activities. &#10;The two funding streams are:  Training, Education and Assessment funding stream, where the funding purpose is to develop the curricula and coordinate training through the ACPSEM TEAP for ROMPs, DIMPs and RPS, and to mamage the certification of professional standards in radiology medical physicis, nuclear medicine medical physicis, ROMP and RPS. &#10;The Medical Physicists Trainees Support stream funding purpose is to select and administer grant funding to facilities employing TEAP medical physicist trainees, and to assess and monitor the most appropriate way to allocate grant funding to TEAP facilit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3182" cy="4688030"/>
                    </a:xfrm>
                    <a:prstGeom prst="rect">
                      <a:avLst/>
                    </a:prstGeom>
                    <a:noFill/>
                  </pic:spPr>
                </pic:pic>
              </a:graphicData>
            </a:graphic>
          </wp:inline>
        </w:drawing>
      </w:r>
    </w:p>
    <w:p w14:paraId="44FB99F7" w14:textId="5AB86004" w:rsidR="002C2C8E" w:rsidRPr="00E00E2E" w:rsidRDefault="00E00E2E" w:rsidP="00194457">
      <w:pPr>
        <w:pStyle w:val="Caption"/>
        <w:rPr>
          <w:iCs/>
          <w:szCs w:val="18"/>
        </w:rPr>
      </w:pPr>
      <w:r w:rsidRPr="00E00E2E">
        <w:rPr>
          <w:iCs/>
          <w:szCs w:val="18"/>
        </w:rPr>
        <w:t>Source: KPMG, 2024</w:t>
      </w:r>
      <w:r w:rsidR="00C273B2">
        <w:rPr>
          <w:iCs/>
          <w:szCs w:val="18"/>
        </w:rPr>
        <w:t>.</w:t>
      </w:r>
    </w:p>
    <w:p w14:paraId="5ECC9DCD" w14:textId="02BA456A" w:rsidR="00C30250" w:rsidRDefault="00C30250" w:rsidP="00926A5D">
      <w:pPr>
        <w:pStyle w:val="BodyText"/>
        <w:spacing w:before="0" w:after="0"/>
        <w:sectPr w:rsidR="00C30250" w:rsidSect="00194457">
          <w:headerReference w:type="default" r:id="rId26"/>
          <w:pgSz w:w="16838" w:h="11906" w:orient="landscape"/>
          <w:pgMar w:top="1134" w:right="1701" w:bottom="1134" w:left="1134" w:header="709" w:footer="454" w:gutter="0"/>
          <w:cols w:space="708"/>
          <w:docGrid w:linePitch="360"/>
        </w:sectPr>
      </w:pPr>
    </w:p>
    <w:p w14:paraId="120E14C3" w14:textId="436A545B" w:rsidR="00006E8B" w:rsidRDefault="00A44EA9" w:rsidP="00273E1A">
      <w:pPr>
        <w:pStyle w:val="Heading1"/>
      </w:pPr>
      <w:bookmarkStart w:id="65" w:name="_Toc184396566"/>
      <w:bookmarkStart w:id="66" w:name="_Toc216711577"/>
      <w:bookmarkStart w:id="67" w:name="_Toc216791994"/>
      <w:r>
        <w:t>Evaluation findings</w:t>
      </w:r>
      <w:bookmarkEnd w:id="65"/>
      <w:bookmarkEnd w:id="66"/>
      <w:bookmarkEnd w:id="67"/>
    </w:p>
    <w:p w14:paraId="1FF4508C" w14:textId="1B85095E" w:rsidR="00A44EA9" w:rsidRPr="00A44EA9" w:rsidRDefault="00A44EA9" w:rsidP="00273E1A">
      <w:pPr>
        <w:pStyle w:val="Heading2"/>
      </w:pPr>
      <w:bookmarkStart w:id="68" w:name="_Ref181946606"/>
      <w:bookmarkStart w:id="69" w:name="_Toc184396567"/>
      <w:bookmarkStart w:id="70" w:name="_Toc216711578"/>
      <w:bookmarkStart w:id="71" w:name="_Toc216791995"/>
      <w:r>
        <w:t xml:space="preserve">KEQ1: </w:t>
      </w:r>
      <w:r w:rsidR="004F41D1">
        <w:t>Has the MPS Program been implemented as intended?</w:t>
      </w:r>
      <w:bookmarkEnd w:id="68"/>
      <w:bookmarkEnd w:id="69"/>
      <w:bookmarkEnd w:id="70"/>
      <w:bookmarkEnd w:id="71"/>
    </w:p>
    <w:p w14:paraId="4E8A1E5B" w14:textId="46144AA2" w:rsidR="00586895" w:rsidRPr="00242835" w:rsidRDefault="005B2E23" w:rsidP="00242835">
      <w:r w:rsidRPr="00242835">
        <w:t>The implementation domain of inquiry is focused on assessing the extent to which the MPS Program has been implemented as intended. The domain consider</w:t>
      </w:r>
      <w:r w:rsidR="002A437E" w:rsidRPr="00242835">
        <w:t>s</w:t>
      </w:r>
      <w:r w:rsidRPr="00242835">
        <w:t xml:space="preserve"> key enablers and barriers to the program’s implementation. </w:t>
      </w:r>
      <w:r w:rsidR="00586895" w:rsidRPr="00242835">
        <w:t>This Section investigates the following sub-questions:</w:t>
      </w:r>
    </w:p>
    <w:p w14:paraId="24755AEB" w14:textId="77777777" w:rsidR="00B42556" w:rsidRPr="00242835" w:rsidRDefault="00B42556" w:rsidP="00242835">
      <w:r w:rsidRPr="00242835">
        <w:t>1.1 To what extent has the MPS Program been implemented as intended?</w:t>
      </w:r>
    </w:p>
    <w:p w14:paraId="67AD0444" w14:textId="32EF3B25" w:rsidR="00586895" w:rsidRPr="00242835" w:rsidRDefault="000615A0" w:rsidP="00242835">
      <w:r w:rsidRPr="00242835">
        <w:t>1.2 How well were stakeholders (e.g., medical physicists, healthcare providers) engaged in the implementation process?</w:t>
      </w:r>
    </w:p>
    <w:p w14:paraId="688979FF" w14:textId="6893CEE8" w:rsidR="00007D6D" w:rsidRPr="00242835" w:rsidRDefault="00054510" w:rsidP="00242835">
      <w:r w:rsidRPr="00242835">
        <w:t>1.3 What are/have been the key barriers and enablers in implementing the MPS Program?</w:t>
      </w:r>
      <w:bookmarkStart w:id="72" w:name="_Ref181946763"/>
    </w:p>
    <w:tbl>
      <w:tblPr>
        <w:tblStyle w:val="TableGrid"/>
        <w:tblW w:w="9870" w:type="dxa"/>
        <w:tblLook w:val="04A0" w:firstRow="1" w:lastRow="0" w:firstColumn="1" w:lastColumn="0" w:noHBand="0" w:noVBand="1"/>
      </w:tblPr>
      <w:tblGrid>
        <w:gridCol w:w="1408"/>
        <w:gridCol w:w="8462"/>
      </w:tblGrid>
      <w:tr w:rsidR="00C405ED" w14:paraId="09313C0C" w14:textId="77777777" w:rsidTr="002677E7">
        <w:trPr>
          <w:cnfStyle w:val="100000000000" w:firstRow="1" w:lastRow="0" w:firstColumn="0" w:lastColumn="0" w:oddVBand="0" w:evenVBand="0" w:oddHBand="0" w:evenHBand="0" w:firstRowFirstColumn="0" w:firstRowLastColumn="0" w:lastRowFirstColumn="0" w:lastRowLastColumn="0"/>
          <w:trHeight w:val="148"/>
        </w:trPr>
        <w:tc>
          <w:tcPr>
            <w:tcW w:w="1408" w:type="dxa"/>
            <w:tcMar>
              <w:top w:w="113" w:type="dxa"/>
              <w:left w:w="227" w:type="dxa"/>
              <w:bottom w:w="113" w:type="dxa"/>
              <w:right w:w="113" w:type="dxa"/>
            </w:tcMar>
          </w:tcPr>
          <w:p w14:paraId="74280083" w14:textId="77777777" w:rsidR="00C405ED" w:rsidRPr="00DC6578" w:rsidRDefault="00C405ED">
            <w:pPr>
              <w:rPr>
                <w:rFonts w:cs="Arial"/>
                <w:b/>
                <w:bCs/>
              </w:rPr>
            </w:pPr>
            <w:bookmarkStart w:id="73" w:name="_Hlk184307259"/>
            <w:r>
              <w:rPr>
                <w:rFonts w:cs="Arial"/>
                <w:b/>
                <w:bCs/>
                <w:noProof/>
              </w:rPr>
              <w:drawing>
                <wp:inline distT="0" distB="0" distL="0" distR="0" wp14:anchorId="78E9742E" wp14:editId="1C55FA23">
                  <wp:extent cx="283780" cy="283780"/>
                  <wp:effectExtent l="0" t="0" r="0" b="0"/>
                  <wp:docPr id="1129776716"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76716" name="Graphic 37">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flipH="1">
                            <a:off x="0" y="0"/>
                            <a:ext cx="292646" cy="292646"/>
                          </a:xfrm>
                          <a:prstGeom prst="rect">
                            <a:avLst/>
                          </a:prstGeom>
                        </pic:spPr>
                      </pic:pic>
                    </a:graphicData>
                  </a:graphic>
                </wp:inline>
              </w:drawing>
            </w:r>
          </w:p>
        </w:tc>
        <w:tc>
          <w:tcPr>
            <w:tcW w:w="8462" w:type="dxa"/>
            <w:vAlign w:val="center"/>
          </w:tcPr>
          <w:p w14:paraId="3DA8A0E5" w14:textId="77777777" w:rsidR="00C405ED" w:rsidRPr="00DC6578" w:rsidRDefault="00C405ED">
            <w:pPr>
              <w:rPr>
                <w:rFonts w:cs="Arial"/>
                <w:b/>
                <w:bCs/>
              </w:rPr>
            </w:pPr>
            <w:r w:rsidRPr="00DC6578">
              <w:rPr>
                <w:rFonts w:cs="Arial"/>
                <w:b/>
                <w:bCs/>
              </w:rPr>
              <w:t>Key</w:t>
            </w:r>
            <w:r>
              <w:rPr>
                <w:rFonts w:cs="Arial"/>
                <w:b/>
                <w:bCs/>
              </w:rPr>
              <w:t xml:space="preserve"> </w:t>
            </w:r>
            <w:r w:rsidRPr="00DC6578">
              <w:rPr>
                <w:rFonts w:cs="Arial"/>
                <w:b/>
                <w:bCs/>
              </w:rPr>
              <w:t>findings</w:t>
            </w:r>
          </w:p>
        </w:tc>
      </w:tr>
      <w:tr w:rsidR="00645171" w14:paraId="72E0BFA0" w14:textId="77777777" w:rsidTr="002677E7">
        <w:trPr>
          <w:cnfStyle w:val="000000100000" w:firstRow="0" w:lastRow="0" w:firstColumn="0" w:lastColumn="0" w:oddVBand="0" w:evenVBand="0" w:oddHBand="1" w:evenHBand="0" w:firstRowFirstColumn="0" w:firstRowLastColumn="0" w:lastRowFirstColumn="0" w:lastRowLastColumn="0"/>
          <w:trHeight w:val="148"/>
        </w:trPr>
        <w:tc>
          <w:tcPr>
            <w:tcW w:w="9870" w:type="dxa"/>
            <w:gridSpan w:val="2"/>
            <w:tcBorders>
              <w:bottom w:val="single" w:sz="2" w:space="0" w:color="1E49E2"/>
            </w:tcBorders>
            <w:shd w:val="clear" w:color="auto" w:fill="F1F4FE"/>
            <w:tcMar>
              <w:top w:w="113" w:type="dxa"/>
              <w:left w:w="227" w:type="dxa"/>
              <w:bottom w:w="113" w:type="dxa"/>
              <w:right w:w="113" w:type="dxa"/>
            </w:tcMar>
          </w:tcPr>
          <w:p w14:paraId="29606A74" w14:textId="59F0F9F2" w:rsidR="00645171" w:rsidRPr="00DC6578" w:rsidRDefault="00451636">
            <w:pPr>
              <w:rPr>
                <w:rFonts w:cs="Arial"/>
                <w:b/>
                <w:bCs/>
              </w:rPr>
            </w:pPr>
            <w:r w:rsidRPr="002D5EAF">
              <w:rPr>
                <w:rFonts w:cs="Arial"/>
                <w:b/>
                <w:bCs/>
                <w:color w:val="1E49E2" w:themeColor="accent2"/>
              </w:rPr>
              <w:t>The MPS Program has largely been implemented as intended, however several barriers to implementation exist.</w:t>
            </w:r>
          </w:p>
        </w:tc>
      </w:tr>
      <w:tr w:rsidR="00645171" w14:paraId="5753EA51" w14:textId="77777777" w:rsidTr="00E34DB1">
        <w:trPr>
          <w:trHeight w:val="148"/>
        </w:trPr>
        <w:tc>
          <w:tcPr>
            <w:tcW w:w="9870" w:type="dxa"/>
            <w:gridSpan w:val="2"/>
            <w:tcBorders>
              <w:top w:val="single" w:sz="2" w:space="0" w:color="1E49E2"/>
              <w:bottom w:val="single" w:sz="2" w:space="0" w:color="1E49E2"/>
            </w:tcBorders>
            <w:shd w:val="clear" w:color="auto" w:fill="F2F2F2" w:themeFill="background1" w:themeFillShade="F2"/>
            <w:tcMar>
              <w:top w:w="113" w:type="dxa"/>
              <w:left w:w="227" w:type="dxa"/>
              <w:bottom w:w="113" w:type="dxa"/>
              <w:right w:w="113" w:type="dxa"/>
            </w:tcMar>
          </w:tcPr>
          <w:p w14:paraId="2CF1E7BC" w14:textId="7BC9713C" w:rsidR="00645171" w:rsidRPr="00FC52D1" w:rsidRDefault="008E2AB5" w:rsidP="00FC52D1">
            <w:pPr>
              <w:rPr>
                <w:rFonts w:cs="Arial"/>
                <w:i/>
              </w:rPr>
            </w:pPr>
            <w:r w:rsidRPr="008E2AB5">
              <w:rPr>
                <w:rFonts w:cs="Arial"/>
                <w:b/>
                <w:bCs/>
                <w:color w:val="1E49E2" w:themeColor="accent2"/>
              </w:rPr>
              <w:t>Strength of evidence:</w:t>
            </w:r>
            <w:r>
              <w:rPr>
                <w:rFonts w:cs="Arial"/>
                <w:b/>
                <w:bCs/>
              </w:rPr>
              <w:t xml:space="preserve"> </w:t>
            </w:r>
            <w:r w:rsidRPr="00DC27F5">
              <w:rPr>
                <w:rFonts w:cs="Arial"/>
              </w:rPr>
              <w:t>There is</w:t>
            </w:r>
            <w:r>
              <w:rPr>
                <w:rFonts w:cs="Arial"/>
                <w:b/>
                <w:bCs/>
              </w:rPr>
              <w:t xml:space="preserve"> </w:t>
            </w:r>
            <w:r w:rsidRPr="00C3538F">
              <w:rPr>
                <w:rFonts w:cs="Arial"/>
                <w:b/>
              </w:rPr>
              <w:t>sufficient evidence</w:t>
            </w:r>
            <w:r>
              <w:rPr>
                <w:rFonts w:cs="Arial"/>
              </w:rPr>
              <w:t xml:space="preserve">. Insights were captured from a sample of program participants and other stakeholders. </w:t>
            </w:r>
            <w:r w:rsidRPr="00DC27F5">
              <w:rPr>
                <w:rFonts w:cs="Arial"/>
              </w:rPr>
              <w:t>This qualitative data is considered trustworthy, credible, confirmable, and dependable, and therefore is deemed sufficient to support this assessment.</w:t>
            </w:r>
          </w:p>
        </w:tc>
      </w:tr>
      <w:tr w:rsidR="00C405ED" w14:paraId="2ABB4A34" w14:textId="77777777" w:rsidTr="00FC52D1">
        <w:trPr>
          <w:cnfStyle w:val="000000100000" w:firstRow="0" w:lastRow="0" w:firstColumn="0" w:lastColumn="0" w:oddVBand="0" w:evenVBand="0" w:oddHBand="1" w:evenHBand="0" w:firstRowFirstColumn="0" w:firstRowLastColumn="0" w:lastRowFirstColumn="0" w:lastRowLastColumn="0"/>
          <w:trHeight w:val="2454"/>
        </w:trPr>
        <w:tc>
          <w:tcPr>
            <w:tcW w:w="9870" w:type="dxa"/>
            <w:gridSpan w:val="2"/>
            <w:tcBorders>
              <w:top w:val="single" w:sz="2" w:space="0" w:color="1E49E2"/>
              <w:bottom w:val="single" w:sz="2" w:space="0" w:color="1E49E2"/>
            </w:tcBorders>
            <w:tcMar>
              <w:top w:w="113" w:type="dxa"/>
              <w:left w:w="227" w:type="dxa"/>
              <w:bottom w:w="113" w:type="dxa"/>
              <w:right w:w="113" w:type="dxa"/>
            </w:tcMar>
          </w:tcPr>
          <w:p w14:paraId="7867F6A2" w14:textId="5F5E7F51" w:rsidR="00E34DB1" w:rsidRDefault="00E34DB1" w:rsidP="00E34DB1">
            <w:pPr>
              <w:pStyle w:val="Tablelistbullet"/>
              <w:numPr>
                <w:ilvl w:val="0"/>
                <w:numId w:val="0"/>
              </w:numPr>
              <w:ind w:left="360" w:hanging="360"/>
            </w:pPr>
            <w:r>
              <w:rPr>
                <w:rFonts w:cs="Arial"/>
                <w:b/>
                <w:bCs/>
                <w:color w:val="1E49E2" w:themeColor="accent2"/>
              </w:rPr>
              <w:t>Key findings</w:t>
            </w:r>
          </w:p>
          <w:p w14:paraId="2DC443DC" w14:textId="01BF766C" w:rsidR="00FC52D1" w:rsidRDefault="00FC52D1" w:rsidP="00FC52D1">
            <w:pPr>
              <w:pStyle w:val="Tablelistbullet"/>
            </w:pPr>
            <w:r>
              <w:t>Supervisors play a critical role in the delivery of training through the TEAP. They are also an important enabler of the TEAP as they provide support to Registrars and facilitate access to equipment and contacts to enable Registrars to complete</w:t>
            </w:r>
            <w:r w:rsidR="006C6459">
              <w:t xml:space="preserve"> </w:t>
            </w:r>
            <w:r w:rsidR="00470243">
              <w:t>the program</w:t>
            </w:r>
            <w:r>
              <w:t xml:space="preserve">. Registrars and Supervisors commented on variability in TEAP experiences and the level of support and resources across facilities, jurisdictions, and TEAP streams. There is an onus on facilities and Supervisors to develop training resources and provide support to trainees, resulting in some duplication of effort. </w:t>
            </w:r>
          </w:p>
          <w:p w14:paraId="5D6C2670" w14:textId="139FE36B" w:rsidR="00FC52D1" w:rsidRPr="00055FC9" w:rsidRDefault="00FC52D1" w:rsidP="00194457">
            <w:pPr>
              <w:pStyle w:val="Tablelistbullet"/>
            </w:pPr>
            <w:r w:rsidRPr="008034E8">
              <w:t xml:space="preserve">ACPSEM grants to facilities employing TEAP Registrars are frequently cited by facilities as an important enabler for facilities to employ TEAP Registrars, however facilities report that the funding is insufficient and has not </w:t>
            </w:r>
            <w:r w:rsidRPr="00055FC9">
              <w:t>kept up with rising costs. Grants are distributed in accordance with workforce need, with grants to regional facilities prioritised by ACPSEM where possible.</w:t>
            </w:r>
          </w:p>
          <w:p w14:paraId="6DE2A405" w14:textId="49FCA13E" w:rsidR="00C405ED" w:rsidRPr="00FC52D1" w:rsidRDefault="00FC52D1" w:rsidP="00FC52D1">
            <w:pPr>
              <w:pStyle w:val="Tablelistbullet"/>
              <w:rPr>
                <w:rFonts w:cs="Arial"/>
              </w:rPr>
            </w:pPr>
            <w:r w:rsidRPr="00055FC9">
              <w:t>A prominent theme from consultations and international literature is that the medical physicist workforce is small and generally poorly understood. According to stakeholders, a lack of professional recognition in Australia is creating chal</w:t>
            </w:r>
            <w:r w:rsidRPr="008034E8">
              <w:rPr>
                <w:rFonts w:cs="Arial"/>
              </w:rPr>
              <w:t>lenges to creating permanent employment positions for medical physicists and makes it challenging for TEAP Registrars to find employment following program completion.</w:t>
            </w:r>
          </w:p>
        </w:tc>
      </w:tr>
      <w:tr w:rsidR="00FC52D1" w14:paraId="6DFF247E" w14:textId="77777777" w:rsidTr="00FC52D1">
        <w:trPr>
          <w:trHeight w:val="333"/>
        </w:trPr>
        <w:tc>
          <w:tcPr>
            <w:tcW w:w="9870" w:type="dxa"/>
            <w:gridSpan w:val="2"/>
            <w:tcBorders>
              <w:top w:val="single" w:sz="2" w:space="0" w:color="1E49E2"/>
            </w:tcBorders>
            <w:shd w:val="clear" w:color="auto" w:fill="F2F2F2" w:themeFill="background1" w:themeFillShade="F2"/>
            <w:tcMar>
              <w:top w:w="113" w:type="dxa"/>
              <w:left w:w="227" w:type="dxa"/>
              <w:bottom w:w="113" w:type="dxa"/>
              <w:right w:w="113" w:type="dxa"/>
            </w:tcMar>
          </w:tcPr>
          <w:p w14:paraId="7A7B79DE" w14:textId="379FEFDB" w:rsidR="00FC52D1" w:rsidRPr="00582C82" w:rsidRDefault="00FC52D1" w:rsidP="00FC52D1">
            <w:pPr>
              <w:pStyle w:val="Tablelistbullet"/>
              <w:numPr>
                <w:ilvl w:val="0"/>
                <w:numId w:val="0"/>
              </w:numPr>
              <w:ind w:left="360" w:hanging="360"/>
            </w:pPr>
            <w:r w:rsidRPr="00E34DB1">
              <w:rPr>
                <w:rFonts w:cs="Arial"/>
                <w:b/>
                <w:color w:val="1E49E2" w:themeColor="accent2"/>
              </w:rPr>
              <w:t>Limitations:</w:t>
            </w:r>
            <w:r>
              <w:t xml:space="preserve"> </w:t>
            </w:r>
            <w:r w:rsidRPr="00E34DB1">
              <w:rPr>
                <w:rFonts w:cs="Arial"/>
              </w:rPr>
              <w:t>RPS limitations is applicable to KEQ1</w:t>
            </w:r>
            <w:r w:rsidR="00E34DB1">
              <w:rPr>
                <w:rFonts w:cs="Arial"/>
              </w:rPr>
              <w:t>.</w:t>
            </w:r>
          </w:p>
        </w:tc>
      </w:tr>
    </w:tbl>
    <w:bookmarkEnd w:id="73"/>
    <w:p w14:paraId="7EBD56E8" w14:textId="4DCA35B1" w:rsidR="00A943DA" w:rsidRDefault="00483670" w:rsidP="00273E1A">
      <w:r>
        <w:t xml:space="preserve">When considering the implementation of the MPS Program, it should be noted that the Department affords flexibility to </w:t>
      </w:r>
      <w:r w:rsidR="00A85DA3">
        <w:t>ACPSEM</w:t>
      </w:r>
      <w:r>
        <w:t xml:space="preserve"> to implement the MPS Program as they seem fit. </w:t>
      </w:r>
      <w:r w:rsidR="00023ADA">
        <w:t>Examples of p</w:t>
      </w:r>
      <w:r>
        <w:t xml:space="preserve">rogram elements that are within ACPSEM’s control include </w:t>
      </w:r>
      <w:r w:rsidR="004948E8">
        <w:t xml:space="preserve">TEAP design (including the role of Supervisors), TEAP </w:t>
      </w:r>
      <w:r>
        <w:t xml:space="preserve">curriculum, TEAP supports and resources, </w:t>
      </w:r>
      <w:r w:rsidR="009A4F1D">
        <w:t xml:space="preserve">and </w:t>
      </w:r>
      <w:r>
        <w:t xml:space="preserve">the LMS, ALEX. This </w:t>
      </w:r>
      <w:r w:rsidR="00A943DA">
        <w:t>p</w:t>
      </w:r>
      <w:r>
        <w:t>rogram flexibility allows ACPSEM to determine how best to respond to the needs of the workforce</w:t>
      </w:r>
      <w:r w:rsidR="003A1D1F">
        <w:t xml:space="preserve"> in the dynamic field</w:t>
      </w:r>
      <w:r>
        <w:t xml:space="preserve">, for example by incorporating medical and technological advancements into the curriculum. </w:t>
      </w:r>
      <w:r w:rsidR="00866970">
        <w:t xml:space="preserve">Additionally, </w:t>
      </w:r>
      <w:r w:rsidR="005B10BA">
        <w:t>there is flexibility in the implementation of TEAP at the facility level, such as</w:t>
      </w:r>
      <w:r w:rsidR="001D7C3D">
        <w:t xml:space="preserve"> </w:t>
      </w:r>
      <w:r w:rsidR="003C4ACF">
        <w:t xml:space="preserve">facilities </w:t>
      </w:r>
      <w:r w:rsidR="001D7C3D">
        <w:t>determining</w:t>
      </w:r>
      <w:r w:rsidR="005B10BA">
        <w:t xml:space="preserve"> the </w:t>
      </w:r>
      <w:r w:rsidR="00C87845">
        <w:t xml:space="preserve">split between clinical responsibilities and protected TEAP time of </w:t>
      </w:r>
      <w:r w:rsidR="003C4ACF">
        <w:t xml:space="preserve">their </w:t>
      </w:r>
      <w:r w:rsidR="00C87845">
        <w:t>Supervisors and Registrars</w:t>
      </w:r>
      <w:r w:rsidR="00BD0B2E">
        <w:t>. These</w:t>
      </w:r>
      <w:r w:rsidR="00095B94">
        <w:t xml:space="preserve"> program elements have </w:t>
      </w:r>
      <w:r w:rsidR="00C87845">
        <w:t xml:space="preserve">implications for the experience </w:t>
      </w:r>
      <w:r w:rsidR="00095B94">
        <w:t xml:space="preserve">of Supervisors and Registrars and </w:t>
      </w:r>
      <w:r w:rsidR="00EF4A5E">
        <w:t xml:space="preserve">program outcomes, </w:t>
      </w:r>
      <w:r w:rsidR="00950ABA">
        <w:t>as</w:t>
      </w:r>
      <w:r w:rsidR="00EF4A5E">
        <w:t xml:space="preserve"> discussed in </w:t>
      </w:r>
      <w:r w:rsidR="00A41729">
        <w:t xml:space="preserve">this </w:t>
      </w:r>
      <w:r w:rsidR="00EF4A5E">
        <w:t>Section</w:t>
      </w:r>
      <w:r w:rsidR="00C87845">
        <w:t>.</w:t>
      </w:r>
    </w:p>
    <w:p w14:paraId="0EAD6B35" w14:textId="6DA147E1" w:rsidR="001D7C3D" w:rsidRDefault="001D7C3D" w:rsidP="00760072">
      <w:pPr>
        <w:pStyle w:val="BodyText"/>
      </w:pPr>
      <w:r>
        <w:t>External workforce factors that are outside the control of both ACPSEM and the Department, such as the prevalence of employment positions and remuneration of medical physicists</w:t>
      </w:r>
      <w:r w:rsidR="001A339C">
        <w:t>, may also impact the achievement of intended program outcomes.</w:t>
      </w:r>
      <w:r w:rsidR="001C3044">
        <w:t xml:space="preserve"> </w:t>
      </w:r>
      <w:proofErr w:type="gramStart"/>
      <w:r w:rsidR="001C3044">
        <w:t>In light of</w:t>
      </w:r>
      <w:proofErr w:type="gramEnd"/>
      <w:r w:rsidR="001C3044">
        <w:t xml:space="preserve"> this, the evaluation has identified </w:t>
      </w:r>
      <w:r w:rsidR="00ED79FC">
        <w:t xml:space="preserve">some </w:t>
      </w:r>
      <w:r w:rsidR="00E4372D">
        <w:t xml:space="preserve">program </w:t>
      </w:r>
      <w:r w:rsidR="00ED79FC">
        <w:t>enablers and barriers which are</w:t>
      </w:r>
      <w:r w:rsidR="001C3044">
        <w:t xml:space="preserve"> </w:t>
      </w:r>
      <w:r w:rsidR="009264E3">
        <w:t xml:space="preserve">largely </w:t>
      </w:r>
      <w:r w:rsidR="001229AA">
        <w:t xml:space="preserve">determined </w:t>
      </w:r>
      <w:r w:rsidR="00267133">
        <w:t>by facilities</w:t>
      </w:r>
      <w:r w:rsidR="00760072">
        <w:t>,</w:t>
      </w:r>
      <w:r w:rsidR="00267133">
        <w:t xml:space="preserve"> </w:t>
      </w:r>
      <w:r w:rsidR="00746B97">
        <w:t>jurisdictions</w:t>
      </w:r>
      <w:r w:rsidR="00760072">
        <w:t>, or other stakeholders.</w:t>
      </w:r>
      <w:r w:rsidR="00267133">
        <w:t xml:space="preserve"> </w:t>
      </w:r>
      <w:r w:rsidR="00E20E06">
        <w:t>These</w:t>
      </w:r>
      <w:r w:rsidR="00267133">
        <w:t xml:space="preserve"> have been included to provide a holistic view of the program and its nuances, </w:t>
      </w:r>
      <w:r w:rsidR="00DC365B">
        <w:t>and include</w:t>
      </w:r>
      <w:r w:rsidR="00267133">
        <w:t>:</w:t>
      </w:r>
    </w:p>
    <w:p w14:paraId="4E693083" w14:textId="69853E56" w:rsidR="00B8402C" w:rsidRDefault="00B8402C" w:rsidP="00584EC6">
      <w:pPr>
        <w:pStyle w:val="BodyText"/>
        <w:numPr>
          <w:ilvl w:val="0"/>
          <w:numId w:val="71"/>
        </w:numPr>
      </w:pPr>
      <w:r>
        <w:t>Dedicated support roles</w:t>
      </w:r>
      <w:r w:rsidR="001C6009">
        <w:t>, supports and resources</w:t>
      </w:r>
      <w:r>
        <w:t xml:space="preserve"> funded by jurisdictions or </w:t>
      </w:r>
      <w:proofErr w:type="gramStart"/>
      <w:r>
        <w:t>facilities</w:t>
      </w:r>
      <w:r w:rsidR="0091321B">
        <w:t>;</w:t>
      </w:r>
      <w:proofErr w:type="gramEnd"/>
    </w:p>
    <w:p w14:paraId="7F2DACE5" w14:textId="4E649479" w:rsidR="003A37CF" w:rsidRDefault="003A37CF" w:rsidP="00584EC6">
      <w:pPr>
        <w:pStyle w:val="BodyText"/>
        <w:numPr>
          <w:ilvl w:val="0"/>
          <w:numId w:val="71"/>
        </w:numPr>
      </w:pPr>
      <w:r>
        <w:t xml:space="preserve">Collaboration and partnership between </w:t>
      </w:r>
      <w:proofErr w:type="gramStart"/>
      <w:r>
        <w:t>facilities</w:t>
      </w:r>
      <w:r w:rsidR="0091321B">
        <w:t>;</w:t>
      </w:r>
      <w:proofErr w:type="gramEnd"/>
    </w:p>
    <w:p w14:paraId="472FEFE2" w14:textId="1865980F" w:rsidR="004F7349" w:rsidRDefault="004F7349" w:rsidP="00584EC6">
      <w:pPr>
        <w:pStyle w:val="BodyText"/>
        <w:numPr>
          <w:ilvl w:val="0"/>
          <w:numId w:val="71"/>
        </w:numPr>
      </w:pPr>
      <w:r>
        <w:t xml:space="preserve">Limited professional experience of TEAP </w:t>
      </w:r>
      <w:proofErr w:type="gramStart"/>
      <w:r>
        <w:t>candidates</w:t>
      </w:r>
      <w:r w:rsidR="0091321B">
        <w:t>;</w:t>
      </w:r>
      <w:proofErr w:type="gramEnd"/>
      <w:r w:rsidR="00DD5A6D">
        <w:t xml:space="preserve"> </w:t>
      </w:r>
    </w:p>
    <w:p w14:paraId="043FA855" w14:textId="0A1A5550" w:rsidR="00862CEA" w:rsidRDefault="00862CEA" w:rsidP="00584EC6">
      <w:pPr>
        <w:pStyle w:val="BodyText"/>
        <w:numPr>
          <w:ilvl w:val="0"/>
          <w:numId w:val="71"/>
        </w:numPr>
      </w:pPr>
      <w:r>
        <w:t xml:space="preserve">Access to </w:t>
      </w:r>
      <w:proofErr w:type="gramStart"/>
      <w:r>
        <w:t>Supervisors</w:t>
      </w:r>
      <w:r w:rsidR="005F1874">
        <w:t>;</w:t>
      </w:r>
      <w:proofErr w:type="gramEnd"/>
    </w:p>
    <w:p w14:paraId="719D6780" w14:textId="720FE7C7" w:rsidR="005F1874" w:rsidRDefault="005F1874" w:rsidP="00584EC6">
      <w:pPr>
        <w:pStyle w:val="BodyText"/>
        <w:numPr>
          <w:ilvl w:val="0"/>
          <w:numId w:val="71"/>
        </w:numPr>
      </w:pPr>
      <w:r>
        <w:t>Limited professional recognition;</w:t>
      </w:r>
      <w:r w:rsidR="000A4BAF">
        <w:t xml:space="preserve"> and</w:t>
      </w:r>
    </w:p>
    <w:p w14:paraId="420D8BC5" w14:textId="22C911C8" w:rsidR="005F1874" w:rsidRDefault="006A7846" w:rsidP="00584EC6">
      <w:pPr>
        <w:pStyle w:val="BodyText"/>
        <w:numPr>
          <w:ilvl w:val="0"/>
          <w:numId w:val="71"/>
        </w:numPr>
      </w:pPr>
      <w:r>
        <w:t xml:space="preserve">Availability of </w:t>
      </w:r>
      <w:r w:rsidR="000A4BAF">
        <w:t xml:space="preserve">TEAP and </w:t>
      </w:r>
      <w:r>
        <w:t>employment positions.</w:t>
      </w:r>
    </w:p>
    <w:p w14:paraId="6B70F9EB" w14:textId="7D4D64D8" w:rsidR="005B2E23" w:rsidRPr="00AE349D" w:rsidRDefault="00EA0F89" w:rsidP="00AE349D">
      <w:pPr>
        <w:pStyle w:val="Heading3"/>
      </w:pPr>
      <w:bookmarkStart w:id="74" w:name="_Ref182485956"/>
      <w:bookmarkStart w:id="75" w:name="_Ref182582028"/>
      <w:bookmarkStart w:id="76" w:name="_Toc216711579"/>
      <w:bookmarkEnd w:id="72"/>
      <w:r w:rsidRPr="00AE349D">
        <w:t>Training, education and assessment</w:t>
      </w:r>
      <w:bookmarkEnd w:id="74"/>
      <w:bookmarkEnd w:id="75"/>
      <w:bookmarkEnd w:id="76"/>
      <w:r w:rsidRPr="00AE349D">
        <w:t xml:space="preserve"> </w:t>
      </w:r>
    </w:p>
    <w:p w14:paraId="01234779" w14:textId="77E43EE2" w:rsidR="008D38FF" w:rsidRPr="008D38FF" w:rsidRDefault="00506168" w:rsidP="008D38FF">
      <w:pPr>
        <w:pStyle w:val="BodyText"/>
      </w:pPr>
      <w:r>
        <w:t xml:space="preserve">The MPS Program funds </w:t>
      </w:r>
      <w:r w:rsidR="0060194C">
        <w:t xml:space="preserve">ACPSEM for the </w:t>
      </w:r>
      <w:r>
        <w:t>training, certification</w:t>
      </w:r>
      <w:r w:rsidR="009D117A">
        <w:t>, education</w:t>
      </w:r>
      <w:r>
        <w:t xml:space="preserve"> and assessment of medical physicists</w:t>
      </w:r>
      <w:r w:rsidR="0060194C">
        <w:t xml:space="preserve"> and associated activities</w:t>
      </w:r>
      <w:r>
        <w:t>.</w:t>
      </w:r>
      <w:r w:rsidR="0060194C">
        <w:t xml:space="preserve"> </w:t>
      </w:r>
      <w:r w:rsidR="007161AD">
        <w:t xml:space="preserve">A significant component of the MPS Program is </w:t>
      </w:r>
      <w:r w:rsidR="006D1E5E">
        <w:t>developing</w:t>
      </w:r>
      <w:r w:rsidR="0065109B">
        <w:t xml:space="preserve"> the curricula and coordinat</w:t>
      </w:r>
      <w:r w:rsidR="006D1E5E">
        <w:t>ing</w:t>
      </w:r>
      <w:r w:rsidR="0065109B">
        <w:t xml:space="preserve"> training through</w:t>
      </w:r>
      <w:r w:rsidR="00D244C1">
        <w:t xml:space="preserve"> the TEAP</w:t>
      </w:r>
      <w:r w:rsidR="005E4CF4">
        <w:t>.</w:t>
      </w:r>
      <w:r w:rsidR="00A22F24">
        <w:t xml:space="preserve"> This </w:t>
      </w:r>
      <w:r w:rsidR="00F549C9">
        <w:t>S</w:t>
      </w:r>
      <w:r w:rsidR="00A22F24">
        <w:t xml:space="preserve">ection investigates the extent to which the TEAP </w:t>
      </w:r>
      <w:r w:rsidR="005E4CF4">
        <w:t xml:space="preserve">and associated activities </w:t>
      </w:r>
      <w:r w:rsidR="00A22F24">
        <w:t>ha</w:t>
      </w:r>
      <w:r w:rsidR="005E4CF4">
        <w:t>ve</w:t>
      </w:r>
      <w:r w:rsidR="00A22F24">
        <w:t xml:space="preserve"> been implemented as intended.</w:t>
      </w:r>
      <w:r w:rsidR="00E970F3">
        <w:t xml:space="preserve"> </w:t>
      </w:r>
    </w:p>
    <w:p w14:paraId="2AB5C258" w14:textId="69D2E2F2" w:rsidR="00F70E1A" w:rsidRPr="00DC27F5" w:rsidRDefault="009E6E1E" w:rsidP="00273E1A">
      <w:pPr>
        <w:pStyle w:val="Heading4"/>
        <w:rPr>
          <w:b w:val="0"/>
          <w:sz w:val="22"/>
        </w:rPr>
      </w:pPr>
      <w:r w:rsidRPr="00504BA0">
        <w:t>Implementation of training</w:t>
      </w:r>
      <w:r w:rsidR="008678D0" w:rsidRPr="00DC27F5">
        <w:rPr>
          <w:sz w:val="22"/>
        </w:rPr>
        <w:t xml:space="preserve"> through</w:t>
      </w:r>
      <w:r w:rsidR="00E83809" w:rsidRPr="00DC27F5">
        <w:rPr>
          <w:sz w:val="22"/>
        </w:rPr>
        <w:t xml:space="preserve"> TEAP</w:t>
      </w:r>
    </w:p>
    <w:p w14:paraId="45D70820" w14:textId="5595D9BA" w:rsidR="007455F1" w:rsidRPr="00487C0D" w:rsidRDefault="00BD6A89" w:rsidP="00273E1A">
      <w:pPr>
        <w:pStyle w:val="Heading5"/>
      </w:pPr>
      <w:r w:rsidRPr="00487C0D">
        <w:t xml:space="preserve">The </w:t>
      </w:r>
      <w:r w:rsidR="0052315B">
        <w:t>role of</w:t>
      </w:r>
      <w:r w:rsidRPr="00487C0D">
        <w:t xml:space="preserve"> </w:t>
      </w:r>
      <w:r w:rsidR="0052315B">
        <w:t>S</w:t>
      </w:r>
      <w:r w:rsidRPr="00487C0D">
        <w:t>upervisors</w:t>
      </w:r>
      <w:r w:rsidR="0052315B">
        <w:t xml:space="preserve"> in delivering training through TEAP</w:t>
      </w:r>
    </w:p>
    <w:p w14:paraId="2702276C" w14:textId="1E71A0CD" w:rsidR="00BE50FC" w:rsidRDefault="00BE50FC" w:rsidP="00BE50FC">
      <w:pPr>
        <w:pStyle w:val="BodyText"/>
      </w:pPr>
      <w:r>
        <w:t>According to ACPSEM Grant Contracts, the Supervisor is an ACPSEM certified and/or registered physicist or scientist whom is employed by the facility and is accredited or is in the process of being accredited as a Supervisor for TEAP by ACPSEM.</w:t>
      </w:r>
      <w:r w:rsidR="001D1A3C">
        <w:rPr>
          <w:rFonts w:ascii="ZWAdobeF" w:hAnsi="ZWAdobeF" w:cs="ZWAdobeF"/>
          <w:sz w:val="2"/>
          <w:szCs w:val="2"/>
        </w:rPr>
        <w:t>15F</w:t>
      </w:r>
      <w:r w:rsidR="005F7EBC">
        <w:rPr>
          <w:rFonts w:ascii="ZWAdobeF" w:hAnsi="ZWAdobeF" w:cs="ZWAdobeF"/>
          <w:sz w:val="2"/>
          <w:szCs w:val="2"/>
        </w:rPr>
        <w:t>19F</w:t>
      </w:r>
      <w:r>
        <w:rPr>
          <w:rStyle w:val="FootnoteReference"/>
        </w:rPr>
        <w:footnoteReference w:id="21"/>
      </w:r>
      <w:r>
        <w:t xml:space="preserve"> </w:t>
      </w:r>
      <w:r w:rsidR="008C2D4A">
        <w:t>The</w:t>
      </w:r>
      <w:r>
        <w:t xml:space="preserve"> Supervisor is required to establish educational objectives with the Trainee within six months of beginning TEAP and review these at least annually, and accommodate the Trainee’s required learning outcomes.</w:t>
      </w:r>
      <w:r w:rsidR="00046A38">
        <w:t xml:space="preserve"> This role has been identified as a key enabler for TEAP (see </w:t>
      </w:r>
      <w:r w:rsidR="00D222DD">
        <w:t xml:space="preserve">subparagraph </w:t>
      </w:r>
      <w:r w:rsidR="00D222DD" w:rsidRPr="00DC27F5">
        <w:rPr>
          <w:i/>
          <w:iCs/>
          <w:highlight w:val="yellow"/>
        </w:rPr>
        <w:fldChar w:fldCharType="begin" w:fldLock="1"/>
      </w:r>
      <w:r w:rsidR="00D222DD" w:rsidRPr="00DC27F5">
        <w:rPr>
          <w:i/>
          <w:iCs/>
        </w:rPr>
        <w:instrText xml:space="preserve"> REF _Ref182486085 \h </w:instrText>
      </w:r>
      <w:r w:rsidR="00D222DD">
        <w:rPr>
          <w:i/>
          <w:iCs/>
          <w:highlight w:val="yellow"/>
        </w:rPr>
        <w:instrText xml:space="preserve"> \* MERGEFORMAT </w:instrText>
      </w:r>
      <w:r w:rsidR="00D222DD" w:rsidRPr="00DC27F5">
        <w:rPr>
          <w:i/>
          <w:iCs/>
          <w:highlight w:val="yellow"/>
        </w:rPr>
      </w:r>
      <w:r w:rsidR="00D222DD" w:rsidRPr="00DC27F5">
        <w:rPr>
          <w:i/>
          <w:iCs/>
          <w:highlight w:val="yellow"/>
        </w:rPr>
        <w:fldChar w:fldCharType="separate"/>
      </w:r>
      <w:r w:rsidR="00D35A75" w:rsidRPr="00D35A75">
        <w:rPr>
          <w:i/>
          <w:iCs/>
        </w:rPr>
        <w:t>Enablers</w:t>
      </w:r>
      <w:r w:rsidR="00D222DD" w:rsidRPr="00DC27F5">
        <w:rPr>
          <w:i/>
          <w:iCs/>
          <w:highlight w:val="yellow"/>
        </w:rPr>
        <w:fldChar w:fldCharType="end"/>
      </w:r>
      <w:r w:rsidR="00046A38">
        <w:t>).</w:t>
      </w:r>
    </w:p>
    <w:p w14:paraId="7FDE12B0" w14:textId="77777777" w:rsidR="00BB0B7E" w:rsidRDefault="00BB0B7E" w:rsidP="00BB0B7E">
      <w:pPr>
        <w:pStyle w:val="BodyText"/>
      </w:pPr>
      <w:r>
        <w:t>Through consultation and survey responses, Supervisors were found to play a critical role in the delivery of TEAP, with significant influence over the quality of teaching and Registrar experience. In practice, Supervisor responsibilities were found to include developing a training plan with the Registrar, delivering training, assessing the Registrar’s work, regularly providing feedback, and where appropriate facilitating access to equipment and contacts to enable the Registrar to complete all training requirements.</w:t>
      </w:r>
    </w:p>
    <w:p w14:paraId="491E95AF" w14:textId="17C69D80" w:rsidR="00642586" w:rsidRPr="00DC27F5" w:rsidRDefault="0040383B" w:rsidP="00DC27F5">
      <w:pPr>
        <w:pStyle w:val="Heading5"/>
      </w:pPr>
      <w:r w:rsidRPr="00DC27F5">
        <w:t>Supervisor burden and capacity</w:t>
      </w:r>
    </w:p>
    <w:p w14:paraId="64F2D41A" w14:textId="1CBCEA21" w:rsidR="002E6E7B" w:rsidDel="00536F2B" w:rsidRDefault="002E6E7B" w:rsidP="002E6E7B">
      <w:pPr>
        <w:pStyle w:val="BodyText"/>
      </w:pPr>
      <w:proofErr w:type="gramStart"/>
      <w:r>
        <w:t>A majority of</w:t>
      </w:r>
      <w:proofErr w:type="gramEnd"/>
      <w:r>
        <w:t xml:space="preserve"> surveyed </w:t>
      </w:r>
      <w:r w:rsidR="00E03A1D">
        <w:t>S</w:t>
      </w:r>
      <w:r>
        <w:t>upervisors (72%</w:t>
      </w:r>
      <w:r w:rsidR="00C555FD">
        <w:t>, 39 respondents</w:t>
      </w:r>
      <w:r>
        <w:t xml:space="preserve">) reported that they had capacity to provide trainees with an appropriate level of support, however 15% </w:t>
      </w:r>
      <w:r w:rsidR="000A0108">
        <w:t xml:space="preserve">(8 respondents) </w:t>
      </w:r>
      <w:r>
        <w:t>disagreed with this statement</w:t>
      </w:r>
      <w:r w:rsidR="00A913E6">
        <w:t xml:space="preserve"> (see </w:t>
      </w:r>
      <w:r w:rsidR="00C07C47">
        <w:fldChar w:fldCharType="begin" w:fldLock="1"/>
      </w:r>
      <w:r w:rsidR="00C07C47">
        <w:instrText xml:space="preserve"> REF _Ref182576952 \h </w:instrText>
      </w:r>
      <w:r w:rsidR="00C07C47">
        <w:fldChar w:fldCharType="separate"/>
      </w:r>
      <w:r w:rsidR="00D35A75">
        <w:t xml:space="preserve">Figure </w:t>
      </w:r>
      <w:r w:rsidR="002A4D22" w:rsidDel="00BA2814">
        <w:rPr>
          <w:noProof/>
        </w:rPr>
        <w:t>4</w:t>
      </w:r>
      <w:r w:rsidR="00C07C47">
        <w:fldChar w:fldCharType="end"/>
      </w:r>
      <w:r w:rsidR="00C07C47">
        <w:t xml:space="preserve"> </w:t>
      </w:r>
      <w:r w:rsidR="00A913E6">
        <w:t>below</w:t>
      </w:r>
      <w:r w:rsidR="00EB0074">
        <w:t>, n=54</w:t>
      </w:r>
      <w:r w:rsidR="00A913E6">
        <w:t>)</w:t>
      </w:r>
      <w:r>
        <w:t>. Registrar sentiment toward the level of support provided by Supervisors is positive, with over half (5</w:t>
      </w:r>
      <w:r w:rsidR="000A3A95">
        <w:t>5</w:t>
      </w:r>
      <w:r>
        <w:t>%</w:t>
      </w:r>
      <w:r w:rsidR="000A0108">
        <w:t>, 33 respondents</w:t>
      </w:r>
      <w:r>
        <w:t xml:space="preserve">) of surveyed trainees strongly agreeing that their </w:t>
      </w:r>
      <w:proofErr w:type="gramStart"/>
      <w:r w:rsidR="009E1E9F">
        <w:t>S</w:t>
      </w:r>
      <w:r>
        <w:t>upervisor</w:t>
      </w:r>
      <w:proofErr w:type="gramEnd"/>
      <w:r>
        <w:t xml:space="preserve"> makes or made themselves available to provide an appropriate level of ongoing support. However, </w:t>
      </w:r>
      <w:r w:rsidR="000A3A95">
        <w:t>20</w:t>
      </w:r>
      <w:r>
        <w:t xml:space="preserve">% of surveyed Registrars </w:t>
      </w:r>
      <w:r w:rsidR="000A0108">
        <w:t>(12 respondents)</w:t>
      </w:r>
      <w:r>
        <w:t xml:space="preserve"> somewhat or strongly disagreed with this statement</w:t>
      </w:r>
      <w:r w:rsidR="00C07C47">
        <w:t xml:space="preserve"> (see </w:t>
      </w:r>
      <w:r w:rsidR="00C07C47">
        <w:fldChar w:fldCharType="begin" w:fldLock="1"/>
      </w:r>
      <w:r w:rsidR="00C07C47">
        <w:instrText xml:space="preserve"> REF _Ref182576973 \h </w:instrText>
      </w:r>
      <w:r w:rsidR="00C07C47">
        <w:fldChar w:fldCharType="separate"/>
      </w:r>
      <w:r w:rsidR="00D35A75">
        <w:t xml:space="preserve">Figure </w:t>
      </w:r>
      <w:r w:rsidR="002A4D22" w:rsidDel="00BA2814">
        <w:rPr>
          <w:noProof/>
        </w:rPr>
        <w:t>5</w:t>
      </w:r>
      <w:r w:rsidR="00C07C47">
        <w:fldChar w:fldCharType="end"/>
      </w:r>
      <w:r w:rsidR="008B52AC">
        <w:t>, n=</w:t>
      </w:r>
      <w:r w:rsidR="009D0FCD">
        <w:t>60</w:t>
      </w:r>
      <w:r w:rsidR="00C07C47">
        <w:t>)</w:t>
      </w:r>
      <w:r>
        <w:t>.</w:t>
      </w:r>
      <w:r w:rsidR="00101252">
        <w:t xml:space="preserve"> </w:t>
      </w:r>
    </w:p>
    <w:p w14:paraId="4999801C" w14:textId="77777777" w:rsidR="008C5779" w:rsidRDefault="008C5779">
      <w:pPr>
        <w:spacing w:before="0" w:after="160" w:line="259" w:lineRule="auto"/>
      </w:pPr>
      <w:r>
        <w:br w:type="page"/>
      </w:r>
    </w:p>
    <w:tbl>
      <w:tblPr>
        <w:tblStyle w:val="TableGrid"/>
        <w:tblW w:w="0" w:type="auto"/>
        <w:tblLook w:val="04A0" w:firstRow="1" w:lastRow="0" w:firstColumn="1" w:lastColumn="0" w:noHBand="0" w:noVBand="1"/>
      </w:tblPr>
      <w:tblGrid>
        <w:gridCol w:w="4762"/>
        <w:gridCol w:w="4876"/>
      </w:tblGrid>
      <w:tr w:rsidR="00F317C1" w14:paraId="1FDE2A02" w14:textId="77777777" w:rsidTr="00DC27F5">
        <w:trPr>
          <w:cnfStyle w:val="100000000000" w:firstRow="1" w:lastRow="0" w:firstColumn="0" w:lastColumn="0" w:oddVBand="0" w:evenVBand="0" w:oddHBand="0" w:evenHBand="0" w:firstRowFirstColumn="0" w:firstRowLastColumn="0" w:lastRowFirstColumn="0" w:lastRowLastColumn="0"/>
        </w:trPr>
        <w:tc>
          <w:tcPr>
            <w:tcW w:w="0" w:type="dxa"/>
          </w:tcPr>
          <w:p w14:paraId="23F768D3" w14:textId="67B67EEC" w:rsidR="00F317C1" w:rsidRPr="00FB3B57" w:rsidRDefault="00F317C1" w:rsidP="00F317C1">
            <w:pPr>
              <w:pStyle w:val="Caption"/>
              <w:rPr>
                <w:color w:val="auto"/>
              </w:rPr>
            </w:pPr>
            <w:r w:rsidRPr="00FB3B57">
              <w:rPr>
                <w:color w:val="auto"/>
              </w:rPr>
              <w:t xml:space="preserve">Figure </w:t>
            </w:r>
            <w:r w:rsidRPr="00FB3B57">
              <w:rPr>
                <w:color w:val="auto"/>
              </w:rPr>
              <w:fldChar w:fldCharType="begin"/>
            </w:r>
            <w:r w:rsidRPr="00FB3B57">
              <w:rPr>
                <w:color w:val="auto"/>
              </w:rPr>
              <w:instrText>SEQ Figure \* ARABIC</w:instrText>
            </w:r>
            <w:r w:rsidRPr="00FB3B57">
              <w:rPr>
                <w:color w:val="auto"/>
              </w:rPr>
              <w:fldChar w:fldCharType="separate"/>
            </w:r>
            <w:r w:rsidR="005F7EBC" w:rsidRPr="00FB3B57">
              <w:rPr>
                <w:noProof/>
                <w:color w:val="auto"/>
              </w:rPr>
              <w:t>4</w:t>
            </w:r>
            <w:r w:rsidRPr="00FB3B57">
              <w:rPr>
                <w:color w:val="auto"/>
              </w:rPr>
              <w:fldChar w:fldCharType="end"/>
            </w:r>
            <w:r w:rsidRPr="00FB3B57">
              <w:rPr>
                <w:color w:val="auto"/>
              </w:rPr>
              <w:t>: Responses of surveyed Supervisors to the statements ‘I have capacity to provide trainees with an appropriate level of support’</w:t>
            </w:r>
            <w:r w:rsidR="00EB0074" w:rsidRPr="00FB3B57">
              <w:rPr>
                <w:color w:val="auto"/>
              </w:rPr>
              <w:t xml:space="preserve"> (n=54)</w:t>
            </w:r>
          </w:p>
          <w:p w14:paraId="0A608CFF" w14:textId="77777777" w:rsidR="00F317C1" w:rsidRDefault="00F317C1" w:rsidP="002E6E7B">
            <w:pPr>
              <w:pStyle w:val="BodyText"/>
            </w:pPr>
            <w:r>
              <w:rPr>
                <w:noProof/>
              </w:rPr>
              <w:drawing>
                <wp:inline distT="0" distB="0" distL="0" distR="0" wp14:anchorId="4561FB42" wp14:editId="528DD8F3">
                  <wp:extent cx="3102429" cy="2035175"/>
                  <wp:effectExtent l="0" t="0" r="0" b="0"/>
                  <wp:docPr id="1639232767" name="Chart 1" descr="Figure 4 shows responses of surveyed supervisors to the statement &quot;I have the capacity to provide trainees with an appropriate level of support&quot; (n=54).&#10;35% strongly agree&#10;37% somewhat agree&#10;13% neither agree nor disagree&#10;11% somewhat disagree&#10;4% strongly disagree">
                    <a:extLst xmlns:a="http://schemas.openxmlformats.org/drawingml/2006/main">
                      <a:ext uri="{FF2B5EF4-FFF2-40B4-BE49-F238E27FC236}">
                        <a16:creationId xmlns:a16="http://schemas.microsoft.com/office/drawing/2014/main" id="{BDF58491-94D9-EA02-23C9-389A77AA3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051C66" w14:textId="645F243B" w:rsidR="00F317C1" w:rsidRDefault="00F317C1" w:rsidP="00F317C1">
            <w:pPr>
              <w:pStyle w:val="BodyText"/>
            </w:pPr>
            <w:r w:rsidRPr="00FB3B57">
              <w:rPr>
                <w:rFonts w:eastAsia="Times New Roman" w:cs="Times New Roman"/>
                <w:bCs/>
                <w:i/>
                <w:color w:val="B5CFFF" w:themeColor="accent1" w:themeTint="33"/>
                <w:sz w:val="18"/>
                <w:szCs w:val="20"/>
                <w:lang w:eastAsia="en-AU"/>
              </w:rPr>
              <w:t>Source: KPMG analysis of Supervisor Survey responses</w:t>
            </w:r>
          </w:p>
        </w:tc>
        <w:tc>
          <w:tcPr>
            <w:tcW w:w="0" w:type="dxa"/>
          </w:tcPr>
          <w:p w14:paraId="5927AC4B" w14:textId="15EB3DDF" w:rsidR="00F317C1" w:rsidRPr="00FB3B57" w:rsidRDefault="00F317C1" w:rsidP="00F317C1">
            <w:pPr>
              <w:pStyle w:val="Caption"/>
              <w:rPr>
                <w:color w:val="auto"/>
              </w:rPr>
            </w:pPr>
            <w:bookmarkStart w:id="77" w:name="_Ref182576973"/>
            <w:r w:rsidRPr="00FB3B57">
              <w:rPr>
                <w:color w:val="auto"/>
              </w:rPr>
              <w:t xml:space="preserve">Figure </w:t>
            </w:r>
            <w:r w:rsidRPr="00FB3B57">
              <w:rPr>
                <w:color w:val="auto"/>
              </w:rPr>
              <w:fldChar w:fldCharType="begin"/>
            </w:r>
            <w:r w:rsidRPr="00FB3B57">
              <w:rPr>
                <w:color w:val="auto"/>
              </w:rPr>
              <w:instrText>SEQ Figure \* ARABIC</w:instrText>
            </w:r>
            <w:r w:rsidRPr="00FB3B57">
              <w:rPr>
                <w:color w:val="auto"/>
              </w:rPr>
              <w:fldChar w:fldCharType="separate"/>
            </w:r>
            <w:r w:rsidR="005F7EBC" w:rsidRPr="00FB3B57">
              <w:rPr>
                <w:noProof/>
                <w:color w:val="auto"/>
              </w:rPr>
              <w:t>5</w:t>
            </w:r>
            <w:r w:rsidRPr="00FB3B57">
              <w:rPr>
                <w:color w:val="auto"/>
              </w:rPr>
              <w:fldChar w:fldCharType="end"/>
            </w:r>
            <w:bookmarkEnd w:id="77"/>
            <w:r w:rsidRPr="00FB3B57">
              <w:rPr>
                <w:color w:val="auto"/>
              </w:rPr>
              <w:t xml:space="preserve">: Responses of surveyed Registrars to the statement ‘My </w:t>
            </w:r>
            <w:r w:rsidR="00E03A1D" w:rsidRPr="00FB3B57">
              <w:rPr>
                <w:color w:val="auto"/>
              </w:rPr>
              <w:t>S</w:t>
            </w:r>
            <w:r w:rsidRPr="00FB3B57">
              <w:rPr>
                <w:color w:val="auto"/>
              </w:rPr>
              <w:t>upervisor makes / made themselves available to provide an appropriate level of ongoing support’</w:t>
            </w:r>
            <w:r w:rsidR="008B52AC" w:rsidRPr="00FB3B57">
              <w:rPr>
                <w:color w:val="auto"/>
              </w:rPr>
              <w:t xml:space="preserve"> (n=60)</w:t>
            </w:r>
          </w:p>
          <w:p w14:paraId="76A4351E" w14:textId="77777777" w:rsidR="00F317C1" w:rsidRDefault="00F317C1" w:rsidP="002E6E7B">
            <w:pPr>
              <w:pStyle w:val="BodyText"/>
            </w:pPr>
            <w:r>
              <w:rPr>
                <w:noProof/>
              </w:rPr>
              <w:drawing>
                <wp:inline distT="0" distB="0" distL="0" distR="0" wp14:anchorId="159EB34C" wp14:editId="4546B12E">
                  <wp:extent cx="3178175" cy="1905779"/>
                  <wp:effectExtent l="0" t="0" r="0" b="0"/>
                  <wp:docPr id="11836025" name="Chart 1" descr="Figure 5 shows responses of surveyed registrars to the statement &quot;My supervisor makes / made themselves available to provide an appropriate level of ongoing support&quot; (n=60).&#10;55% strongly agree&#10;13% somewhat agree&#10;12% neither agree nor disagree&#10;10% somewhat disagree&#10;10% strongly disagree">
                    <a:extLst xmlns:a="http://schemas.openxmlformats.org/drawingml/2006/main">
                      <a:ext uri="{FF2B5EF4-FFF2-40B4-BE49-F238E27FC236}">
                        <a16:creationId xmlns:a16="http://schemas.microsoft.com/office/drawing/2014/main" id="{3743CFB3-5741-4B23-B6B9-CC97ECA0F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1F326C" w14:textId="4E292818" w:rsidR="00F317C1" w:rsidRDefault="00F317C1" w:rsidP="00F317C1">
            <w:pPr>
              <w:pStyle w:val="BodyText"/>
            </w:pPr>
            <w:r w:rsidRPr="00216389">
              <w:rPr>
                <w:rFonts w:eastAsia="Times New Roman" w:cs="Times New Roman"/>
                <w:bCs/>
                <w:i/>
                <w:color w:val="auto"/>
                <w:sz w:val="18"/>
                <w:szCs w:val="20"/>
                <w:lang w:eastAsia="en-AU"/>
              </w:rPr>
              <w:t>Source: KPMG analysis of Registrar Survey responses</w:t>
            </w:r>
          </w:p>
        </w:tc>
      </w:tr>
    </w:tbl>
    <w:p w14:paraId="32361F81" w14:textId="208746A8" w:rsidR="0052315B" w:rsidRDefault="0052315B" w:rsidP="0052315B">
      <w:pPr>
        <w:pStyle w:val="BodyText"/>
      </w:pPr>
      <w:r>
        <w:t xml:space="preserve">A consistent theme across stakeholder consultation was the substantial time and effort associated with the Supervisor role, particularly in relation to teaching theory, assessing work, and documenting Registrar outcomes. However, the Supervisor experience and time commitment was found to vary across Supervisors, with influencing factors including the level of support provided by the facility, the competency of the Registrar, the relationship between the Registrar and Supervisor, and Supervisor motivation. While some Supervisors commented that the workload of a </w:t>
      </w:r>
      <w:proofErr w:type="gramStart"/>
      <w:r>
        <w:t>Supervisor</w:t>
      </w:r>
      <w:proofErr w:type="gramEnd"/>
      <w:r>
        <w:t xml:space="preserve"> is greater in the first year, others felt that the workload was consistent across the years as the type of support required by the Registrar evolves over time.</w:t>
      </w:r>
    </w:p>
    <w:p w14:paraId="1FAE07A2" w14:textId="77330E03" w:rsidR="00105A70" w:rsidRDefault="009F1BF4" w:rsidP="009F1BF4">
      <w:pPr>
        <w:pStyle w:val="BodyText"/>
      </w:pPr>
      <w:r w:rsidRPr="009F1BF4">
        <w:t>Balancing Supervisor responsibilities with their clinical role was highlighted as a key challenge by some Supervisors. A stakeholder in W</w:t>
      </w:r>
      <w:r w:rsidR="0006499C">
        <w:t>estern Australia</w:t>
      </w:r>
      <w:r w:rsidRPr="009F1BF4">
        <w:t xml:space="preserve"> </w:t>
      </w:r>
      <w:r w:rsidR="00BA342F">
        <w:t>(WA)</w:t>
      </w:r>
      <w:r w:rsidRPr="009F1BF4">
        <w:t xml:space="preserve"> highlighted capacity to supervise as the most significant challenge, as their facility has just one certified nuclear medicine medical physicist with minimal time and capacity to train others. Further, one stakeholder commented that they felt the increasing demands placed on Supervisors was resulting in reduced focus on the clinical role and was ultimately detrimental to clinical and hospital outcomes. However, it is worth noting that many stakeholders cited the Supervisor role as a rewarding and necessary part of the medical physicist role, and that the Supervisor position allowed for formal recognition for their training efforts.</w:t>
      </w:r>
    </w:p>
    <w:p w14:paraId="5DD4EB24" w14:textId="77777777" w:rsidR="008F628C" w:rsidRDefault="008F628C" w:rsidP="009F1BF4">
      <w:pPr>
        <w:pStyle w:val="BodyText"/>
      </w:pPr>
    </w:p>
    <w:p w14:paraId="7E0A8AFB" w14:textId="16C4D6A7" w:rsidR="00AF3F29" w:rsidRDefault="00AF3F29" w:rsidP="008F628C">
      <w:pPr>
        <w:pStyle w:val="Quotedetail"/>
        <w:shd w:val="clear" w:color="auto" w:fill="CAF1FF" w:themeFill="accent4" w:themeFillTint="33"/>
        <w:rPr>
          <w:b w:val="0"/>
          <w:iCs w:val="0"/>
          <w:color w:val="00338D" w:themeColor="accent1"/>
          <w:szCs w:val="20"/>
        </w:rPr>
      </w:pPr>
      <w:r w:rsidRPr="00DD7440">
        <w:rPr>
          <w:noProof/>
          <w:szCs w:val="20"/>
        </w:rPr>
        <w:drawing>
          <wp:anchor distT="0" distB="0" distL="114300" distR="114300" simplePos="0" relativeHeight="251663360" behindDoc="0" locked="0" layoutInCell="1" allowOverlap="1" wp14:anchorId="277A38B1" wp14:editId="1BAFC374">
            <wp:simplePos x="0" y="0"/>
            <wp:positionH relativeFrom="column">
              <wp:posOffset>3810</wp:posOffset>
            </wp:positionH>
            <wp:positionV relativeFrom="paragraph">
              <wp:posOffset>3810</wp:posOffset>
            </wp:positionV>
            <wp:extent cx="438785" cy="446405"/>
            <wp:effectExtent l="0" t="0" r="0" b="0"/>
            <wp:wrapSquare wrapText="bothSides"/>
            <wp:docPr id="1587046324" name="Graphic 1587046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438785" cy="446405"/>
                    </a:xfrm>
                    <a:prstGeom prst="rect">
                      <a:avLst/>
                    </a:prstGeom>
                  </pic:spPr>
                </pic:pic>
              </a:graphicData>
            </a:graphic>
          </wp:anchor>
        </w:drawing>
      </w:r>
      <w:r w:rsidRPr="00105A70">
        <w:rPr>
          <w:b w:val="0"/>
          <w:iCs w:val="0"/>
          <w:color w:val="00338D" w:themeColor="accent1"/>
          <w:szCs w:val="20"/>
        </w:rPr>
        <w:t>“I find it hard to provide the support that my registrar sometimes requires from me, as well as providing the department with what they need. I am not given any support from my department to provide training to our registrar, and this results in me sometimes needing to complete supervisor duties outside of work hours.”</w:t>
      </w:r>
    </w:p>
    <w:p w14:paraId="28AAEBC5" w14:textId="2658EEA0" w:rsidR="00AF3F29" w:rsidRPr="005337BB" w:rsidRDefault="00101921" w:rsidP="005337BB">
      <w:pPr>
        <w:pStyle w:val="Quotedetail"/>
        <w:shd w:val="clear" w:color="auto" w:fill="CAF1FF" w:themeFill="accent4" w:themeFillTint="33"/>
        <w:rPr>
          <w:bCs/>
          <w:iCs w:val="0"/>
          <w:color w:val="auto"/>
          <w:szCs w:val="20"/>
        </w:rPr>
      </w:pPr>
      <w:r w:rsidRPr="00A1314C">
        <w:rPr>
          <w:bCs/>
          <w:iCs w:val="0"/>
          <w:color w:val="auto"/>
          <w:szCs w:val="20"/>
        </w:rPr>
        <w:t>Surveyed Supervisor</w:t>
      </w:r>
    </w:p>
    <w:p w14:paraId="32025EDB" w14:textId="1FA08A6F" w:rsidR="00AF3F29" w:rsidRDefault="008F628C" w:rsidP="009F1BF4">
      <w:pPr>
        <w:pStyle w:val="BodyText"/>
      </w:pPr>
      <w:r w:rsidRPr="00DD7440">
        <w:rPr>
          <w:noProof/>
          <w:szCs w:val="20"/>
        </w:rPr>
        <w:drawing>
          <wp:anchor distT="0" distB="0" distL="114300" distR="114300" simplePos="0" relativeHeight="251665408" behindDoc="0" locked="0" layoutInCell="1" allowOverlap="1" wp14:anchorId="6CEB9744" wp14:editId="25170ED4">
            <wp:simplePos x="0" y="0"/>
            <wp:positionH relativeFrom="column">
              <wp:posOffset>0</wp:posOffset>
            </wp:positionH>
            <wp:positionV relativeFrom="paragraph">
              <wp:posOffset>219075</wp:posOffset>
            </wp:positionV>
            <wp:extent cx="438785" cy="446405"/>
            <wp:effectExtent l="0" t="0" r="0" b="0"/>
            <wp:wrapSquare wrapText="bothSides"/>
            <wp:docPr id="119585380" name="Graphic 119585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438785" cy="446405"/>
                    </a:xfrm>
                    <a:prstGeom prst="rect">
                      <a:avLst/>
                    </a:prstGeom>
                  </pic:spPr>
                </pic:pic>
              </a:graphicData>
            </a:graphic>
          </wp:anchor>
        </w:drawing>
      </w:r>
    </w:p>
    <w:p w14:paraId="0778E97B" w14:textId="77777777" w:rsidR="008F628C" w:rsidRDefault="008F628C" w:rsidP="008F628C">
      <w:pPr>
        <w:pStyle w:val="Quotedetail"/>
        <w:shd w:val="clear" w:color="auto" w:fill="CAF1FF" w:themeFill="accent4" w:themeFillTint="33"/>
        <w:rPr>
          <w:b w:val="0"/>
          <w:iCs w:val="0"/>
          <w:color w:val="00338D" w:themeColor="accent1"/>
          <w:szCs w:val="20"/>
        </w:rPr>
      </w:pPr>
      <w:r w:rsidRPr="00C46D63">
        <w:rPr>
          <w:b w:val="0"/>
          <w:iCs w:val="0"/>
          <w:color w:val="00338D" w:themeColor="accent1"/>
          <w:szCs w:val="20"/>
        </w:rPr>
        <w:t>“DIMP staffing numbers is not a level where the supervisor can spend the appropriate amount of time to properly support the registrar as well as providing the appropriate support for the department on a day-to-day basis without neglecting one of the two.”</w:t>
      </w:r>
    </w:p>
    <w:p w14:paraId="6A802BA0" w14:textId="44A1C6B6" w:rsidR="008F628C" w:rsidRPr="00A1314C" w:rsidRDefault="008F628C" w:rsidP="008F628C">
      <w:pPr>
        <w:pStyle w:val="BodyText"/>
        <w:shd w:val="clear" w:color="auto" w:fill="CAF1FF" w:themeFill="accent4" w:themeFillTint="33"/>
        <w:rPr>
          <w:b/>
          <w:bCs/>
          <w:i/>
          <w:iCs/>
        </w:rPr>
      </w:pPr>
      <w:r w:rsidRPr="00A1314C">
        <w:rPr>
          <w:b/>
          <w:bCs/>
          <w:i/>
          <w:iCs/>
        </w:rPr>
        <w:t>Surveyed Supervisor</w:t>
      </w:r>
    </w:p>
    <w:p w14:paraId="5934E2E3" w14:textId="77777777" w:rsidR="00105A70" w:rsidRDefault="00105A70" w:rsidP="009F1BF4">
      <w:pPr>
        <w:pStyle w:val="BodyText"/>
      </w:pPr>
    </w:p>
    <w:p w14:paraId="1A006FBF" w14:textId="77777777" w:rsidR="00CE70A0" w:rsidRPr="009F1BF4" w:rsidRDefault="00CE70A0" w:rsidP="009F1BF4">
      <w:pPr>
        <w:pStyle w:val="BodyText"/>
      </w:pPr>
    </w:p>
    <w:p w14:paraId="15B97E05" w14:textId="77777777" w:rsidR="008C5779" w:rsidRDefault="008C5779">
      <w:pPr>
        <w:spacing w:before="0" w:after="160" w:line="259" w:lineRule="auto"/>
        <w:rPr>
          <w:rFonts w:ascii="Univers 45 Light" w:hAnsi="Univers 45 Light"/>
          <w:b/>
        </w:rPr>
      </w:pPr>
      <w:r>
        <w:br w:type="page"/>
      </w:r>
    </w:p>
    <w:p w14:paraId="648C9CF0" w14:textId="4D416213" w:rsidR="00D51C3B" w:rsidRPr="00DC27F5" w:rsidRDefault="00D51C3B" w:rsidP="00DC27F5">
      <w:pPr>
        <w:pStyle w:val="Heading5"/>
      </w:pPr>
      <w:r w:rsidRPr="00DC27F5">
        <w:t>Standardisation of training through TEAP</w:t>
      </w:r>
    </w:p>
    <w:p w14:paraId="09573117" w14:textId="7CE7F98C" w:rsidR="000611FA" w:rsidRDefault="00A85DA3" w:rsidP="00A44A03">
      <w:pPr>
        <w:pStyle w:val="BodyText"/>
      </w:pPr>
      <w:r>
        <w:t>ACPSEM</w:t>
      </w:r>
      <w:r w:rsidR="00A44A03">
        <w:t xml:space="preserve"> has advised that a variety of strategies </w:t>
      </w:r>
      <w:r w:rsidR="00A6433F">
        <w:t>are implemented</w:t>
      </w:r>
      <w:r w:rsidR="00A44A03">
        <w:t xml:space="preserve"> to monitor the skills and competencies of teaching and supervision, including</w:t>
      </w:r>
      <w:r w:rsidR="000611FA">
        <w:t>:</w:t>
      </w:r>
      <w:r w:rsidR="00A44A03">
        <w:t xml:space="preserve"> </w:t>
      </w:r>
    </w:p>
    <w:p w14:paraId="167708D9" w14:textId="7359A6AA" w:rsidR="000611FA" w:rsidRDefault="000611FA" w:rsidP="00584EC6">
      <w:pPr>
        <w:pStyle w:val="BodyText"/>
        <w:numPr>
          <w:ilvl w:val="0"/>
          <w:numId w:val="49"/>
        </w:numPr>
      </w:pPr>
      <w:r>
        <w:t>S</w:t>
      </w:r>
      <w:r w:rsidR="00A44A03">
        <w:t xml:space="preserve">tandardised assessment through programmatic model assessment and </w:t>
      </w:r>
      <w:proofErr w:type="gramStart"/>
      <w:r w:rsidR="00A44A03">
        <w:t>rubrics</w:t>
      </w:r>
      <w:r>
        <w:t>;</w:t>
      </w:r>
      <w:proofErr w:type="gramEnd"/>
      <w:r w:rsidR="00A44A03">
        <w:t xml:space="preserve"> </w:t>
      </w:r>
    </w:p>
    <w:p w14:paraId="4D693D8B" w14:textId="77777777" w:rsidR="000611FA" w:rsidRDefault="00A44A03" w:rsidP="00584EC6">
      <w:pPr>
        <w:pStyle w:val="BodyText"/>
        <w:numPr>
          <w:ilvl w:val="0"/>
          <w:numId w:val="49"/>
        </w:numPr>
      </w:pPr>
      <w:r>
        <w:t xml:space="preserve">12 Supervisor workshops per </w:t>
      </w:r>
      <w:proofErr w:type="gramStart"/>
      <w:r>
        <w:t>year</w:t>
      </w:r>
      <w:r w:rsidR="000611FA">
        <w:t>;</w:t>
      </w:r>
      <w:proofErr w:type="gramEnd"/>
    </w:p>
    <w:p w14:paraId="4F447D1D" w14:textId="457B2380" w:rsidR="000611FA" w:rsidRDefault="000611FA" w:rsidP="00584EC6">
      <w:pPr>
        <w:pStyle w:val="BodyText"/>
        <w:numPr>
          <w:ilvl w:val="0"/>
          <w:numId w:val="49"/>
        </w:numPr>
      </w:pPr>
      <w:r>
        <w:t>P</w:t>
      </w:r>
      <w:r w:rsidR="00A44A03">
        <w:t>rovision of feedback from Training Coordinators to Supervisors</w:t>
      </w:r>
      <w:r>
        <w:t>;</w:t>
      </w:r>
      <w:r w:rsidR="00A44A03">
        <w:t xml:space="preserve"> and </w:t>
      </w:r>
    </w:p>
    <w:p w14:paraId="2E30B84B" w14:textId="200DADE2" w:rsidR="000611FA" w:rsidRDefault="000611FA" w:rsidP="00584EC6">
      <w:pPr>
        <w:pStyle w:val="BodyText"/>
        <w:numPr>
          <w:ilvl w:val="0"/>
          <w:numId w:val="49"/>
        </w:numPr>
      </w:pPr>
      <w:r>
        <w:t>A</w:t>
      </w:r>
      <w:r w:rsidR="00A44A03">
        <w:t xml:space="preserve">ccreditation of training sites allowing for Registrar feedback and ensuring protected time for Supervisors. </w:t>
      </w:r>
    </w:p>
    <w:p w14:paraId="0B175CCC" w14:textId="70030390" w:rsidR="00A44A03" w:rsidRDefault="00A44A03" w:rsidP="00A44A03">
      <w:pPr>
        <w:pStyle w:val="BodyText"/>
      </w:pPr>
      <w:r>
        <w:t>ACPSEM noted that changes to improve standardised teaching would include further development of assessment guidelines to aid education and guidance on expectations of each assessment for Supervisors, and the introduction of annual face to face Supervisor training days, however ACPSEM does not have budget for these activities.</w:t>
      </w:r>
    </w:p>
    <w:p w14:paraId="1E0055CE" w14:textId="36C9D104" w:rsidR="00C343CB" w:rsidRDefault="005D1F98" w:rsidP="00AF59A6">
      <w:pPr>
        <w:pStyle w:val="BodyText"/>
      </w:pPr>
      <w:r>
        <w:t>However, s</w:t>
      </w:r>
      <w:r w:rsidR="00BE50FC">
        <w:t xml:space="preserve">takeholders reported </w:t>
      </w:r>
      <w:r w:rsidR="00B132A6">
        <w:t xml:space="preserve">variability in the delivery of training across facilities and jurisdictions, with </w:t>
      </w:r>
      <w:r w:rsidR="00BE50FC">
        <w:t>Supervisor</w:t>
      </w:r>
      <w:r w:rsidR="00F53531">
        <w:t>s</w:t>
      </w:r>
      <w:r w:rsidR="00BE50FC">
        <w:t xml:space="preserve"> heavily </w:t>
      </w:r>
      <w:r w:rsidR="00B132A6">
        <w:t>influencing</w:t>
      </w:r>
      <w:r w:rsidR="00BE50FC">
        <w:t xml:space="preserve"> the depth and quality of training. This was found to be of particular importance under the new curriculum, where stakeholders commonly commented that learning outcomes are high-level and less prescriptive than the previous curriculum. From consultation with </w:t>
      </w:r>
      <w:r w:rsidR="003E1CDF" w:rsidRPr="003E1CDF">
        <w:t xml:space="preserve">Australian Council of Educational Research </w:t>
      </w:r>
      <w:r w:rsidR="003E1CDF">
        <w:t>(</w:t>
      </w:r>
      <w:r w:rsidR="00BE50FC" w:rsidRPr="00A716EF">
        <w:t>ACER</w:t>
      </w:r>
      <w:r w:rsidR="003E1CDF">
        <w:t>)</w:t>
      </w:r>
      <w:r w:rsidR="00BE50FC">
        <w:t>, it is evident that the design of learning outcomes at a high-level was intended to accommodate variability in technologies and practices across facilities and regions. However, Supervisors often commented that this negatively impacted standardisation across Supervisors and facilities, and hence the training received by Registrars was more dependent on the individual Supervisor’s interpretation of the curriculum.</w:t>
      </w:r>
      <w:r w:rsidR="00AF59A6">
        <w:t xml:space="preserve"> </w:t>
      </w:r>
      <w:r w:rsidR="00C343CB">
        <w:t xml:space="preserve">This was found to be of particular concern for </w:t>
      </w:r>
      <w:r w:rsidR="00C53281">
        <w:t>facilities which lack a formal in-house TEAP training programme, with a surveyed Supervisor raising that such facilities</w:t>
      </w:r>
      <w:r w:rsidR="009F41A5">
        <w:t xml:space="preserve"> can have very variable results in </w:t>
      </w:r>
      <w:r w:rsidR="00AF59A6">
        <w:t>TEAP training.</w:t>
      </w:r>
    </w:p>
    <w:p w14:paraId="1251B7F2" w14:textId="6F7EDEE9" w:rsidR="00FF5CCD" w:rsidRPr="00DC27F5" w:rsidRDefault="00FE52B7" w:rsidP="00DC27F5">
      <w:pPr>
        <w:pStyle w:val="Heading5"/>
      </w:pPr>
      <w:r w:rsidRPr="00DC27F5">
        <w:t>Variability</w:t>
      </w:r>
      <w:r w:rsidR="00D65E55" w:rsidRPr="00DC27F5">
        <w:t xml:space="preserve"> in </w:t>
      </w:r>
      <w:r w:rsidR="00473154" w:rsidRPr="00DC27F5">
        <w:t>TEAP delivery</w:t>
      </w:r>
      <w:r w:rsidR="00562AF3" w:rsidRPr="00DC27F5">
        <w:t xml:space="preserve"> across facilities and jurisdictions</w:t>
      </w:r>
    </w:p>
    <w:p w14:paraId="05B9E3D2" w14:textId="36514B7F" w:rsidR="00527EF9" w:rsidRDefault="00527EF9" w:rsidP="00527EF9">
      <w:pPr>
        <w:pStyle w:val="BodyText"/>
      </w:pPr>
      <w:r>
        <w:t>The formal role profile describing the split between clinical and Supervisor responsibilities is decided at the facility-level</w:t>
      </w:r>
      <w:r w:rsidR="00777340">
        <w:t>. N</w:t>
      </w:r>
      <w:r>
        <w:t>ot all facilities allocat</w:t>
      </w:r>
      <w:r w:rsidR="006C0C29">
        <w:t>e</w:t>
      </w:r>
      <w:r>
        <w:t xml:space="preserve"> </w:t>
      </w:r>
      <w:r w:rsidR="00D80DD7">
        <w:t xml:space="preserve">protected time for </w:t>
      </w:r>
      <w:r>
        <w:t xml:space="preserve">Supervisors to perform their </w:t>
      </w:r>
      <w:proofErr w:type="gramStart"/>
      <w:r>
        <w:t>Supervisor</w:t>
      </w:r>
      <w:proofErr w:type="gramEnd"/>
      <w:r>
        <w:t xml:space="preserve"> responsibilities</w:t>
      </w:r>
      <w:r w:rsidR="00777340">
        <w:t xml:space="preserve">, with some </w:t>
      </w:r>
      <w:r w:rsidR="006C0C29">
        <w:t>S</w:t>
      </w:r>
      <w:r w:rsidR="00777340">
        <w:t xml:space="preserve">upervisors commenting that it is </w:t>
      </w:r>
      <w:r w:rsidR="006C0C29">
        <w:t>expected</w:t>
      </w:r>
      <w:r w:rsidR="00777340">
        <w:t xml:space="preserve"> that they </w:t>
      </w:r>
      <w:r w:rsidR="00540C72">
        <w:t xml:space="preserve">complete </w:t>
      </w:r>
      <w:r w:rsidR="006C0C29">
        <w:t>S</w:t>
      </w:r>
      <w:r w:rsidR="00540C72">
        <w:t>upervisor duties outside of work hours</w:t>
      </w:r>
      <w:r>
        <w:t xml:space="preserve">. Dedicated time allocated to performing Supervisor responsibilities was found to be </w:t>
      </w:r>
      <w:r w:rsidR="00891B5A">
        <w:t xml:space="preserve">important for alleviating pressures on </w:t>
      </w:r>
      <w:r w:rsidR="00753680">
        <w:t>S</w:t>
      </w:r>
      <w:r w:rsidR="00891B5A">
        <w:t>upervisors and</w:t>
      </w:r>
      <w:r>
        <w:t xml:space="preserve"> enabling Supervisors to adequately perform their responsibilities. Some facilities have adopted unique approaches to the Supervisor role, as seen in the </w:t>
      </w:r>
      <w:r w:rsidRPr="00976A77">
        <w:t>case study below</w:t>
      </w:r>
      <w:r>
        <w:t>.</w:t>
      </w:r>
    </w:p>
    <w:p w14:paraId="1F5A6A97" w14:textId="77777777" w:rsidR="00D32402" w:rsidRDefault="00D32402" w:rsidP="00527EF9">
      <w:pPr>
        <w:pStyle w:val="BodyText"/>
      </w:pPr>
    </w:p>
    <w:p w14:paraId="2CFEE603" w14:textId="349B7F7B" w:rsidR="00D32402" w:rsidRDefault="00D32402" w:rsidP="00D32402">
      <w:pPr>
        <w:pStyle w:val="BodyText"/>
        <w:shd w:val="clear" w:color="auto" w:fill="97014E" w:themeFill="accent6" w:themeFillShade="80"/>
        <w:rPr>
          <w:b/>
          <w:bCs/>
          <w:iCs/>
        </w:rPr>
      </w:pPr>
      <w:r>
        <w:rPr>
          <w:rFonts w:cs="Arial"/>
          <w:b/>
          <w:bCs/>
          <w:noProof/>
        </w:rPr>
        <w:drawing>
          <wp:inline distT="0" distB="0" distL="0" distR="0" wp14:anchorId="4FED9FF4" wp14:editId="6A1E35DF">
            <wp:extent cx="283464" cy="283464"/>
            <wp:effectExtent l="0" t="0" r="0" b="0"/>
            <wp:docPr id="174496424"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16259" name="Graphic 40">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92979" cy="292979"/>
                    </a:xfrm>
                    <a:prstGeom prst="rect">
                      <a:avLst/>
                    </a:prstGeom>
                  </pic:spPr>
                </pic:pic>
              </a:graphicData>
            </a:graphic>
          </wp:inline>
        </w:drawing>
      </w:r>
      <w:r>
        <w:rPr>
          <w:rFonts w:cs="Arial"/>
          <w:b/>
          <w:bCs/>
        </w:rPr>
        <w:t xml:space="preserve"> Case Study - </w:t>
      </w:r>
      <w:r>
        <w:rPr>
          <w:b/>
          <w:bCs/>
          <w:iCs/>
        </w:rPr>
        <w:t>Dedicated TEAP Supervisor role in a WA facility</w:t>
      </w:r>
    </w:p>
    <w:p w14:paraId="49BD5E67" w14:textId="44174950" w:rsidR="00D32402" w:rsidRDefault="00D32402" w:rsidP="00D32402">
      <w:pPr>
        <w:pStyle w:val="BodyText"/>
        <w:shd w:val="clear" w:color="auto" w:fill="FED6EB" w:themeFill="accent6" w:themeFillTint="33"/>
      </w:pPr>
      <w:r>
        <w:t>One WA-based facility has a unique TEAP arrangement, whereby there is a dedicated Educator role whose primary responsibility is supervising TEAP Registrars. The Educator is currently supervising three Registrars and allocates approximately 70% of their time to supervising, with the remainder of their time occupied by their clinical role. This Educator has consistent regular interactions with all three of their Registrars, including daily interactions, formal weekly planning meetings, and monthly meetings. The Educator is supported by a team of 12 qualified physicists who are involved in providing wholistic education to the Registrars. The facility has found the arrangement to be effective and has produced seven high-performing Registrars within five years</w:t>
      </w:r>
      <w:r w:rsidRPr="00725533">
        <w:t>.</w:t>
      </w:r>
    </w:p>
    <w:p w14:paraId="1DAD2628" w14:textId="77777777" w:rsidR="0076509D" w:rsidRDefault="0076509D" w:rsidP="00527EF9">
      <w:pPr>
        <w:pStyle w:val="BodyText"/>
        <w:rPr>
          <w:i/>
          <w:iCs/>
        </w:rPr>
      </w:pPr>
    </w:p>
    <w:p w14:paraId="2EB64D12" w14:textId="0488863A" w:rsidR="000A359C" w:rsidRDefault="000A359C" w:rsidP="00FB59E3">
      <w:pPr>
        <w:pStyle w:val="BodyText"/>
      </w:pPr>
      <w:r>
        <w:t xml:space="preserve">Similarly, in consultation some Registrars raised variability in the delivery of TEAP across jurisdictions and facilities. For example, a Registrar raised that their facility in </w:t>
      </w:r>
      <w:r w:rsidR="003B7C9D">
        <w:t>QLD</w:t>
      </w:r>
      <w:r>
        <w:t xml:space="preserve"> allowed only one day of protected time for TEAP each week with the expectation that they perform clinical work not directly related to TEAP for the remainder of the week. This experience was different from the more common experience nationally, where Registrars complete TEAP full-time.</w:t>
      </w:r>
    </w:p>
    <w:p w14:paraId="0D702AFF" w14:textId="77777777" w:rsidR="00CB2814" w:rsidRDefault="00CB2814" w:rsidP="00FB59E3">
      <w:pPr>
        <w:pStyle w:val="BodyText"/>
      </w:pPr>
    </w:p>
    <w:p w14:paraId="737B7208" w14:textId="77777777" w:rsidR="00FD540F" w:rsidRDefault="00FD540F" w:rsidP="00FD540F">
      <w:pPr>
        <w:pStyle w:val="BodyText"/>
      </w:pPr>
    </w:p>
    <w:p w14:paraId="5C57DC18" w14:textId="50D10346" w:rsidR="00FD540F" w:rsidRPr="005337BB" w:rsidRDefault="00FD540F" w:rsidP="00FD540F">
      <w:pPr>
        <w:pStyle w:val="BodyText"/>
        <w:shd w:val="clear" w:color="auto" w:fill="CAF1FF" w:themeFill="accent4" w:themeFillTint="33"/>
        <w:rPr>
          <w:i/>
          <w:iCs/>
        </w:rPr>
      </w:pPr>
      <w:r w:rsidRPr="005337BB">
        <w:rPr>
          <w:i/>
          <w:iCs/>
          <w:noProof/>
        </w:rPr>
        <w:drawing>
          <wp:anchor distT="0" distB="0" distL="114300" distR="114300" simplePos="0" relativeHeight="251667456" behindDoc="0" locked="0" layoutInCell="1" allowOverlap="1" wp14:anchorId="2A09D15D" wp14:editId="55B1986D">
            <wp:simplePos x="0" y="0"/>
            <wp:positionH relativeFrom="column">
              <wp:posOffset>3810</wp:posOffset>
            </wp:positionH>
            <wp:positionV relativeFrom="paragraph">
              <wp:posOffset>-4445</wp:posOffset>
            </wp:positionV>
            <wp:extent cx="438785" cy="446405"/>
            <wp:effectExtent l="0" t="0" r="0" b="0"/>
            <wp:wrapSquare wrapText="bothSides"/>
            <wp:docPr id="988086089" name="Graphic 9880860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5"/>
                        </a:ext>
                      </a:extLst>
                    </a:blip>
                    <a:stretch>
                      <a:fillRect/>
                    </a:stretch>
                  </pic:blipFill>
                  <pic:spPr>
                    <a:xfrm>
                      <a:off x="0" y="0"/>
                      <a:ext cx="438785" cy="446405"/>
                    </a:xfrm>
                    <a:prstGeom prst="rect">
                      <a:avLst/>
                    </a:prstGeom>
                  </pic:spPr>
                </pic:pic>
              </a:graphicData>
            </a:graphic>
          </wp:anchor>
        </w:drawing>
      </w:r>
      <w:r w:rsidRPr="005337BB">
        <w:rPr>
          <w:i/>
          <w:iCs/>
          <w:color w:val="00338D" w:themeColor="accent1"/>
          <w:szCs w:val="20"/>
        </w:rPr>
        <w:t>“The experience of each Registrar differs widely due to the particular demands of their site.”</w:t>
      </w:r>
    </w:p>
    <w:p w14:paraId="3F590F72" w14:textId="31A361DB" w:rsidR="00CB2814" w:rsidRPr="005337BB" w:rsidRDefault="00FD540F" w:rsidP="00FD540F">
      <w:pPr>
        <w:pStyle w:val="BodyText"/>
        <w:shd w:val="clear" w:color="auto" w:fill="CAF1FF" w:themeFill="accent4" w:themeFillTint="33"/>
        <w:rPr>
          <w:b/>
          <w:bCs/>
          <w:i/>
          <w:iCs/>
        </w:rPr>
      </w:pPr>
      <w:r w:rsidRPr="005337BB">
        <w:rPr>
          <w:b/>
          <w:bCs/>
          <w:i/>
          <w:iCs/>
        </w:rPr>
        <w:t>Surveyed Registrar</w:t>
      </w:r>
    </w:p>
    <w:p w14:paraId="50576080" w14:textId="77777777" w:rsidR="00CB2814" w:rsidRDefault="00CB2814" w:rsidP="00FB59E3">
      <w:pPr>
        <w:pStyle w:val="BodyText"/>
      </w:pPr>
    </w:p>
    <w:p w14:paraId="1A71715E" w14:textId="6C5908DF" w:rsidR="00487C0D" w:rsidRPr="00487C0D" w:rsidRDefault="006A036A" w:rsidP="00DC27F5">
      <w:pPr>
        <w:pStyle w:val="Heading4"/>
        <w:rPr>
          <w:bCs/>
        </w:rPr>
      </w:pPr>
      <w:r w:rsidRPr="00504BA0">
        <w:t>Implementation of</w:t>
      </w:r>
      <w:r w:rsidR="00487C0D">
        <w:rPr>
          <w:b w:val="0"/>
          <w:bCs/>
        </w:rPr>
        <w:t xml:space="preserve"> the new </w:t>
      </w:r>
      <w:r w:rsidR="00531E2B">
        <w:rPr>
          <w:b w:val="0"/>
          <w:bCs/>
        </w:rPr>
        <w:t xml:space="preserve">TEAP </w:t>
      </w:r>
      <w:r w:rsidR="00487C0D">
        <w:rPr>
          <w:b w:val="0"/>
          <w:bCs/>
        </w:rPr>
        <w:t>curriculum</w:t>
      </w:r>
    </w:p>
    <w:p w14:paraId="34981531" w14:textId="3EAC982F" w:rsidR="00FB59E3" w:rsidRDefault="00B71D65" w:rsidP="00FB59E3">
      <w:pPr>
        <w:pStyle w:val="BodyText"/>
      </w:pPr>
      <w:r>
        <w:t>All</w:t>
      </w:r>
      <w:r w:rsidR="00F843FE">
        <w:t xml:space="preserve"> TEAP </w:t>
      </w:r>
      <w:r>
        <w:t xml:space="preserve">streams </w:t>
      </w:r>
      <w:r w:rsidR="00F843FE">
        <w:t xml:space="preserve">have undergone curriculum revisions in recent years. </w:t>
      </w:r>
      <w:r w:rsidR="00FB59E3">
        <w:t xml:space="preserve">ACPSEM Board initiated the reform of the 3-year ROMP TEAP curriculum in 2020, with the revised ROMP TEAP curriculum coming into effect in 2022. This was followed by the commencement of curriculum reviews of the DIMP TEAP curriculum and the RPS TEAP in 2022, both of which had revised curricula taking effect in 2023. These changes were made following a full-scale assessment review informed by a large consultation process and collaboration with the </w:t>
      </w:r>
      <w:r w:rsidR="00FB59E3" w:rsidRPr="00976A77">
        <w:t>ACER</w:t>
      </w:r>
      <w:r w:rsidR="00FB59E3">
        <w:t>.</w:t>
      </w:r>
    </w:p>
    <w:p w14:paraId="4BB9766E" w14:textId="1C62861F" w:rsidR="00E708D6" w:rsidRDefault="00FB59E3" w:rsidP="00FB59E3">
      <w:pPr>
        <w:pStyle w:val="BodyText"/>
      </w:pPr>
      <w:r w:rsidRPr="00AB6736">
        <w:t>Stakeholder views on the implementation of the new curricul</w:t>
      </w:r>
      <w:r>
        <w:t>a</w:t>
      </w:r>
      <w:r w:rsidRPr="00AB6736">
        <w:t xml:space="preserve"> suggest that the transition to the new curricul</w:t>
      </w:r>
      <w:r>
        <w:t>a</w:t>
      </w:r>
      <w:r w:rsidRPr="00AB6736">
        <w:t xml:space="preserve"> was poorly managed. </w:t>
      </w:r>
      <w:r w:rsidR="000F420C">
        <w:t xml:space="preserve">Stakeholders </w:t>
      </w:r>
      <w:r w:rsidRPr="00AB6736">
        <w:t xml:space="preserve">reported multiple incidents where </w:t>
      </w:r>
      <w:r>
        <w:t>Registrar</w:t>
      </w:r>
      <w:r w:rsidRPr="00AB6736">
        <w:t>s who were mid-way through TEAP on the old curriculum were told that they would need to adjust to the new timeframes and resubmit some assessments to align with the new curriculum.</w:t>
      </w:r>
      <w:r w:rsidR="001D07B6">
        <w:t xml:space="preserve"> The HETI DIMP evaluation report</w:t>
      </w:r>
      <w:r w:rsidRPr="00AB6736">
        <w:t xml:space="preserve"> </w:t>
      </w:r>
      <w:r w:rsidR="001D07B6">
        <w:t>also noted instances where some Registrars felt they had to duplicate effort to meet new requirements when transitioning from the old curriculum to the new TEAP.</w:t>
      </w:r>
      <w:r w:rsidR="0098696E" w:rsidRPr="00194457">
        <w:rPr>
          <w:vertAlign w:val="superscript"/>
        </w:rPr>
        <w:fldChar w:fldCharType="begin"/>
      </w:r>
      <w:r w:rsidR="0098696E" w:rsidRPr="006B4DD2">
        <w:rPr>
          <w:vertAlign w:val="superscript"/>
        </w:rPr>
        <w:instrText xml:space="preserve"> NOTEREF _Ref184119449 \h </w:instrText>
      </w:r>
      <w:r w:rsidR="0098696E">
        <w:rPr>
          <w:vertAlign w:val="superscript"/>
        </w:rPr>
        <w:instrText xml:space="preserve"> \* MERGEFORMAT </w:instrText>
      </w:r>
      <w:r w:rsidR="0098696E" w:rsidRPr="00194457">
        <w:rPr>
          <w:vertAlign w:val="superscript"/>
        </w:rPr>
      </w:r>
      <w:r w:rsidR="0098696E" w:rsidRPr="00194457">
        <w:rPr>
          <w:vertAlign w:val="superscript"/>
        </w:rPr>
        <w:fldChar w:fldCharType="separate"/>
      </w:r>
      <w:r w:rsidR="005F7EBC">
        <w:rPr>
          <w:vertAlign w:val="superscript"/>
        </w:rPr>
        <w:t>28</w:t>
      </w:r>
      <w:r w:rsidR="0098696E" w:rsidRPr="00194457">
        <w:rPr>
          <w:vertAlign w:val="superscript"/>
        </w:rPr>
        <w:fldChar w:fldCharType="end"/>
      </w:r>
    </w:p>
    <w:p w14:paraId="4971BC9C" w14:textId="45BB7E8D" w:rsidR="00FB59E3" w:rsidRDefault="001B755F" w:rsidP="00FB59E3">
      <w:pPr>
        <w:pStyle w:val="BodyText"/>
      </w:pPr>
      <w:r>
        <w:t>One s</w:t>
      </w:r>
      <w:r w:rsidR="00FB59E3" w:rsidRPr="00AB6736">
        <w:t xml:space="preserve">takeholder reported </w:t>
      </w:r>
      <w:r w:rsidR="00E708D6">
        <w:t xml:space="preserve">in consultation </w:t>
      </w:r>
      <w:r w:rsidR="00FB59E3" w:rsidRPr="00AB6736">
        <w:t xml:space="preserve">that the approach to implementation felt “top-down” and lacked consultation with </w:t>
      </w:r>
      <w:r w:rsidR="00FB59E3">
        <w:t>Registrar</w:t>
      </w:r>
      <w:r w:rsidR="00FB59E3" w:rsidRPr="00AB6736">
        <w:t xml:space="preserve">s and </w:t>
      </w:r>
      <w:r w:rsidR="00FB59E3">
        <w:t>Supervisor</w:t>
      </w:r>
      <w:r w:rsidR="00FB59E3" w:rsidRPr="00AB6736">
        <w:t xml:space="preserve">s to assess the clinical impact. </w:t>
      </w:r>
      <w:r>
        <w:t>Several s</w:t>
      </w:r>
      <w:r w:rsidR="00FB59E3" w:rsidRPr="00AB6736">
        <w:t xml:space="preserve">takeholders also cited </w:t>
      </w:r>
      <w:r>
        <w:t xml:space="preserve">in consultation and in the surveys </w:t>
      </w:r>
      <w:r w:rsidR="00FB59E3" w:rsidRPr="00AB6736">
        <w:t>that</w:t>
      </w:r>
      <w:r w:rsidR="004874D2">
        <w:t xml:space="preserve"> they did not feel they received adequate support through</w:t>
      </w:r>
      <w:r w:rsidR="00FB59E3" w:rsidRPr="00AB6736">
        <w:t xml:space="preserve"> the change</w:t>
      </w:r>
      <w:r w:rsidR="004874D2">
        <w:t>, which</w:t>
      </w:r>
      <w:r w:rsidR="00FB59E3" w:rsidRPr="00AB6736">
        <w:t xml:space="preserve"> caused significant stress </w:t>
      </w:r>
      <w:r w:rsidR="00D6226B">
        <w:t xml:space="preserve">for Registrars and Supervisors </w:t>
      </w:r>
      <w:r w:rsidR="00FB59E3" w:rsidRPr="00AB6736">
        <w:t>and was a common reason for TEAP drop-outs during this period.</w:t>
      </w:r>
    </w:p>
    <w:p w14:paraId="5EFBBE81" w14:textId="77777777" w:rsidR="00EC051F" w:rsidRDefault="00EC051F" w:rsidP="00FB59E3">
      <w:pPr>
        <w:pStyle w:val="BodyText"/>
      </w:pPr>
    </w:p>
    <w:p w14:paraId="37793B33" w14:textId="5110BF23" w:rsidR="00EC051F" w:rsidRPr="00880780" w:rsidRDefault="00E004ED" w:rsidP="00EC051F">
      <w:pPr>
        <w:pStyle w:val="BodyText"/>
        <w:shd w:val="clear" w:color="auto" w:fill="CAF1FF" w:themeFill="accent4" w:themeFillTint="33"/>
        <w:rPr>
          <w:i/>
          <w:iCs/>
        </w:rPr>
      </w:pPr>
      <w:r w:rsidRPr="00880780">
        <w:rPr>
          <w:i/>
          <w:iCs/>
          <w:noProof/>
        </w:rPr>
        <w:drawing>
          <wp:anchor distT="0" distB="0" distL="114300" distR="114300" simplePos="0" relativeHeight="251669504" behindDoc="0" locked="0" layoutInCell="1" allowOverlap="1" wp14:anchorId="56F23D1F" wp14:editId="261FB91D">
            <wp:simplePos x="0" y="0"/>
            <wp:positionH relativeFrom="column">
              <wp:posOffset>3810</wp:posOffset>
            </wp:positionH>
            <wp:positionV relativeFrom="paragraph">
              <wp:posOffset>-4445</wp:posOffset>
            </wp:positionV>
            <wp:extent cx="438785" cy="446405"/>
            <wp:effectExtent l="0" t="0" r="0" b="0"/>
            <wp:wrapSquare wrapText="bothSides"/>
            <wp:docPr id="1471809672" name="Graphic 1471809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5"/>
                        </a:ext>
                      </a:extLst>
                    </a:blip>
                    <a:stretch>
                      <a:fillRect/>
                    </a:stretch>
                  </pic:blipFill>
                  <pic:spPr>
                    <a:xfrm>
                      <a:off x="0" y="0"/>
                      <a:ext cx="438785" cy="446405"/>
                    </a:xfrm>
                    <a:prstGeom prst="rect">
                      <a:avLst/>
                    </a:prstGeom>
                  </pic:spPr>
                </pic:pic>
              </a:graphicData>
            </a:graphic>
          </wp:anchor>
        </w:drawing>
      </w:r>
      <w:r w:rsidR="00EC051F" w:rsidRPr="00880780">
        <w:rPr>
          <w:i/>
          <w:iCs/>
          <w:color w:val="00338D" w:themeColor="accent1"/>
          <w:szCs w:val="20"/>
        </w:rPr>
        <w:t>“The expectations for the level of training and evidence required for the new curriculum was not clear until about 1 year after the new curriculum was released.</w:t>
      </w:r>
      <w:r w:rsidR="00F73BED" w:rsidRPr="00880780">
        <w:rPr>
          <w:i/>
          <w:iCs/>
          <w:color w:val="00338D" w:themeColor="accent1"/>
          <w:szCs w:val="20"/>
        </w:rPr>
        <w:t xml:space="preserve"> </w:t>
      </w:r>
      <w:r w:rsidR="00EC051F" w:rsidRPr="00880780">
        <w:rPr>
          <w:i/>
          <w:iCs/>
          <w:color w:val="00338D" w:themeColor="accent1"/>
          <w:szCs w:val="20"/>
        </w:rPr>
        <w:t>This made it challenging to know the level and depth to train to in the first year.”</w:t>
      </w:r>
    </w:p>
    <w:p w14:paraId="4E3DE4A4" w14:textId="40E0E247" w:rsidR="00EC051F" w:rsidRPr="00880780" w:rsidRDefault="00EC051F" w:rsidP="00EC051F">
      <w:pPr>
        <w:pStyle w:val="BodyText"/>
        <w:shd w:val="clear" w:color="auto" w:fill="CAF1FF" w:themeFill="accent4" w:themeFillTint="33"/>
        <w:rPr>
          <w:b/>
          <w:bCs/>
          <w:i/>
          <w:iCs/>
        </w:rPr>
      </w:pPr>
      <w:r w:rsidRPr="00880780">
        <w:rPr>
          <w:b/>
          <w:bCs/>
          <w:i/>
          <w:iCs/>
        </w:rPr>
        <w:t>Surveyed Supervisor</w:t>
      </w:r>
    </w:p>
    <w:p w14:paraId="47468E8B" w14:textId="77777777" w:rsidR="00F73BED" w:rsidRDefault="00F73BED" w:rsidP="00FB59E3">
      <w:pPr>
        <w:pStyle w:val="BodyText"/>
      </w:pPr>
    </w:p>
    <w:p w14:paraId="77925EDD" w14:textId="2D2388DF" w:rsidR="0089658B" w:rsidRDefault="00FC3149" w:rsidP="00FB59E3">
      <w:pPr>
        <w:pStyle w:val="BodyText"/>
      </w:pPr>
      <w:r>
        <w:t>A common theme across interviews and surveys with Registrars and Supervisors from ROMP TEAP is that the new curriculum is less detailed</w:t>
      </w:r>
      <w:r w:rsidR="007B1DB2">
        <w:t xml:space="preserve"> and </w:t>
      </w:r>
      <w:proofErr w:type="gramStart"/>
      <w:r w:rsidR="007B1DB2">
        <w:t>more vague</w:t>
      </w:r>
      <w:proofErr w:type="gramEnd"/>
      <w:r w:rsidR="007B1DB2">
        <w:t xml:space="preserve"> than the previous </w:t>
      </w:r>
      <w:r w:rsidR="00330938">
        <w:t>curriculum</w:t>
      </w:r>
      <w:r w:rsidR="000D7FFE">
        <w:t xml:space="preserve"> with limited structure provided.</w:t>
      </w:r>
      <w:r w:rsidR="00203F19">
        <w:t xml:space="preserve"> This </w:t>
      </w:r>
      <w:r w:rsidR="000D10D9">
        <w:t>was found to create stress and uncertainty amongst both Registrars and Supervisors.</w:t>
      </w:r>
      <w:r w:rsidR="0053605A">
        <w:t xml:space="preserve"> </w:t>
      </w:r>
    </w:p>
    <w:p w14:paraId="33DF80CA" w14:textId="32A16C65" w:rsidR="00350079" w:rsidRDefault="00350079" w:rsidP="00350079">
      <w:pPr>
        <w:pStyle w:val="BodyText"/>
      </w:pPr>
      <w:r w:rsidRPr="00C67393">
        <w:t xml:space="preserve">A key requirement of the </w:t>
      </w:r>
      <w:r>
        <w:t xml:space="preserve">TEAP </w:t>
      </w:r>
      <w:r w:rsidRPr="00C67393">
        <w:t xml:space="preserve">curriculum review was </w:t>
      </w:r>
      <w:r>
        <w:t xml:space="preserve">for the </w:t>
      </w:r>
      <w:r w:rsidRPr="00C67393">
        <w:t>curriculum</w:t>
      </w:r>
      <w:r w:rsidRPr="00C67393" w:rsidDel="003A119F">
        <w:t xml:space="preserve"> to be </w:t>
      </w:r>
      <w:r w:rsidRPr="00C67393">
        <w:t>delivered anywhere within Australasia, allowing for limited equipment</w:t>
      </w:r>
      <w:r>
        <w:t xml:space="preserve"> and modality</w:t>
      </w:r>
      <w:r w:rsidRPr="00C67393">
        <w:t xml:space="preserve"> access in smaller remote and regional departments. Stakeholders noted this change in consultation, highlighting that some practical components of the curriculum had been scaled back to account for unequal access to equipment across regions and facilities and that this was helpful in reducing the travel </w:t>
      </w:r>
      <w:r>
        <w:t>burden</w:t>
      </w:r>
      <w:r w:rsidRPr="00C67393">
        <w:t xml:space="preserve"> for </w:t>
      </w:r>
      <w:r>
        <w:t>Registrar</w:t>
      </w:r>
      <w:r w:rsidRPr="00C67393">
        <w:t>s, particularly in regional and rural areas. One example of this is the reduced and more theoretical focus on brachytherapy in ROMP TEAP. While some stakeholders were critical of this, the majority felt this was necessary and even overdue as the practice is becoming increasingly less common.</w:t>
      </w:r>
    </w:p>
    <w:p w14:paraId="0690E635" w14:textId="42CF2B18" w:rsidR="00187C7E" w:rsidRDefault="00531E2B" w:rsidP="00DC27F5">
      <w:pPr>
        <w:pStyle w:val="Heading4"/>
        <w:rPr>
          <w:bCs/>
        </w:rPr>
      </w:pPr>
      <w:r w:rsidRPr="00504BA0">
        <w:t>TEAP p</w:t>
      </w:r>
      <w:r w:rsidR="00187C7E">
        <w:rPr>
          <w:b w:val="0"/>
          <w:bCs/>
        </w:rPr>
        <w:t>rogrammatic assessment</w:t>
      </w:r>
    </w:p>
    <w:p w14:paraId="2C20EF81" w14:textId="44F2B12D" w:rsidR="00187C7E" w:rsidRDefault="00187C7E" w:rsidP="00187C7E">
      <w:pPr>
        <w:pStyle w:val="BodyText"/>
      </w:pPr>
      <w:r w:rsidRPr="00853F93">
        <w:t xml:space="preserve">The </w:t>
      </w:r>
      <w:r w:rsidR="00AF6BF6">
        <w:t>implementation</w:t>
      </w:r>
      <w:r w:rsidRPr="00853F93">
        <w:t xml:space="preserve"> of programmatic assessment in the new curriculum has been received favourably by stakeholders. Programmatic assessment</w:t>
      </w:r>
      <w:r>
        <w:t xml:space="preserve"> reduces the weighting of the final exam and instead</w:t>
      </w:r>
      <w:r w:rsidRPr="00853F93">
        <w:t xml:space="preserve"> </w:t>
      </w:r>
      <w:r>
        <w:t>comprises</w:t>
      </w:r>
      <w:r w:rsidRPr="00853F93">
        <w:t xml:space="preserve"> small assessments throughout</w:t>
      </w:r>
      <w:r w:rsidR="006C6459">
        <w:t xml:space="preserve"> TEAP </w:t>
      </w:r>
      <w:r>
        <w:t>which</w:t>
      </w:r>
      <w:r w:rsidRPr="00853F93">
        <w:t xml:space="preserve"> </w:t>
      </w:r>
      <w:r>
        <w:t>act as</w:t>
      </w:r>
      <w:r w:rsidRPr="00853F93">
        <w:t xml:space="preserve"> </w:t>
      </w:r>
      <w:r>
        <w:t xml:space="preserve">regular checkpoints, </w:t>
      </w:r>
      <w:r w:rsidRPr="00853F93">
        <w:t>enabl</w:t>
      </w:r>
      <w:r>
        <w:t>ing</w:t>
      </w:r>
      <w:r w:rsidRPr="00853F93">
        <w:t xml:space="preserve"> continuous feedback and performance monitoring. This approach is designed to </w:t>
      </w:r>
      <w:r>
        <w:t>support the success of</w:t>
      </w:r>
      <w:r w:rsidRPr="00853F93">
        <w:t xml:space="preserve"> </w:t>
      </w:r>
      <w:r>
        <w:t>Trainee</w:t>
      </w:r>
      <w:r w:rsidRPr="00853F93">
        <w:t xml:space="preserve">s in the program by allowing any issues to be identified and </w:t>
      </w:r>
      <w:r>
        <w:t>addressed</w:t>
      </w:r>
      <w:r w:rsidRPr="00853F93">
        <w:t xml:space="preserve"> throughout the program. This reduces the likelihood of </w:t>
      </w:r>
      <w:r>
        <w:t>a Trainee</w:t>
      </w:r>
      <w:r w:rsidRPr="00853F93">
        <w:t xml:space="preserve"> progressing through </w:t>
      </w:r>
      <w:r>
        <w:t>the</w:t>
      </w:r>
      <w:r w:rsidRPr="00853F93">
        <w:t xml:space="preserve"> program unchecked only to fail at the final exam. </w:t>
      </w:r>
      <w:r>
        <w:t>Stakeholders considered t</w:t>
      </w:r>
      <w:r w:rsidRPr="00853F93">
        <w:t xml:space="preserve">his approach to be effective in generating continuous feedback, with the additional benefit of reducing pressure on </w:t>
      </w:r>
      <w:r>
        <w:t>Registrar</w:t>
      </w:r>
      <w:r w:rsidRPr="00853F93">
        <w:t>s to perform in the final exam.</w:t>
      </w:r>
    </w:p>
    <w:p w14:paraId="5EB7FC1B" w14:textId="77195462" w:rsidR="00534C4D" w:rsidRPr="00504BA0" w:rsidRDefault="00534C4D" w:rsidP="00DC27F5">
      <w:pPr>
        <w:pStyle w:val="Heading4"/>
      </w:pPr>
      <w:r w:rsidRPr="00504BA0">
        <w:t>Certification</w:t>
      </w:r>
    </w:p>
    <w:p w14:paraId="5FA842FD" w14:textId="3997419E" w:rsidR="00735957" w:rsidRDefault="00BE76A6" w:rsidP="00202E2B">
      <w:pPr>
        <w:pStyle w:val="BodyText"/>
        <w:rPr>
          <w:rFonts w:eastAsia="Calibri" w:cs="Arial"/>
        </w:rPr>
      </w:pPr>
      <w:r w:rsidRPr="201AD223">
        <w:rPr>
          <w:rFonts w:eastAsia="Calibri" w:cs="Arial"/>
        </w:rPr>
        <w:t>Complet</w:t>
      </w:r>
      <w:r w:rsidR="009534E1" w:rsidRPr="201AD223">
        <w:rPr>
          <w:rFonts w:eastAsia="Calibri" w:cs="Arial"/>
        </w:rPr>
        <w:t xml:space="preserve">ion of the TEAP results in </w:t>
      </w:r>
      <w:r w:rsidR="00C402EB" w:rsidRPr="201AD223">
        <w:rPr>
          <w:rFonts w:eastAsia="Calibri" w:cs="Arial"/>
        </w:rPr>
        <w:t xml:space="preserve">formal </w:t>
      </w:r>
      <w:r w:rsidR="009534E1" w:rsidRPr="201AD223">
        <w:rPr>
          <w:rFonts w:eastAsia="Calibri" w:cs="Arial"/>
        </w:rPr>
        <w:t>certification</w:t>
      </w:r>
      <w:r w:rsidR="00C402EB" w:rsidRPr="201AD223">
        <w:rPr>
          <w:rFonts w:eastAsia="Calibri" w:cs="Arial"/>
        </w:rPr>
        <w:t xml:space="preserve"> </w:t>
      </w:r>
      <w:r w:rsidR="00B527F9" w:rsidRPr="201AD223">
        <w:rPr>
          <w:rFonts w:eastAsia="Calibri" w:cs="Arial"/>
        </w:rPr>
        <w:t>by ACPSEM</w:t>
      </w:r>
      <w:r w:rsidR="00202E2B" w:rsidRPr="201AD223">
        <w:rPr>
          <w:rFonts w:eastAsia="Calibri" w:cs="Arial"/>
        </w:rPr>
        <w:t xml:space="preserve">, and medical physicists with certification and evidence of CPD are automatically eligible to enter ACPSEM Register of Qualified Medical Physics Specialists and </w:t>
      </w:r>
      <w:r w:rsidR="0043409D">
        <w:rPr>
          <w:rFonts w:eastAsia="Calibri" w:cs="Arial"/>
        </w:rPr>
        <w:t>RPSs</w:t>
      </w:r>
      <w:r w:rsidR="00202E2B" w:rsidRPr="201AD223">
        <w:rPr>
          <w:rFonts w:eastAsia="Calibri" w:cs="Arial"/>
        </w:rPr>
        <w:t xml:space="preserve">. </w:t>
      </w:r>
    </w:p>
    <w:p w14:paraId="64DCCF84" w14:textId="164C79A9" w:rsidR="002961DE" w:rsidRDefault="002961DE" w:rsidP="00202E2B">
      <w:pPr>
        <w:pStyle w:val="BodyText"/>
        <w:rPr>
          <w:rFonts w:eastAsia="Calibri" w:cs="Arial"/>
          <w:szCs w:val="20"/>
        </w:rPr>
      </w:pPr>
      <w:r>
        <w:rPr>
          <w:rFonts w:eastAsia="Calibri" w:cs="Arial"/>
          <w:szCs w:val="20"/>
        </w:rPr>
        <w:t xml:space="preserve">In Australia and New Zealand, </w:t>
      </w:r>
      <w:r w:rsidR="00C21CD2">
        <w:rPr>
          <w:rFonts w:eastAsia="Calibri" w:cs="Arial"/>
          <w:szCs w:val="20"/>
        </w:rPr>
        <w:t>‘</w:t>
      </w:r>
      <w:r>
        <w:rPr>
          <w:rFonts w:eastAsia="Calibri" w:cs="Arial"/>
          <w:szCs w:val="20"/>
        </w:rPr>
        <w:t>Medical Physicist</w:t>
      </w:r>
      <w:r w:rsidR="00C21CD2">
        <w:rPr>
          <w:rFonts w:eastAsia="Calibri" w:cs="Arial"/>
          <w:szCs w:val="20"/>
        </w:rPr>
        <w:t>’</w:t>
      </w:r>
      <w:r>
        <w:rPr>
          <w:rFonts w:eastAsia="Calibri" w:cs="Arial"/>
          <w:szCs w:val="20"/>
        </w:rPr>
        <w:t xml:space="preserve"> is not a protected title under the </w:t>
      </w:r>
      <w:r w:rsidR="00A2767C">
        <w:rPr>
          <w:rFonts w:eastAsia="Calibri" w:cs="Arial"/>
          <w:szCs w:val="20"/>
        </w:rPr>
        <w:t>NRAS</w:t>
      </w:r>
      <w:r>
        <w:rPr>
          <w:rFonts w:eastAsia="Calibri" w:cs="Arial"/>
          <w:szCs w:val="20"/>
        </w:rPr>
        <w:t xml:space="preserve"> (Australian legislation)</w:t>
      </w:r>
      <w:r w:rsidR="001D1A3C">
        <w:rPr>
          <w:rFonts w:ascii="ZWAdobeF" w:eastAsia="Calibri" w:hAnsi="ZWAdobeF" w:cs="ZWAdobeF"/>
          <w:sz w:val="2"/>
          <w:szCs w:val="2"/>
        </w:rPr>
        <w:t>16F</w:t>
      </w:r>
      <w:r w:rsidR="005F7EBC">
        <w:rPr>
          <w:rFonts w:ascii="ZWAdobeF" w:eastAsia="Calibri" w:hAnsi="ZWAdobeF" w:cs="ZWAdobeF"/>
          <w:sz w:val="2"/>
          <w:szCs w:val="2"/>
        </w:rPr>
        <w:t>20F</w:t>
      </w:r>
      <w:r w:rsidR="00AE2B1B">
        <w:rPr>
          <w:rStyle w:val="FootnoteReference"/>
          <w:rFonts w:eastAsia="Calibri" w:cs="Arial"/>
          <w:szCs w:val="20"/>
        </w:rPr>
        <w:footnoteReference w:id="22"/>
      </w:r>
      <w:r>
        <w:rPr>
          <w:rFonts w:eastAsia="Calibri" w:cs="Arial"/>
          <w:szCs w:val="20"/>
        </w:rPr>
        <w:t xml:space="preserve"> or </w:t>
      </w:r>
      <w:r w:rsidRPr="00DC27F5">
        <w:rPr>
          <w:rFonts w:eastAsia="Calibri" w:cs="Arial"/>
          <w:i/>
          <w:szCs w:val="20"/>
        </w:rPr>
        <w:t>Health Practitioners Competence Assurance Act 2003</w:t>
      </w:r>
      <w:r>
        <w:rPr>
          <w:rFonts w:eastAsia="Calibri" w:cs="Arial"/>
          <w:szCs w:val="20"/>
        </w:rPr>
        <w:t xml:space="preserve"> (New Zealand legislation)</w:t>
      </w:r>
      <w:r w:rsidR="001D1A3C">
        <w:rPr>
          <w:rFonts w:ascii="ZWAdobeF" w:eastAsia="Calibri" w:hAnsi="ZWAdobeF" w:cs="ZWAdobeF"/>
          <w:sz w:val="2"/>
          <w:szCs w:val="2"/>
        </w:rPr>
        <w:t>17F</w:t>
      </w:r>
      <w:r w:rsidR="005F7EBC">
        <w:rPr>
          <w:rFonts w:ascii="ZWAdobeF" w:eastAsia="Calibri" w:hAnsi="ZWAdobeF" w:cs="ZWAdobeF"/>
          <w:sz w:val="2"/>
          <w:szCs w:val="2"/>
        </w:rPr>
        <w:t>21F</w:t>
      </w:r>
      <w:r w:rsidR="00EB470F">
        <w:rPr>
          <w:rStyle w:val="FootnoteReference"/>
          <w:rFonts w:eastAsia="Calibri" w:cs="Arial"/>
          <w:szCs w:val="20"/>
        </w:rPr>
        <w:footnoteReference w:id="23"/>
      </w:r>
      <w:r>
        <w:rPr>
          <w:rFonts w:eastAsia="Calibri" w:cs="Arial"/>
          <w:szCs w:val="20"/>
        </w:rPr>
        <w:t xml:space="preserve">. This means workers can call themselves a medical physicist or </w:t>
      </w:r>
      <w:r w:rsidR="0043409D">
        <w:rPr>
          <w:rFonts w:eastAsia="Calibri" w:cs="Arial"/>
          <w:szCs w:val="20"/>
        </w:rPr>
        <w:t>RPS</w:t>
      </w:r>
      <w:r>
        <w:rPr>
          <w:rFonts w:eastAsia="Calibri" w:cs="Arial"/>
          <w:szCs w:val="20"/>
        </w:rPr>
        <w:t xml:space="preserve"> without certification or registration, and work that falls in the scope of medical physicist responsibilities can be outsourced. </w:t>
      </w:r>
      <w:r w:rsidR="00A85DA3">
        <w:rPr>
          <w:rFonts w:eastAsia="Calibri" w:cs="Arial"/>
          <w:szCs w:val="20"/>
        </w:rPr>
        <w:t>ACPSEM</w:t>
      </w:r>
      <w:r>
        <w:rPr>
          <w:rFonts w:eastAsia="Calibri" w:cs="Arial"/>
          <w:szCs w:val="20"/>
        </w:rPr>
        <w:t xml:space="preserve"> identifies the outsourcing of medical physicist work as a risk to quality and safety.</w:t>
      </w:r>
    </w:p>
    <w:p w14:paraId="15EB8E88" w14:textId="594010EE" w:rsidR="00534C4D" w:rsidRDefault="0013121C" w:rsidP="002961DE">
      <w:pPr>
        <w:pStyle w:val="BodyText"/>
        <w:rPr>
          <w:rFonts w:eastAsia="Calibri" w:cs="Arial"/>
          <w:szCs w:val="20"/>
        </w:rPr>
      </w:pPr>
      <w:r>
        <w:rPr>
          <w:rFonts w:eastAsia="Calibri" w:cs="Arial"/>
          <w:szCs w:val="20"/>
        </w:rPr>
        <w:t>Some s</w:t>
      </w:r>
      <w:r w:rsidR="002961DE">
        <w:rPr>
          <w:rFonts w:eastAsia="Calibri" w:cs="Arial"/>
          <w:szCs w:val="20"/>
        </w:rPr>
        <w:t xml:space="preserve">takeholders raised </w:t>
      </w:r>
      <w:r>
        <w:rPr>
          <w:rFonts w:eastAsia="Calibri" w:cs="Arial"/>
          <w:szCs w:val="20"/>
        </w:rPr>
        <w:t xml:space="preserve">concern </w:t>
      </w:r>
      <w:r w:rsidR="002961DE">
        <w:rPr>
          <w:rFonts w:eastAsia="Calibri" w:cs="Arial"/>
          <w:szCs w:val="20"/>
        </w:rPr>
        <w:t xml:space="preserve">that the lack of regulation around registration means there are few practical benefits to registration. </w:t>
      </w:r>
      <w:r w:rsidR="002961DE">
        <w:t>One surveyed Registrar in the RPS TEAP indicated that there is limited encouragement for RPSs to complete TEAP as there is no increased remuneration following completion and is</w:t>
      </w:r>
      <w:r w:rsidR="00373D6C">
        <w:t xml:space="preserve"> often</w:t>
      </w:r>
      <w:r w:rsidR="002961DE">
        <w:t xml:space="preserve"> not a requirement of job</w:t>
      </w:r>
      <w:r w:rsidR="00CE62A2">
        <w:t>s</w:t>
      </w:r>
      <w:r w:rsidR="002961DE">
        <w:t xml:space="preserve"> </w:t>
      </w:r>
      <w:r w:rsidR="00CE62A2">
        <w:t>advertised</w:t>
      </w:r>
      <w:r w:rsidR="002961DE">
        <w:t xml:space="preserve"> in Australia. </w:t>
      </w:r>
    </w:p>
    <w:p w14:paraId="04B77D60" w14:textId="2C01B48B" w:rsidR="001524F5" w:rsidRPr="00DC27F5" w:rsidRDefault="0004226D" w:rsidP="001524F5">
      <w:pPr>
        <w:pStyle w:val="BodyText"/>
      </w:pPr>
      <w:r>
        <w:t>In addition</w:t>
      </w:r>
      <w:r w:rsidR="000527D0">
        <w:t xml:space="preserve"> </w:t>
      </w:r>
      <w:r w:rsidR="001524F5">
        <w:t xml:space="preserve">to delivering training through TEAP, </w:t>
      </w:r>
      <w:r w:rsidR="001524F5">
        <w:rPr>
          <w:rFonts w:eastAsia="Calibri" w:cs="Arial"/>
          <w:szCs w:val="20"/>
        </w:rPr>
        <w:t xml:space="preserve">ACPSEM receives funding through the MPS Program to undertake activities to manage the certification of professional standards </w:t>
      </w:r>
      <w:r w:rsidR="001524F5" w:rsidRPr="00EB397F">
        <w:rPr>
          <w:rFonts w:eastAsia="Calibri" w:cs="Arial"/>
          <w:szCs w:val="20"/>
        </w:rPr>
        <w:t xml:space="preserve">in radiology medical physics, nuclear medicine medical physics, </w:t>
      </w:r>
      <w:r w:rsidR="00960002">
        <w:rPr>
          <w:rFonts w:eastAsia="Calibri" w:cs="Arial"/>
          <w:szCs w:val="20"/>
        </w:rPr>
        <w:t>ROMP</w:t>
      </w:r>
      <w:r w:rsidR="001524F5" w:rsidRPr="00EB397F">
        <w:rPr>
          <w:rFonts w:eastAsia="Calibri" w:cs="Arial"/>
          <w:szCs w:val="20"/>
        </w:rPr>
        <w:t xml:space="preserve"> and </w:t>
      </w:r>
      <w:r w:rsidR="001524F5">
        <w:rPr>
          <w:rFonts w:eastAsia="Calibri" w:cs="Arial"/>
          <w:szCs w:val="20"/>
        </w:rPr>
        <w:t xml:space="preserve">RPS. </w:t>
      </w:r>
      <w:r w:rsidR="00295018">
        <w:rPr>
          <w:rFonts w:eastAsia="Calibri" w:cs="Arial"/>
          <w:szCs w:val="20"/>
        </w:rPr>
        <w:t>T</w:t>
      </w:r>
      <w:r w:rsidR="00DD0525">
        <w:rPr>
          <w:rFonts w:eastAsia="Calibri" w:cs="Arial"/>
          <w:szCs w:val="20"/>
        </w:rPr>
        <w:t xml:space="preserve">o achieve </w:t>
      </w:r>
      <w:r w:rsidR="00860042">
        <w:rPr>
          <w:rFonts w:eastAsia="Calibri" w:cs="Arial"/>
          <w:szCs w:val="20"/>
        </w:rPr>
        <w:t>this,</w:t>
      </w:r>
      <w:r w:rsidR="00295018">
        <w:rPr>
          <w:rFonts w:eastAsia="Calibri" w:cs="Arial"/>
          <w:szCs w:val="20"/>
        </w:rPr>
        <w:t xml:space="preserve"> ACPSEM has implemented</w:t>
      </w:r>
      <w:r w:rsidR="001524F5">
        <w:rPr>
          <w:rFonts w:eastAsia="Calibri" w:cs="Arial"/>
          <w:szCs w:val="20"/>
        </w:rPr>
        <w:t xml:space="preserve"> activities </w:t>
      </w:r>
      <w:r w:rsidR="00C75816">
        <w:rPr>
          <w:rFonts w:eastAsia="Calibri" w:cs="Arial"/>
          <w:szCs w:val="20"/>
        </w:rPr>
        <w:t>including</w:t>
      </w:r>
      <w:r w:rsidR="001524F5">
        <w:rPr>
          <w:rFonts w:eastAsia="Calibri" w:cs="Arial"/>
          <w:szCs w:val="20"/>
        </w:rPr>
        <w:t xml:space="preserve">: </w:t>
      </w:r>
    </w:p>
    <w:p w14:paraId="7CA6BDA3" w14:textId="77777777" w:rsidR="001524F5" w:rsidRPr="0062543F" w:rsidRDefault="001524F5" w:rsidP="00584EC6">
      <w:pPr>
        <w:pStyle w:val="BodyText"/>
        <w:numPr>
          <w:ilvl w:val="0"/>
          <w:numId w:val="40"/>
        </w:numPr>
      </w:pPr>
      <w:r>
        <w:rPr>
          <w:rFonts w:eastAsia="Calibri" w:cs="Arial"/>
          <w:szCs w:val="20"/>
        </w:rPr>
        <w:t xml:space="preserve">Publication of Scopes of Practice for ROMP and DIMP in </w:t>
      </w:r>
      <w:proofErr w:type="gramStart"/>
      <w:r>
        <w:rPr>
          <w:rFonts w:eastAsia="Calibri" w:cs="Arial"/>
          <w:szCs w:val="20"/>
        </w:rPr>
        <w:t>2022;</w:t>
      </w:r>
      <w:proofErr w:type="gramEnd"/>
    </w:p>
    <w:p w14:paraId="23C61A3E" w14:textId="77777777" w:rsidR="001524F5" w:rsidRPr="001E1F8E" w:rsidRDefault="001524F5" w:rsidP="00584EC6">
      <w:pPr>
        <w:pStyle w:val="BodyText"/>
        <w:numPr>
          <w:ilvl w:val="0"/>
          <w:numId w:val="40"/>
        </w:numPr>
      </w:pPr>
      <w:r>
        <w:rPr>
          <w:rFonts w:eastAsia="Calibri" w:cs="Arial"/>
          <w:szCs w:val="20"/>
        </w:rPr>
        <w:t xml:space="preserve">Approval of Scopes of Practice for ROMP and DIMP (Advanced Skills) in </w:t>
      </w:r>
      <w:proofErr w:type="gramStart"/>
      <w:r>
        <w:rPr>
          <w:rFonts w:eastAsia="Calibri" w:cs="Arial"/>
          <w:szCs w:val="20"/>
        </w:rPr>
        <w:t>2023;</w:t>
      </w:r>
      <w:proofErr w:type="gramEnd"/>
      <w:r>
        <w:rPr>
          <w:rFonts w:eastAsia="Calibri" w:cs="Arial"/>
          <w:szCs w:val="20"/>
        </w:rPr>
        <w:t xml:space="preserve"> </w:t>
      </w:r>
    </w:p>
    <w:p w14:paraId="25680041" w14:textId="10ABAFC7" w:rsidR="002041DF" w:rsidRPr="0019228A" w:rsidRDefault="002041DF" w:rsidP="00584EC6">
      <w:pPr>
        <w:pStyle w:val="BodyText"/>
        <w:numPr>
          <w:ilvl w:val="0"/>
          <w:numId w:val="40"/>
        </w:numPr>
      </w:pPr>
      <w:r>
        <w:t>Learning management, including developing and delivering CPD and online learning for all medical physics specialties</w:t>
      </w:r>
      <w:r w:rsidR="007C14B6">
        <w:t xml:space="preserve"> (ongoing</w:t>
      </w:r>
      <w:proofErr w:type="gramStart"/>
      <w:r w:rsidR="007C14B6">
        <w:t>)</w:t>
      </w:r>
      <w:r>
        <w:t>;</w:t>
      </w:r>
      <w:proofErr w:type="gramEnd"/>
    </w:p>
    <w:p w14:paraId="21DE7A75" w14:textId="54DB763A" w:rsidR="002041DF" w:rsidRPr="0053049B" w:rsidRDefault="002041DF" w:rsidP="00584EC6">
      <w:pPr>
        <w:pStyle w:val="BodyText"/>
        <w:numPr>
          <w:ilvl w:val="0"/>
          <w:numId w:val="40"/>
        </w:numPr>
      </w:pPr>
      <w:r>
        <w:rPr>
          <w:rFonts w:eastAsia="Calibri" w:cs="Arial"/>
          <w:szCs w:val="20"/>
        </w:rPr>
        <w:t>Development of a Position Paper on the roles and responsibilities of Physical Scientists in Australasia in 2018;</w:t>
      </w:r>
      <w:r w:rsidR="007C14B6">
        <w:rPr>
          <w:rFonts w:eastAsia="Calibri" w:cs="Arial"/>
          <w:szCs w:val="20"/>
        </w:rPr>
        <w:t xml:space="preserve"> and</w:t>
      </w:r>
    </w:p>
    <w:p w14:paraId="69DB4017" w14:textId="5A4991EC" w:rsidR="001524F5" w:rsidRPr="00534C4D" w:rsidRDefault="001524F5" w:rsidP="00584EC6">
      <w:pPr>
        <w:pStyle w:val="BodyText"/>
        <w:numPr>
          <w:ilvl w:val="0"/>
          <w:numId w:val="40"/>
        </w:numPr>
      </w:pPr>
      <w:r>
        <w:rPr>
          <w:rFonts w:eastAsia="Calibri" w:cs="Arial"/>
          <w:szCs w:val="20"/>
        </w:rPr>
        <w:t xml:space="preserve">Scoping medical physicist’s role in Interventional Radiology, Interventional Neuro Radiology, and </w:t>
      </w:r>
      <w:proofErr w:type="spellStart"/>
      <w:r>
        <w:rPr>
          <w:rFonts w:eastAsia="Calibri" w:cs="Arial"/>
          <w:szCs w:val="20"/>
        </w:rPr>
        <w:t>Theranostics</w:t>
      </w:r>
      <w:proofErr w:type="spellEnd"/>
      <w:r>
        <w:rPr>
          <w:rFonts w:eastAsia="Calibri" w:cs="Arial"/>
          <w:szCs w:val="20"/>
        </w:rPr>
        <w:t xml:space="preserve"> in collaboration with RANZCR and ANZSNM (ongoing)</w:t>
      </w:r>
      <w:r w:rsidR="007C14B6">
        <w:rPr>
          <w:rFonts w:eastAsia="Calibri" w:cs="Arial"/>
          <w:szCs w:val="20"/>
        </w:rPr>
        <w:t>.</w:t>
      </w:r>
    </w:p>
    <w:p w14:paraId="4354BBCD" w14:textId="38695B92" w:rsidR="006936D8" w:rsidRPr="00AE349D" w:rsidRDefault="006936D8" w:rsidP="00AE349D">
      <w:pPr>
        <w:pStyle w:val="Heading3"/>
      </w:pPr>
      <w:bookmarkStart w:id="78" w:name="_Ref182581752"/>
      <w:bookmarkStart w:id="79" w:name="_Toc216711580"/>
      <w:r w:rsidRPr="00AE349D">
        <w:t>P</w:t>
      </w:r>
      <w:r w:rsidR="002D327E" w:rsidRPr="00AE349D">
        <w:t>roviding grant funding to facilities for TEAP</w:t>
      </w:r>
      <w:bookmarkEnd w:id="78"/>
      <w:bookmarkEnd w:id="79"/>
    </w:p>
    <w:p w14:paraId="3BD6F23A" w14:textId="123C7649" w:rsidR="009E2043" w:rsidRDefault="00C21FED" w:rsidP="00C21FED">
      <w:pPr>
        <w:pStyle w:val="BodyText"/>
      </w:pPr>
      <w:r>
        <w:t>Under the Medical Physicists Trainee Support stream, ACPSEM provide</w:t>
      </w:r>
      <w:r w:rsidR="00A319FC">
        <w:t>s</w:t>
      </w:r>
      <w:r>
        <w:t xml:space="preserve"> funding support for trainees paid to facilities employing the trainee.</w:t>
      </w:r>
      <w:r w:rsidRPr="006267DD">
        <w:t xml:space="preserve"> </w:t>
      </w:r>
      <w:r>
        <w:t xml:space="preserve">The related Program output is </w:t>
      </w:r>
      <w:r w:rsidR="00943058">
        <w:t>profession-led, competitive funding support for trainees in accordance with needs, as determined by workforce model</w:t>
      </w:r>
      <w:r>
        <w:t>.</w:t>
      </w:r>
      <w:r w:rsidR="00943058">
        <w:t xml:space="preserve"> Related activities outlined by the Program Logic include</w:t>
      </w:r>
      <w:r w:rsidR="00831A98">
        <w:t xml:space="preserve"> to</w:t>
      </w:r>
      <w:r w:rsidR="00943058">
        <w:t xml:space="preserve"> </w:t>
      </w:r>
      <w:r w:rsidR="0022620E">
        <w:t xml:space="preserve">select </w:t>
      </w:r>
      <w:r w:rsidR="0022620E" w:rsidRPr="001876A2">
        <w:t>and administer grant funding to facilities employing medical physicist trainees enrolled in</w:t>
      </w:r>
      <w:r w:rsidR="0022620E">
        <w:t xml:space="preserve"> the </w:t>
      </w:r>
      <w:proofErr w:type="gramStart"/>
      <w:r w:rsidR="0022620E">
        <w:t>TEAP, and</w:t>
      </w:r>
      <w:proofErr w:type="gramEnd"/>
      <w:r w:rsidR="0022620E">
        <w:t xml:space="preserve"> assess and </w:t>
      </w:r>
      <w:r w:rsidR="0022620E" w:rsidRPr="001876A2">
        <w:t>monitor the most appropriate way to allocate the funding</w:t>
      </w:r>
      <w:r w:rsidR="0022620E">
        <w:t xml:space="preserve">. </w:t>
      </w:r>
    </w:p>
    <w:p w14:paraId="7C4ACB88" w14:textId="42FF0289" w:rsidR="009C2179" w:rsidRDefault="009C2179" w:rsidP="009C2179">
      <w:pPr>
        <w:tabs>
          <w:tab w:val="left" w:pos="1117"/>
        </w:tabs>
      </w:pPr>
      <w:r>
        <w:t xml:space="preserve">The grants supplied to facilities as part of the Medical Physicists Trainees Support activity stream is an open competitive grants process. An Independent Selection Panel of </w:t>
      </w:r>
      <w:r w:rsidR="00B937AE">
        <w:t>four</w:t>
      </w:r>
      <w:r>
        <w:t xml:space="preserve"> to </w:t>
      </w:r>
      <w:r w:rsidR="00B937AE">
        <w:t xml:space="preserve">six </w:t>
      </w:r>
      <w:r>
        <w:t xml:space="preserve">people is </w:t>
      </w:r>
      <w:r w:rsidR="001A593D">
        <w:t>convened</w:t>
      </w:r>
      <w:r>
        <w:t xml:space="preserve"> and administered independently of all other ACPSEM activities to score and rank applications aligned to selection criteria. </w:t>
      </w:r>
      <w:r w:rsidRPr="00CD0359">
        <w:t>Scoring rates are determined by a variety of drivers each grant cycle, including workforce, subspecialty needs, facility resources and demographics</w:t>
      </w:r>
      <w:r>
        <w:t xml:space="preserve">. The weighting of selection criteria is as follows: </w:t>
      </w:r>
    </w:p>
    <w:p w14:paraId="5C6F282D" w14:textId="4488A1EF" w:rsidR="009C2179" w:rsidRDefault="009C2179" w:rsidP="00242835">
      <w:pPr>
        <w:pStyle w:val="ListBullet"/>
      </w:pPr>
      <w:r>
        <w:t>How Training will be Organised – weighting 40%</w:t>
      </w:r>
    </w:p>
    <w:p w14:paraId="2F652548" w14:textId="0289B28E" w:rsidR="009C2179" w:rsidRDefault="009C2179" w:rsidP="00242835">
      <w:pPr>
        <w:pStyle w:val="ListBullet"/>
      </w:pPr>
      <w:proofErr w:type="gramStart"/>
      <w:r>
        <w:t>Workforce</w:t>
      </w:r>
      <w:proofErr w:type="gramEnd"/>
      <w:r>
        <w:t xml:space="preserve"> need – weighting 30%</w:t>
      </w:r>
    </w:p>
    <w:p w14:paraId="56541A50" w14:textId="74D73801" w:rsidR="009C2179" w:rsidRPr="00C8240D" w:rsidRDefault="009C2179" w:rsidP="00242835">
      <w:pPr>
        <w:pStyle w:val="ListBullet"/>
      </w:pPr>
      <w:r>
        <w:t>Departmental Oversight and Supervision of the TEAP Registrar – weighting 30%</w:t>
      </w:r>
    </w:p>
    <w:p w14:paraId="05C89D64" w14:textId="4EA2214C" w:rsidR="009C2179" w:rsidRPr="009C2179" w:rsidRDefault="009C2179" w:rsidP="009C2179">
      <w:pPr>
        <w:tabs>
          <w:tab w:val="left" w:pos="1117"/>
        </w:tabs>
      </w:pPr>
      <w:r>
        <w:t xml:space="preserve">The selection panel seeks consultations with jurisdictions and executives of private providers to understand workforce need and clarify any gaps in applications, </w:t>
      </w:r>
      <w:proofErr w:type="gramStart"/>
      <w:r>
        <w:t>however</w:t>
      </w:r>
      <w:proofErr w:type="gramEnd"/>
      <w:r>
        <w:t xml:space="preserve"> should they choose not to provide input then panel rankings are the sole source of decision making. </w:t>
      </w:r>
    </w:p>
    <w:p w14:paraId="3699108B" w14:textId="0EE3F894" w:rsidR="00BC6E53" w:rsidRDefault="00891FBA" w:rsidP="00BC6E53">
      <w:pPr>
        <w:pStyle w:val="BodyText"/>
      </w:pPr>
      <w:r>
        <w:t xml:space="preserve">In consultation, </w:t>
      </w:r>
      <w:r w:rsidR="00A85DA3">
        <w:t>ACPSEM</w:t>
      </w:r>
      <w:r>
        <w:t xml:space="preserve"> advised that they prioritise the allocation of grants to regional facilities where possible</w:t>
      </w:r>
      <w:r w:rsidR="00CC0F63">
        <w:t>, and stakeholders</w:t>
      </w:r>
      <w:r w:rsidR="00A30CEC">
        <w:t xml:space="preserve"> also commented that an increased focus on grants to regional facilities has been observed in recent years</w:t>
      </w:r>
      <w:r>
        <w:t xml:space="preserve">. According to </w:t>
      </w:r>
      <w:r w:rsidR="00A85DA3">
        <w:t>ACPSEM</w:t>
      </w:r>
      <w:r>
        <w:t xml:space="preserve"> performance reporting, ROMP grants are delivered in a way that has mirrored the growing presence of private service providers in regional areas, and growth in the private sector overall.</w:t>
      </w:r>
      <w:bookmarkStart w:id="80" w:name="_Ref182580621"/>
      <w:r w:rsidR="001D1A3C">
        <w:rPr>
          <w:rFonts w:ascii="ZWAdobeF" w:hAnsi="ZWAdobeF" w:cs="ZWAdobeF"/>
          <w:sz w:val="2"/>
          <w:szCs w:val="2"/>
        </w:rPr>
        <w:t>18F</w:t>
      </w:r>
      <w:r w:rsidR="005F7EBC">
        <w:rPr>
          <w:rFonts w:ascii="ZWAdobeF" w:hAnsi="ZWAdobeF" w:cs="ZWAdobeF"/>
          <w:sz w:val="2"/>
          <w:szCs w:val="2"/>
        </w:rPr>
        <w:t>22F</w:t>
      </w:r>
      <w:r w:rsidR="00B44396">
        <w:rPr>
          <w:rStyle w:val="FootnoteReference"/>
        </w:rPr>
        <w:footnoteReference w:id="24"/>
      </w:r>
      <w:bookmarkEnd w:id="80"/>
    </w:p>
    <w:p w14:paraId="42BE8FE2" w14:textId="296E12CB" w:rsidR="00352978" w:rsidRPr="00A02FEC" w:rsidRDefault="00A02FEC" w:rsidP="00890A64">
      <w:pPr>
        <w:pStyle w:val="BodyText"/>
      </w:pPr>
      <w:r>
        <w:t>Multiple</w:t>
      </w:r>
      <w:r w:rsidRPr="002A5092">
        <w:t xml:space="preserve"> stakeholders raised that the amount of grant funding has </w:t>
      </w:r>
      <w:r>
        <w:t>remained stagnant</w:t>
      </w:r>
      <w:r w:rsidRPr="002A5092">
        <w:t xml:space="preserve"> in recent years despite the rise in </w:t>
      </w:r>
      <w:r>
        <w:t>Registrar</w:t>
      </w:r>
      <w:r w:rsidRPr="002A5092">
        <w:t xml:space="preserve"> salaries and operational costs</w:t>
      </w:r>
      <w:r>
        <w:t>, making it increasingly challenging to take on a new TEAP Registrar</w:t>
      </w:r>
      <w:r w:rsidRPr="002A5092">
        <w:t xml:space="preserve">. This challenge has </w:t>
      </w:r>
      <w:r>
        <w:t>impacted the ability of</w:t>
      </w:r>
      <w:r w:rsidRPr="002A5092">
        <w:t xml:space="preserve"> facilities </w:t>
      </w:r>
      <w:r>
        <w:t xml:space="preserve">to take on new TEAP Registrars (see Section </w:t>
      </w:r>
      <w:r w:rsidR="00091CD0">
        <w:fldChar w:fldCharType="begin" w:fldLock="1"/>
      </w:r>
      <w:r w:rsidR="00091CD0">
        <w:instrText xml:space="preserve"> REF _Ref182578149 \r \h </w:instrText>
      </w:r>
      <w:r w:rsidR="00091CD0">
        <w:fldChar w:fldCharType="separate"/>
      </w:r>
      <w:r w:rsidR="00D35A75">
        <w:t>3.5.4</w:t>
      </w:r>
      <w:r w:rsidR="00091CD0">
        <w:fldChar w:fldCharType="end"/>
      </w:r>
      <w:r w:rsidR="00A57DE4">
        <w:t>).</w:t>
      </w:r>
    </w:p>
    <w:p w14:paraId="464B6FE7" w14:textId="253BDAA4" w:rsidR="008D44AE" w:rsidRPr="00AE349D" w:rsidRDefault="00232A21" w:rsidP="00AE349D">
      <w:pPr>
        <w:pStyle w:val="Heading3"/>
      </w:pPr>
      <w:bookmarkStart w:id="81" w:name="_Ref184204514"/>
      <w:bookmarkStart w:id="82" w:name="_Toc216711581"/>
      <w:r w:rsidRPr="00AE349D">
        <w:t>Implementation of activities to support optimal workforce distribution</w:t>
      </w:r>
      <w:bookmarkEnd w:id="81"/>
      <w:bookmarkEnd w:id="82"/>
    </w:p>
    <w:p w14:paraId="15F39325" w14:textId="0D620D16" w:rsidR="00232A21" w:rsidRDefault="00687335" w:rsidP="00232A21">
      <w:pPr>
        <w:pStyle w:val="BodyText"/>
      </w:pPr>
      <w:r>
        <w:t xml:space="preserve">An objective of the MPS Program is to support training and innovation which encourages optimal distribution of the medical physicist and RPS workforce. In their </w:t>
      </w:r>
      <w:r w:rsidR="00821CC5">
        <w:t xml:space="preserve">most recent </w:t>
      </w:r>
      <w:r>
        <w:t xml:space="preserve">performance reporting, </w:t>
      </w:r>
      <w:r w:rsidR="00A173D1">
        <w:t xml:space="preserve">ACPSEM </w:t>
      </w:r>
      <w:r w:rsidR="002A43F6">
        <w:t xml:space="preserve">uses funds under the Medical Physicists Trainees Support stream for </w:t>
      </w:r>
      <w:r w:rsidR="00821CC5">
        <w:t xml:space="preserve">two activities </w:t>
      </w:r>
      <w:r w:rsidR="002A43F6">
        <w:t xml:space="preserve">related to </w:t>
      </w:r>
      <w:r w:rsidR="00821CC5">
        <w:t xml:space="preserve">this objective: the RIFP and workforce modelling. </w:t>
      </w:r>
      <w:r w:rsidR="0063521D">
        <w:t xml:space="preserve">Workforce modelling reports for ROMPs, DIMPs and RPSs </w:t>
      </w:r>
      <w:r w:rsidR="007E3F19">
        <w:t>are</w:t>
      </w:r>
      <w:r w:rsidR="0063521D">
        <w:t xml:space="preserve"> also an output of the MPS Program</w:t>
      </w:r>
      <w:r w:rsidR="009006F4">
        <w:t xml:space="preserve"> outlined by the Program Logic</w:t>
      </w:r>
      <w:r w:rsidR="0063521D">
        <w:t>.</w:t>
      </w:r>
    </w:p>
    <w:p w14:paraId="71E626C0" w14:textId="69DE2F54" w:rsidR="00330CBF" w:rsidRDefault="009B2B9A" w:rsidP="00DC27F5">
      <w:pPr>
        <w:pStyle w:val="Heading4"/>
        <w:rPr>
          <w:bCs/>
        </w:rPr>
      </w:pPr>
      <w:r w:rsidRPr="00504BA0">
        <w:t>Workforce modelling</w:t>
      </w:r>
    </w:p>
    <w:p w14:paraId="452D4A69" w14:textId="712F8A2D" w:rsidR="004318BB" w:rsidRDefault="004F10D3" w:rsidP="00B82971">
      <w:pPr>
        <w:pStyle w:val="BodyText"/>
      </w:pPr>
      <w:r>
        <w:t xml:space="preserve">ACPSEM has </w:t>
      </w:r>
      <w:r w:rsidR="00453E13">
        <w:t>developed two workforce models, one each for DIMP and ROMP, to estimate workforce supply relative to need.</w:t>
      </w:r>
      <w:r w:rsidR="00B82971">
        <w:t xml:space="preserve"> </w:t>
      </w:r>
      <w:r w:rsidR="00A82720">
        <w:t>These reports were launched in November 2021</w:t>
      </w:r>
      <w:r w:rsidR="004318BB">
        <w:t>, and the ROMP discipline model includes a predictive component and extensive benchmarking.</w:t>
      </w:r>
      <w:r w:rsidR="00D34B8E">
        <w:t xml:space="preserve"> ACPSEM reported in 2022 that the characteristics of the DIMP workforce do not support predictive modelling or benchmarking, however the focus </w:t>
      </w:r>
      <w:r w:rsidR="00A077A1">
        <w:t xml:space="preserve">of DIMP workforce modelling activities in </w:t>
      </w:r>
      <w:r w:rsidR="00D34B8E">
        <w:t xml:space="preserve">2023 </w:t>
      </w:r>
      <w:r w:rsidR="00A077A1">
        <w:t xml:space="preserve">is to </w:t>
      </w:r>
      <w:r w:rsidR="007B7D7F">
        <w:t>build predictive capacity into the DIMP workforce model.</w:t>
      </w:r>
      <w:r w:rsidR="00E84ABD">
        <w:t xml:space="preserve"> Additionally,</w:t>
      </w:r>
      <w:r w:rsidR="009A5D50">
        <w:t xml:space="preserve"> ACPSEM </w:t>
      </w:r>
      <w:r w:rsidR="00C33213">
        <w:t>aims to build a new ‘what if’ workforce scenario testing capability during 2024.</w:t>
      </w:r>
    </w:p>
    <w:p w14:paraId="76B8C237" w14:textId="5AC3F15F" w:rsidR="009B2B9A" w:rsidRDefault="00A85DA3" w:rsidP="00B82971">
      <w:pPr>
        <w:pStyle w:val="BodyText"/>
      </w:pPr>
      <w:r>
        <w:t>ACPSEM</w:t>
      </w:r>
      <w:r w:rsidR="00B82971" w:rsidRPr="00D875EF">
        <w:t xml:space="preserve"> has advised that it is not </w:t>
      </w:r>
      <w:r w:rsidR="007F3A1A">
        <w:t xml:space="preserve">yet </w:t>
      </w:r>
      <w:r w:rsidR="00B82971" w:rsidRPr="00D875EF">
        <w:t xml:space="preserve">feasible to develop an RPS workforce model given a lack of clinician agreement on guidelines, standards, and roles and responsibilities of RPSs. </w:t>
      </w:r>
      <w:r>
        <w:t>ACPSEM</w:t>
      </w:r>
      <w:r w:rsidR="00B82971" w:rsidRPr="00D875EF">
        <w:t xml:space="preserve"> is continuing its work on developing </w:t>
      </w:r>
      <w:r w:rsidR="00B82971">
        <w:t xml:space="preserve">a </w:t>
      </w:r>
      <w:r w:rsidR="00B82971" w:rsidRPr="00D875EF">
        <w:t>Scope of Practic</w:t>
      </w:r>
      <w:r w:rsidR="00B82971">
        <w:t>e</w:t>
      </w:r>
      <w:r w:rsidR="00B82971" w:rsidRPr="00D875EF">
        <w:t xml:space="preserve"> for RPSs.</w:t>
      </w:r>
      <w:r w:rsidR="001D1A3C">
        <w:rPr>
          <w:rFonts w:ascii="ZWAdobeF" w:hAnsi="ZWAdobeF" w:cs="ZWAdobeF"/>
          <w:sz w:val="2"/>
          <w:szCs w:val="2"/>
        </w:rPr>
        <w:t>19F</w:t>
      </w:r>
      <w:r w:rsidR="005F7EBC">
        <w:rPr>
          <w:rFonts w:ascii="ZWAdobeF" w:hAnsi="ZWAdobeF" w:cs="ZWAdobeF"/>
          <w:sz w:val="2"/>
          <w:szCs w:val="2"/>
        </w:rPr>
        <w:t>23F</w:t>
      </w:r>
      <w:r w:rsidR="00B82971" w:rsidRPr="00D875EF">
        <w:rPr>
          <w:vertAlign w:val="superscript"/>
        </w:rPr>
        <w:footnoteReference w:id="25"/>
      </w:r>
    </w:p>
    <w:p w14:paraId="7272759D" w14:textId="594BFD37" w:rsidR="009B2B9A" w:rsidRPr="00504BA0" w:rsidRDefault="009B2B9A" w:rsidP="00DC27F5">
      <w:pPr>
        <w:pStyle w:val="Heading4"/>
      </w:pPr>
      <w:r w:rsidRPr="00504BA0">
        <w:t>Regional Innovations Funding Pool</w:t>
      </w:r>
    </w:p>
    <w:p w14:paraId="7A066CA9" w14:textId="70342C30" w:rsidR="009B2B9A" w:rsidRPr="009B2B9A" w:rsidRDefault="00FD6E1D" w:rsidP="009B2B9A">
      <w:pPr>
        <w:pStyle w:val="BodyText"/>
      </w:pPr>
      <w:r>
        <w:t xml:space="preserve">ACPSEM </w:t>
      </w:r>
      <w:r w:rsidR="009B2B9A" w:rsidRPr="009B2B9A">
        <w:t>create</w:t>
      </w:r>
      <w:r>
        <w:t>d the</w:t>
      </w:r>
      <w:r w:rsidR="009B2B9A" w:rsidRPr="009B2B9A">
        <w:t xml:space="preserve"> </w:t>
      </w:r>
      <w:r>
        <w:t xml:space="preserve">RIFP </w:t>
      </w:r>
      <w:r w:rsidR="009B2B9A" w:rsidRPr="009B2B9A">
        <w:t xml:space="preserve">to research, assess and monitor the most appropriate way to allocate grants. The RIFP began in 2023 as an incentive to support regional training. Through this activity, </w:t>
      </w:r>
      <w:r w:rsidR="00A85DA3">
        <w:t>ACPSEM</w:t>
      </w:r>
      <w:r w:rsidR="009B2B9A" w:rsidRPr="009B2B9A">
        <w:t xml:space="preserve"> offers up to $200</w:t>
      </w:r>
      <w:r w:rsidR="00D34765">
        <w:t>,000</w:t>
      </w:r>
      <w:r w:rsidR="009B2B9A" w:rsidRPr="009B2B9A">
        <w:t xml:space="preserve"> in grants to fund initiatives which support recruitment and retention of regional workforce and increase </w:t>
      </w:r>
      <w:r w:rsidR="00C07D0A">
        <w:t>R</w:t>
      </w:r>
      <w:r w:rsidR="009B2B9A" w:rsidRPr="009B2B9A">
        <w:t>egistrar numbers in regional areas. Two grants have been awarded through the RIFP in 2023:</w:t>
      </w:r>
    </w:p>
    <w:p w14:paraId="638381F5" w14:textId="53F96D99" w:rsidR="009B2B9A" w:rsidRPr="009B2B9A" w:rsidRDefault="009B2B9A" w:rsidP="00584EC6">
      <w:pPr>
        <w:pStyle w:val="BodyText"/>
        <w:numPr>
          <w:ilvl w:val="0"/>
          <w:numId w:val="39"/>
        </w:numPr>
      </w:pPr>
      <w:proofErr w:type="spellStart"/>
      <w:r w:rsidRPr="009B2B9A">
        <w:t>PeterMac</w:t>
      </w:r>
      <w:proofErr w:type="spellEnd"/>
      <w:r w:rsidRPr="009B2B9A">
        <w:t xml:space="preserve"> received $100,000 for ROMP training, allowing the provision of regional trainees and </w:t>
      </w:r>
      <w:r w:rsidR="00E03A1D">
        <w:t>S</w:t>
      </w:r>
      <w:r w:rsidRPr="009B2B9A">
        <w:t xml:space="preserve">upervisors to rotate to the site and increase access and training exposure in a metropolitan oncology centre of excellence.  </w:t>
      </w:r>
    </w:p>
    <w:p w14:paraId="19B5DC36" w14:textId="7D723B2D" w:rsidR="000C4550" w:rsidRDefault="009B2B9A" w:rsidP="00584EC6">
      <w:pPr>
        <w:pStyle w:val="BodyText"/>
        <w:numPr>
          <w:ilvl w:val="0"/>
          <w:numId w:val="39"/>
        </w:numPr>
      </w:pPr>
      <w:bookmarkStart w:id="83" w:name="_Ref181963240"/>
      <w:r w:rsidRPr="009B2B9A">
        <w:t xml:space="preserve">SAHMRI and Peter Mac received a grant to provide equipment to train RPS and access education not commonly available in all departments through a rotation model of training. </w:t>
      </w:r>
    </w:p>
    <w:p w14:paraId="6CCB9824" w14:textId="6FFAE3A7" w:rsidR="00536FC5" w:rsidRPr="00AE349D" w:rsidRDefault="00994C2B" w:rsidP="00AE349D">
      <w:pPr>
        <w:pStyle w:val="Heading3"/>
      </w:pPr>
      <w:bookmarkStart w:id="84" w:name="_Toc216711582"/>
      <w:bookmarkStart w:id="85" w:name="_Ref182486085"/>
      <w:r w:rsidRPr="00AE349D">
        <w:t>Stakeholder engagement</w:t>
      </w:r>
      <w:bookmarkEnd w:id="84"/>
    </w:p>
    <w:p w14:paraId="4BC6DBD3" w14:textId="1FA6D094" w:rsidR="00FC50D4" w:rsidRDefault="00536FC5" w:rsidP="00536FC5">
      <w:pPr>
        <w:pStyle w:val="BodyText"/>
      </w:pPr>
      <w:r>
        <w:t xml:space="preserve">There is some evidence of the involvement of experienced medical physicists and Registrars in the implementation of the TEAP. </w:t>
      </w:r>
      <w:r w:rsidR="00B546A1">
        <w:t xml:space="preserve">Several </w:t>
      </w:r>
      <w:r w:rsidR="004A7954">
        <w:t>experienced medical physicists</w:t>
      </w:r>
      <w:r w:rsidR="00B546A1">
        <w:t xml:space="preserve"> who were consulted as part of this evaluation had roles with ACPSEM and were involved in the implementation of TEAP. </w:t>
      </w:r>
      <w:r w:rsidR="00021B6C">
        <w:t xml:space="preserve">Examples include </w:t>
      </w:r>
      <w:r w:rsidR="00B23508">
        <w:t>an experienced DIMP in WA</w:t>
      </w:r>
      <w:r w:rsidR="00CE6029">
        <w:t xml:space="preserve"> who sat on a working group with the ACPESM to revise the curriculum and currently sits </w:t>
      </w:r>
      <w:r w:rsidR="008C5B8F">
        <w:t>on a Diagnostic Imaging Certification Panel to assess the progress of individual Registrars</w:t>
      </w:r>
      <w:r w:rsidR="00402A84">
        <w:t xml:space="preserve"> and</w:t>
      </w:r>
      <w:r w:rsidR="00FB0478">
        <w:t xml:space="preserve"> advise on unique Registrar circumstances. Other stakeholders held volunteer roles with </w:t>
      </w:r>
      <w:proofErr w:type="gramStart"/>
      <w:r w:rsidR="00FB0478">
        <w:t>ACPSEM</w:t>
      </w:r>
      <w:proofErr w:type="gramEnd"/>
      <w:r w:rsidR="0044588F">
        <w:t xml:space="preserve"> and some were involved in curriculum development.</w:t>
      </w:r>
      <w:r w:rsidR="009E437B">
        <w:t xml:space="preserve"> Additionally, one Registrar raised that they sit on a panel with ACPSEM</w:t>
      </w:r>
      <w:r w:rsidR="00A50794">
        <w:t xml:space="preserve"> to discuss ongoing improvements to the </w:t>
      </w:r>
      <w:r w:rsidR="00312A78">
        <w:t>clinical training guide</w:t>
      </w:r>
      <w:r w:rsidR="00A50794">
        <w:t xml:space="preserve">. </w:t>
      </w:r>
    </w:p>
    <w:p w14:paraId="470D96C5" w14:textId="78B0E934" w:rsidR="00994C2B" w:rsidRDefault="00F05E48" w:rsidP="00FC50D4">
      <w:pPr>
        <w:pStyle w:val="BodyText"/>
      </w:pPr>
      <w:r>
        <w:t xml:space="preserve">Aside from stakeholders who held roles with </w:t>
      </w:r>
      <w:r w:rsidR="00A85DA3">
        <w:t>ACPSEM</w:t>
      </w:r>
      <w:r w:rsidR="00DE0BCC">
        <w:t xml:space="preserve">, </w:t>
      </w:r>
      <w:r w:rsidR="00DF6969">
        <w:t xml:space="preserve">reports from </w:t>
      </w:r>
      <w:r w:rsidR="001A2E65">
        <w:t xml:space="preserve">some </w:t>
      </w:r>
      <w:r w:rsidR="004A7087">
        <w:t xml:space="preserve">stakeholders </w:t>
      </w:r>
      <w:r w:rsidR="00DF6969">
        <w:t xml:space="preserve">indicate that there is potential for improved stakeholder </w:t>
      </w:r>
      <w:r w:rsidR="0020070E">
        <w:t xml:space="preserve">engagement in TEAP implementation </w:t>
      </w:r>
      <w:r w:rsidR="00DF6969">
        <w:t>more generally</w:t>
      </w:r>
      <w:r w:rsidR="0020070E">
        <w:t xml:space="preserve">. </w:t>
      </w:r>
      <w:r w:rsidR="008F7E64">
        <w:t xml:space="preserve">In consultation, at least three experienced medical physicists </w:t>
      </w:r>
      <w:r w:rsidR="00FE0D6B">
        <w:t xml:space="preserve">raised that they </w:t>
      </w:r>
      <w:r w:rsidR="001E370B">
        <w:t xml:space="preserve">were </w:t>
      </w:r>
      <w:r w:rsidR="00FE0D6B">
        <w:t>not aware of any formal feedback mechanisms for ACPSEM on the administration of TEAP</w:t>
      </w:r>
      <w:r w:rsidR="001E6FF7">
        <w:t xml:space="preserve">, and one </w:t>
      </w:r>
      <w:r w:rsidR="00C03F7C">
        <w:t xml:space="preserve">stakeholder flagged that they </w:t>
      </w:r>
      <w:r w:rsidR="00FE0D6B">
        <w:t xml:space="preserve">would like to see annual </w:t>
      </w:r>
      <w:r w:rsidR="00A20FD0">
        <w:t xml:space="preserve">feedback </w:t>
      </w:r>
      <w:r w:rsidR="00FE0D6B">
        <w:t>surveys from ACPSEM.</w:t>
      </w:r>
      <w:r w:rsidR="00366377">
        <w:t xml:space="preserve"> </w:t>
      </w:r>
      <w:r w:rsidR="005C0DA1">
        <w:t>Further, a</w:t>
      </w:r>
      <w:r w:rsidR="00366377">
        <w:t xml:space="preserve">s </w:t>
      </w:r>
      <w:r w:rsidR="00F43B90">
        <w:t xml:space="preserve">discussed in Section </w:t>
      </w:r>
      <w:r w:rsidR="00F43B90">
        <w:fldChar w:fldCharType="begin" w:fldLock="1"/>
      </w:r>
      <w:r w:rsidR="00F43B90">
        <w:instrText xml:space="preserve"> REF _Ref182582028 \r \h </w:instrText>
      </w:r>
      <w:r w:rsidR="00F43B90">
        <w:fldChar w:fldCharType="separate"/>
      </w:r>
      <w:r w:rsidR="00866C63">
        <w:t>3.1.1</w:t>
      </w:r>
      <w:r w:rsidR="00F43B90">
        <w:fldChar w:fldCharType="end"/>
      </w:r>
      <w:r w:rsidR="002B7A8E">
        <w:t xml:space="preserve">, </w:t>
      </w:r>
      <w:r w:rsidR="00C51BB7">
        <w:t xml:space="preserve">there were reports by some </w:t>
      </w:r>
      <w:r w:rsidR="00F56271">
        <w:t xml:space="preserve">stakeholders </w:t>
      </w:r>
      <w:r w:rsidR="00F87F6A">
        <w:t xml:space="preserve">in consultation and surveys </w:t>
      </w:r>
      <w:r w:rsidR="00C51BB7">
        <w:t>that the implementation of the new curriculum was poorly managed and lack</w:t>
      </w:r>
      <w:r w:rsidR="00C97B30">
        <w:t>ed</w:t>
      </w:r>
      <w:r w:rsidR="00C51BB7">
        <w:t xml:space="preserve"> consultation with </w:t>
      </w:r>
      <w:r w:rsidR="00F56271">
        <w:t>Supervisors and Registrars.</w:t>
      </w:r>
    </w:p>
    <w:p w14:paraId="42F55431" w14:textId="2A0FBEC7" w:rsidR="00087F2A" w:rsidRPr="00994C2B" w:rsidRDefault="00F9454E" w:rsidP="00194457">
      <w:pPr>
        <w:pStyle w:val="BodyText"/>
      </w:pPr>
      <w:r>
        <w:t>More broadly, stakeholder engagement has been highlighted as a challenge for ACPSEM</w:t>
      </w:r>
      <w:r w:rsidR="00975E99">
        <w:t xml:space="preserve">, evidenced by </w:t>
      </w:r>
      <w:r w:rsidR="00DE6D33">
        <w:t xml:space="preserve">stakeholder discussions at </w:t>
      </w:r>
      <w:r w:rsidR="0030511E">
        <w:t>ACPSEM’s Horizon Planning Day</w:t>
      </w:r>
      <w:r w:rsidR="00975E99">
        <w:t>. The Planning Day</w:t>
      </w:r>
      <w:r w:rsidR="00AF716E">
        <w:t xml:space="preserve"> sought to</w:t>
      </w:r>
      <w:r w:rsidR="004D4D87">
        <w:t xml:space="preserve"> </w:t>
      </w:r>
      <w:r w:rsidR="003B3E57">
        <w:t xml:space="preserve">understand the </w:t>
      </w:r>
      <w:r w:rsidR="00AF716E">
        <w:t xml:space="preserve">present key challenges, emerging trends, and future needs </w:t>
      </w:r>
      <w:r w:rsidR="003B3E57">
        <w:t xml:space="preserve">of </w:t>
      </w:r>
      <w:r w:rsidR="007B5A1C">
        <w:t xml:space="preserve">the medical physics profession in Australia and New </w:t>
      </w:r>
      <w:r w:rsidR="003B1AF7">
        <w:t>Z</w:t>
      </w:r>
      <w:r w:rsidR="007B5A1C">
        <w:t>ealand.</w:t>
      </w:r>
      <w:r w:rsidR="005F7EBC">
        <w:rPr>
          <w:rFonts w:ascii="ZWAdobeF" w:hAnsi="ZWAdobeF" w:cs="ZWAdobeF"/>
          <w:sz w:val="2"/>
          <w:szCs w:val="2"/>
        </w:rPr>
        <w:t>24F</w:t>
      </w:r>
      <w:r w:rsidR="009C3682">
        <w:rPr>
          <w:rStyle w:val="FootnoteReference"/>
        </w:rPr>
        <w:footnoteReference w:id="26"/>
      </w:r>
      <w:r w:rsidR="007B5A1C">
        <w:t xml:space="preserve"> </w:t>
      </w:r>
      <w:r w:rsidR="00E415C2">
        <w:t xml:space="preserve">All ACPSEM members were invited to </w:t>
      </w:r>
      <w:proofErr w:type="gramStart"/>
      <w:r w:rsidR="00E415C2">
        <w:t>participate</w:t>
      </w:r>
      <w:proofErr w:type="gramEnd"/>
      <w:r w:rsidR="00E415C2">
        <w:t xml:space="preserve"> and a broad range of </w:t>
      </w:r>
      <w:r w:rsidR="00D764D4">
        <w:t>participants were selected.</w:t>
      </w:r>
      <w:r w:rsidR="00941957">
        <w:t xml:space="preserve"> In this session, p</w:t>
      </w:r>
      <w:r w:rsidR="004D3A77">
        <w:t xml:space="preserve">articipants identified limited stakeholder engagement </w:t>
      </w:r>
      <w:r w:rsidR="00873FF8">
        <w:t xml:space="preserve">and limited </w:t>
      </w:r>
      <w:r w:rsidR="002C62D5">
        <w:t>ACPSEM</w:t>
      </w:r>
      <w:r w:rsidR="00873FF8">
        <w:t xml:space="preserve"> communication as two of three key challenges.</w:t>
      </w:r>
      <w:r w:rsidR="00520760">
        <w:t xml:space="preserve"> The planning day pointed to the need for ACPSEM to carefully resource communication and stakeholder </w:t>
      </w:r>
      <w:r w:rsidR="00F81B3E">
        <w:t>engagement</w:t>
      </w:r>
      <w:r w:rsidR="008C62BC">
        <w:t xml:space="preserve">, with a recommendation for </w:t>
      </w:r>
      <w:r w:rsidR="002C62D5">
        <w:t>ACPSEM</w:t>
      </w:r>
      <w:r w:rsidR="008C62BC">
        <w:t xml:space="preserve"> to resource a detailed stakeholder engagement strategy.</w:t>
      </w:r>
      <w:r w:rsidR="00004EE4">
        <w:t xml:space="preserve"> ACPSEM is seeking to improve stakeholder engagement,</w:t>
      </w:r>
      <w:r w:rsidR="00537433">
        <w:t xml:space="preserve"> with</w:t>
      </w:r>
      <w:r w:rsidR="00C840D2">
        <w:t xml:space="preserve"> </w:t>
      </w:r>
      <w:r w:rsidR="006E3A63">
        <w:t xml:space="preserve">ACPSEM establishing </w:t>
      </w:r>
      <w:r w:rsidR="00C840D2">
        <w:t>governance and specialty committees and working groups to establish goals from the issues identified</w:t>
      </w:r>
      <w:r w:rsidR="006E24FB">
        <w:t xml:space="preserve"> at the Planning Day</w:t>
      </w:r>
      <w:r w:rsidR="00C840D2">
        <w:t>.</w:t>
      </w:r>
    </w:p>
    <w:p w14:paraId="622E66D6" w14:textId="3A0DA53A" w:rsidR="00527EED" w:rsidRPr="00AE349D" w:rsidRDefault="00EF5543" w:rsidP="00AE349D">
      <w:pPr>
        <w:pStyle w:val="Heading3"/>
      </w:pPr>
      <w:bookmarkStart w:id="86" w:name="_Ref184131177"/>
      <w:bookmarkStart w:id="87" w:name="_Toc216711583"/>
      <w:r w:rsidRPr="00AE349D">
        <w:t>Enablers</w:t>
      </w:r>
      <w:bookmarkEnd w:id="83"/>
      <w:bookmarkEnd w:id="85"/>
      <w:bookmarkEnd w:id="86"/>
      <w:bookmarkEnd w:id="87"/>
    </w:p>
    <w:p w14:paraId="26B83E68" w14:textId="77777777" w:rsidR="00B21893" w:rsidRPr="00DC27F5" w:rsidRDefault="00B21893" w:rsidP="00DC27F5">
      <w:pPr>
        <w:pStyle w:val="Heading4"/>
        <w:rPr>
          <w:b w:val="0"/>
        </w:rPr>
      </w:pPr>
      <w:r w:rsidRPr="00DC27F5">
        <w:t xml:space="preserve">TEAP grants to facilities </w:t>
      </w:r>
    </w:p>
    <w:p w14:paraId="053EE7FD" w14:textId="77E3742F" w:rsidR="00B21893" w:rsidRDefault="00B21893" w:rsidP="00B21893">
      <w:pPr>
        <w:spacing w:before="0" w:after="160" w:line="259" w:lineRule="auto"/>
      </w:pPr>
      <w:r>
        <w:t xml:space="preserve">Supervisors and facility staff frequently cited the grants to facilities as a critical enabler to taking on a TEAP Registrar, with several of these stakeholders commenting that they would not have considered employing a TEAP Registrar if it were not for the grant. </w:t>
      </w:r>
      <w:r w:rsidR="000142A5">
        <w:t>However, f</w:t>
      </w:r>
      <w:r w:rsidR="009624A8">
        <w:t>acility</w:t>
      </w:r>
      <w:r>
        <w:t xml:space="preserve"> staff highlighted that training a Registrar is a costly exercise and is especially challenging when it is not guaranteed that the Registrar will be employed by the facility following graduation from TEAP. </w:t>
      </w:r>
    </w:p>
    <w:p w14:paraId="6CF7D0B6" w14:textId="2E8D7F81" w:rsidR="00CD298D" w:rsidRDefault="00CD298D" w:rsidP="00DC27F5">
      <w:pPr>
        <w:pStyle w:val="Heading4"/>
        <w:rPr>
          <w:bCs/>
        </w:rPr>
      </w:pPr>
      <w:r w:rsidRPr="00504BA0">
        <w:t>Supervisors</w:t>
      </w:r>
    </w:p>
    <w:p w14:paraId="7EAB3909" w14:textId="567DC289" w:rsidR="00CD298D" w:rsidRDefault="007D1973" w:rsidP="00CD298D">
      <w:pPr>
        <w:pStyle w:val="BodyText"/>
      </w:pPr>
      <w:r>
        <w:t xml:space="preserve">As well as delivering training, </w:t>
      </w:r>
      <w:r w:rsidR="006D176B">
        <w:t xml:space="preserve">Supervisors play a critical role in </w:t>
      </w:r>
      <w:r>
        <w:t xml:space="preserve">providing support to Registrars and facilitating </w:t>
      </w:r>
      <w:r w:rsidR="002B2478">
        <w:t>access to equipment and contacts to enable the Registrar to complete all training requirements.</w:t>
      </w:r>
      <w:r>
        <w:t xml:space="preserve"> </w:t>
      </w:r>
      <w:r w:rsidR="00CD298D">
        <w:t>Surveyed Registrars consistently highlighted Supervisors as a highly beneficial and fundamental element of TEAP implementation</w:t>
      </w:r>
      <w:r w:rsidR="001C1C58">
        <w:t>, and the majority (</w:t>
      </w:r>
      <w:r w:rsidR="00DB58CA">
        <w:t>68</w:t>
      </w:r>
      <w:r w:rsidR="001C1C58">
        <w:t>%</w:t>
      </w:r>
      <w:r w:rsidR="00546FCD">
        <w:t>, 41 respondents</w:t>
      </w:r>
      <w:r w:rsidR="001C1C58">
        <w:t xml:space="preserve">) of surveyed Registrars agree that their </w:t>
      </w:r>
      <w:proofErr w:type="gramStart"/>
      <w:r w:rsidR="009704AA">
        <w:t>S</w:t>
      </w:r>
      <w:r w:rsidR="001C1C58">
        <w:t>upervisor</w:t>
      </w:r>
      <w:proofErr w:type="gramEnd"/>
      <w:r w:rsidR="001C1C58">
        <w:t xml:space="preserve"> is making or made strong contributions to their training and professional development</w:t>
      </w:r>
      <w:r w:rsidR="00DB58CA">
        <w:t xml:space="preserve"> (n=60)</w:t>
      </w:r>
      <w:r w:rsidR="001C1C58">
        <w:t>.</w:t>
      </w:r>
    </w:p>
    <w:p w14:paraId="6BEB3E9A" w14:textId="6ACA33E9" w:rsidR="008D5769" w:rsidRDefault="008D5769" w:rsidP="008D5769">
      <w:pPr>
        <w:pStyle w:val="BodyText"/>
      </w:pPr>
      <w:r>
        <w:t xml:space="preserve">Stakeholders considered the development of constructive working relationships between Registrars and Supervisors as pivotal to a positive and successful TEAP experience. The relationship between the Supervisor and Registrars is described by stakeholders as a close, multi-year relationship, with personality matching highlighted as an important element of a constructive relationship. While there were many instances of positive working Supervisor-Registrar relationships, some interviewed Registrars raised instances where other Registrars had left TEAP due to issues with their </w:t>
      </w:r>
      <w:proofErr w:type="gramStart"/>
      <w:r>
        <w:t>Supervisor</w:t>
      </w:r>
      <w:proofErr w:type="gramEnd"/>
      <w:r>
        <w:t xml:space="preserve"> which were unable to be resolved.</w:t>
      </w:r>
    </w:p>
    <w:p w14:paraId="776C0B15" w14:textId="77777777" w:rsidR="00434266" w:rsidRDefault="00434266" w:rsidP="00434266">
      <w:pPr>
        <w:pStyle w:val="BodyText"/>
      </w:pPr>
    </w:p>
    <w:p w14:paraId="1233F470" w14:textId="70936513" w:rsidR="00434266" w:rsidRPr="0010741A" w:rsidRDefault="00434266" w:rsidP="0010741A">
      <w:pPr>
        <w:pStyle w:val="BodyText"/>
        <w:shd w:val="clear" w:color="auto" w:fill="CAF1FF" w:themeFill="accent4" w:themeFillTint="33"/>
        <w:rPr>
          <w:i/>
          <w:iCs/>
        </w:rPr>
      </w:pPr>
      <w:r w:rsidRPr="0010741A">
        <w:rPr>
          <w:i/>
          <w:iCs/>
          <w:noProof/>
        </w:rPr>
        <w:drawing>
          <wp:anchor distT="0" distB="0" distL="114300" distR="114300" simplePos="0" relativeHeight="251671552" behindDoc="0" locked="0" layoutInCell="1" allowOverlap="1" wp14:anchorId="07565A7A" wp14:editId="16D9ABDA">
            <wp:simplePos x="0" y="0"/>
            <wp:positionH relativeFrom="column">
              <wp:posOffset>3810</wp:posOffset>
            </wp:positionH>
            <wp:positionV relativeFrom="paragraph">
              <wp:posOffset>-4445</wp:posOffset>
            </wp:positionV>
            <wp:extent cx="438785" cy="446405"/>
            <wp:effectExtent l="0" t="0" r="0" b="0"/>
            <wp:wrapSquare wrapText="bothSides"/>
            <wp:docPr id="734027507" name="Graphic 734027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438785" cy="446405"/>
                    </a:xfrm>
                    <a:prstGeom prst="rect">
                      <a:avLst/>
                    </a:prstGeom>
                  </pic:spPr>
                </pic:pic>
              </a:graphicData>
            </a:graphic>
          </wp:anchor>
        </w:drawing>
      </w:r>
      <w:r w:rsidRPr="0010741A">
        <w:rPr>
          <w:i/>
          <w:iCs/>
        </w:rPr>
        <w:t xml:space="preserve">“My supervisor is extremely supportive and has adequate time to guide me through the program at an achievable rate. This is not a universal </w:t>
      </w:r>
      <w:proofErr w:type="gramStart"/>
      <w:r w:rsidRPr="0010741A">
        <w:rPr>
          <w:i/>
          <w:iCs/>
        </w:rPr>
        <w:t>experience</w:t>
      </w:r>
      <w:proofErr w:type="gramEnd"/>
      <w:r w:rsidRPr="0010741A">
        <w:rPr>
          <w:i/>
          <w:iCs/>
        </w:rPr>
        <w:t xml:space="preserve"> however. </w:t>
      </w:r>
    </w:p>
    <w:p w14:paraId="6E352196" w14:textId="77777777" w:rsidR="00434266" w:rsidRPr="001B2509" w:rsidRDefault="00434266" w:rsidP="0010741A">
      <w:pPr>
        <w:pStyle w:val="Quotestyle"/>
        <w:ind w:left="0"/>
        <w:rPr>
          <w:rStyle w:val="Strong"/>
        </w:rPr>
      </w:pPr>
      <w:r w:rsidRPr="001B2509">
        <w:rPr>
          <w:rStyle w:val="Strong"/>
        </w:rPr>
        <w:t>Surveyed Supervisor</w:t>
      </w:r>
    </w:p>
    <w:p w14:paraId="4B49879A" w14:textId="77777777" w:rsidR="001F01EF" w:rsidRPr="008D5769" w:rsidRDefault="001F01EF" w:rsidP="008D5769">
      <w:pPr>
        <w:pStyle w:val="BodyText"/>
        <w:rPr>
          <w:i/>
          <w:iCs/>
        </w:rPr>
      </w:pPr>
    </w:p>
    <w:p w14:paraId="01CB828C" w14:textId="77777777" w:rsidR="00491EC8" w:rsidRDefault="00491EC8" w:rsidP="00491EC8">
      <w:pPr>
        <w:pStyle w:val="Heading4"/>
        <w:rPr>
          <w:b w:val="0"/>
        </w:rPr>
      </w:pPr>
      <w:r w:rsidRPr="00504BA0">
        <w:t>Dedicated support roles</w:t>
      </w:r>
    </w:p>
    <w:p w14:paraId="775BF0CD" w14:textId="51739C74" w:rsidR="00491EC8" w:rsidRDefault="002C62D5" w:rsidP="00491EC8">
      <w:pPr>
        <w:pStyle w:val="BodyText"/>
      </w:pPr>
      <w:r>
        <w:t>ACPSEM</w:t>
      </w:r>
      <w:r w:rsidR="00491EC8">
        <w:t xml:space="preserve"> funds </w:t>
      </w:r>
      <w:r w:rsidR="00491EC8" w:rsidRPr="00C65EB2">
        <w:t xml:space="preserve">1.6 </w:t>
      </w:r>
      <w:r w:rsidR="00491EC8">
        <w:t>Full-</w:t>
      </w:r>
      <w:r w:rsidR="00105326">
        <w:t>T</w:t>
      </w:r>
      <w:r w:rsidR="00491EC8">
        <w:t xml:space="preserve">ime </w:t>
      </w:r>
      <w:r w:rsidR="00105326">
        <w:t>E</w:t>
      </w:r>
      <w:r w:rsidR="00491EC8">
        <w:t>quivalent (</w:t>
      </w:r>
      <w:r w:rsidR="00491EC8" w:rsidRPr="00C65EB2">
        <w:t>FTE</w:t>
      </w:r>
      <w:r w:rsidR="00491EC8">
        <w:t>)</w:t>
      </w:r>
      <w:r w:rsidR="00491EC8" w:rsidRPr="00C65EB2">
        <w:t xml:space="preserve"> TEAP Coordinators, including 0.3 FTE DIMP, 1.1 FTE ROMP, and 0.2 FTE RPS</w:t>
      </w:r>
      <w:r w:rsidR="00491EC8">
        <w:t xml:space="preserve">. These paid roles are integral to the administration and operationalisation of TEAP. In addition to these </w:t>
      </w:r>
      <w:r>
        <w:t>ACPSEM</w:t>
      </w:r>
      <w:r w:rsidR="00491EC8">
        <w:t xml:space="preserve">-funded Coordinator roles, several facilities and jurisdictions allocate funds towards maintaining a dedicated support role to benefit TEAP Registrars and </w:t>
      </w:r>
      <w:r w:rsidR="00491EC8" w:rsidRPr="00976A77">
        <w:t>Supervisors</w:t>
      </w:r>
      <w:r w:rsidR="00491EC8">
        <w:t xml:space="preserve"> in their facilities or regions. For example, the NSW Department of Health provides funding to enable 0.4 FTE of education support for NSW DIMP TEAP </w:t>
      </w:r>
      <w:r w:rsidR="00235E63">
        <w:t>R</w:t>
      </w:r>
      <w:r w:rsidR="00491EC8">
        <w:t xml:space="preserve">egistrars, delivered via HETI. These support roles are not funded by the Commonwealth and are commonly established by facilities or jurisdictions to address an identified gap in program support (see </w:t>
      </w:r>
      <w:r w:rsidR="00491EC8" w:rsidRPr="00976A77">
        <w:t>Section</w:t>
      </w:r>
      <w:r w:rsidR="00E15A24">
        <w:t xml:space="preserve"> </w:t>
      </w:r>
      <w:r w:rsidR="00E15A24">
        <w:fldChar w:fldCharType="begin" w:fldLock="1"/>
      </w:r>
      <w:r w:rsidR="00E15A24">
        <w:instrText xml:space="preserve"> REF _Ref181946599 \r \h </w:instrText>
      </w:r>
      <w:r w:rsidR="00E15A24">
        <w:fldChar w:fldCharType="separate"/>
      </w:r>
      <w:r w:rsidR="00E15A24">
        <w:rPr>
          <w:cs/>
        </w:rPr>
        <w:t>‎</w:t>
      </w:r>
      <w:r w:rsidR="00E15A24">
        <w:t>3.1.6</w:t>
      </w:r>
      <w:r w:rsidR="00E15A24">
        <w:fldChar w:fldCharType="end"/>
      </w:r>
      <w:r w:rsidR="00491EC8">
        <w:t>). The prevalence of these roles and FTE therefore varies across facilities, jurisdictions, and disciplines.</w:t>
      </w:r>
    </w:p>
    <w:p w14:paraId="1D31CE4E" w14:textId="77777777" w:rsidR="00491EC8" w:rsidRDefault="00491EC8" w:rsidP="00491EC8">
      <w:pPr>
        <w:pStyle w:val="BodyText"/>
      </w:pPr>
      <w:r>
        <w:t xml:space="preserve">The TEAP Coordinator role was highlighted as a key program enabler, with stakeholders speaking highly of the guidance and coordination offered. Stakeholders appreciated the </w:t>
      </w:r>
      <w:proofErr w:type="gramStart"/>
      <w:r>
        <w:t>Coordinators’</w:t>
      </w:r>
      <w:proofErr w:type="gramEnd"/>
      <w:r>
        <w:t xml:space="preserve"> responsiveness to </w:t>
      </w:r>
      <w:r w:rsidRPr="00976A77">
        <w:t>Supervisor</w:t>
      </w:r>
      <w:r>
        <w:t xml:space="preserve"> and </w:t>
      </w:r>
      <w:r w:rsidRPr="00976A77">
        <w:t>Registrar</w:t>
      </w:r>
      <w:r>
        <w:t xml:space="preserve"> questions as well as the delivery of additional training sessions. </w:t>
      </w:r>
    </w:p>
    <w:p w14:paraId="1AC44B0C" w14:textId="43ED0A5E" w:rsidR="00491EC8" w:rsidRDefault="00491EC8" w:rsidP="00491EC8">
      <w:pPr>
        <w:pStyle w:val="BodyText"/>
      </w:pPr>
      <w:r>
        <w:t xml:space="preserve">Additionally, stakeholders in facilities or jurisdictions with a preceptor role cited the role’s importance for ensuring Registrars have access to the right equipment, </w:t>
      </w:r>
      <w:r w:rsidRPr="00976A77">
        <w:t>Registrar</w:t>
      </w:r>
      <w:r>
        <w:t xml:space="preserve"> progress is monitored, and training initiatives are delivered. Preceptor roles are reliant on each jurisdiction’s funding, and the number of Preceptors does not necessarily align with the number of Registrars. According to </w:t>
      </w:r>
      <w:r w:rsidR="002C62D5">
        <w:t>ACPSEM</w:t>
      </w:r>
      <w:r>
        <w:t xml:space="preserve">, there are currently 1 FTE DIMP Preceptor in Queensland, and across the ROMP </w:t>
      </w:r>
      <w:r w:rsidR="00E24831">
        <w:t>S</w:t>
      </w:r>
      <w:r>
        <w:t xml:space="preserve">tream there are 1 FTE Preceptor in NSW, 4 FTE in Victoria and 6 FTE in Queensland. There are no RPS Preceptors. </w:t>
      </w:r>
      <w:r w:rsidR="002C62D5">
        <w:t>ACPSEM</w:t>
      </w:r>
      <w:r>
        <w:t xml:space="preserve"> has advised that they have no control over Preceptor employment although they advocate for state funding of these important roles.</w:t>
      </w:r>
    </w:p>
    <w:p w14:paraId="777FD47D" w14:textId="05436CE4" w:rsidR="00491EC8" w:rsidRDefault="00491EC8" w:rsidP="00491EC8">
      <w:pPr>
        <w:pStyle w:val="BodyText"/>
      </w:pPr>
      <w:r>
        <w:t xml:space="preserve">Some jurisdictions also fund an educator role to offer guidance to </w:t>
      </w:r>
      <w:r w:rsidRPr="00976A77">
        <w:t>Supervisors</w:t>
      </w:r>
      <w:r>
        <w:t xml:space="preserve"> on best practice in educational tools and techniques. This role was well-received by </w:t>
      </w:r>
      <w:r w:rsidRPr="00976A77">
        <w:t>Supervisors</w:t>
      </w:r>
      <w:r>
        <w:t xml:space="preserve"> and perceived as particularly valuable given many </w:t>
      </w:r>
      <w:r w:rsidRPr="00976A77">
        <w:t>Supervisors</w:t>
      </w:r>
      <w:r>
        <w:t xml:space="preserve"> do not have an education background (see </w:t>
      </w:r>
      <w:r w:rsidR="00E93259" w:rsidRPr="00976A77">
        <w:t>Section</w:t>
      </w:r>
      <w:r w:rsidR="00E93259">
        <w:t xml:space="preserve"> </w:t>
      </w:r>
      <w:r w:rsidR="00E93259">
        <w:fldChar w:fldCharType="begin" w:fldLock="1"/>
      </w:r>
      <w:r w:rsidR="00E93259">
        <w:instrText xml:space="preserve"> REF _Ref181946599 \r \h </w:instrText>
      </w:r>
      <w:r w:rsidR="00E93259">
        <w:fldChar w:fldCharType="separate"/>
      </w:r>
      <w:r w:rsidR="00E93259">
        <w:rPr>
          <w:cs/>
        </w:rPr>
        <w:t>‎</w:t>
      </w:r>
      <w:r w:rsidR="00E93259">
        <w:t>3.1.6</w:t>
      </w:r>
      <w:r w:rsidR="00E93259">
        <w:fldChar w:fldCharType="end"/>
      </w:r>
      <w:r>
        <w:t>).</w:t>
      </w:r>
    </w:p>
    <w:p w14:paraId="7E07A409" w14:textId="3C5330FB" w:rsidR="00491EC8" w:rsidRPr="00585C0A" w:rsidRDefault="00491EC8" w:rsidP="00491EC8">
      <w:pPr>
        <w:pStyle w:val="BodyText"/>
      </w:pPr>
      <w:r>
        <w:t xml:space="preserve">Overall, trainees largely felt supported by the program, with 70% of surveyed trainees </w:t>
      </w:r>
      <w:r w:rsidR="00451287">
        <w:t xml:space="preserve">(42 respondents) </w:t>
      </w:r>
      <w:r>
        <w:t>agreeing that they receive or received the support they need in TEAP (n=60).</w:t>
      </w:r>
    </w:p>
    <w:p w14:paraId="447B3877" w14:textId="68F5EC4C" w:rsidR="006428BD" w:rsidRPr="00504BA0" w:rsidRDefault="006428BD" w:rsidP="00DC27F5">
      <w:pPr>
        <w:pStyle w:val="Heading4"/>
      </w:pPr>
      <w:r w:rsidRPr="00504BA0">
        <w:t>Collaboration and partnership</w:t>
      </w:r>
    </w:p>
    <w:p w14:paraId="4B480A7C" w14:textId="005D0CF4" w:rsidR="006428BD" w:rsidRPr="0011501A" w:rsidRDefault="006428BD" w:rsidP="008E429A">
      <w:pPr>
        <w:spacing w:before="0" w:after="160" w:line="259" w:lineRule="auto"/>
      </w:pPr>
      <w:r w:rsidRPr="0011501A">
        <w:t xml:space="preserve">Collaboration and partnership </w:t>
      </w:r>
      <w:r>
        <w:t>between</w:t>
      </w:r>
      <w:r w:rsidRPr="0011501A">
        <w:t xml:space="preserve"> facilities was found to enable </w:t>
      </w:r>
      <w:r>
        <w:t>Registrar</w:t>
      </w:r>
      <w:r w:rsidRPr="0011501A">
        <w:t xml:space="preserve">s access to the equipment and capabilities required to complete the program. This is particularly important for smaller facilities or regional facilities which do not have </w:t>
      </w:r>
      <w:r>
        <w:t xml:space="preserve">all </w:t>
      </w:r>
      <w:r w:rsidRPr="0011501A">
        <w:t xml:space="preserve">the equipment and techniques </w:t>
      </w:r>
      <w:r>
        <w:t xml:space="preserve">required for complete coverage </w:t>
      </w:r>
      <w:r w:rsidRPr="0011501A">
        <w:t xml:space="preserve">of </w:t>
      </w:r>
      <w:r>
        <w:t>the curriculum</w:t>
      </w:r>
      <w:r w:rsidRPr="0011501A">
        <w:t xml:space="preserve">. For example, the Royal Children’s Hospital in Victoria </w:t>
      </w:r>
      <w:r w:rsidR="00A746EC">
        <w:t>(VIC)</w:t>
      </w:r>
      <w:r w:rsidRPr="0011501A">
        <w:t xml:space="preserve"> has a Memorandum of Understanding (M</w:t>
      </w:r>
      <w:r>
        <w:t>o</w:t>
      </w:r>
      <w:r w:rsidRPr="0011501A">
        <w:t xml:space="preserve">U) with other hospitals </w:t>
      </w:r>
      <w:r>
        <w:t xml:space="preserve">in the region </w:t>
      </w:r>
      <w:r w:rsidRPr="0011501A">
        <w:t xml:space="preserve">which allows </w:t>
      </w:r>
      <w:r>
        <w:t>Registrar</w:t>
      </w:r>
      <w:r w:rsidRPr="0011501A">
        <w:t xml:space="preserve">s to move between hospitals </w:t>
      </w:r>
      <w:r>
        <w:t xml:space="preserve">so they can </w:t>
      </w:r>
      <w:r w:rsidRPr="0011501A">
        <w:t xml:space="preserve">fill gaps in their training. </w:t>
      </w:r>
      <w:r w:rsidR="006D7321">
        <w:t>However</w:t>
      </w:r>
      <w:r w:rsidR="008E429A">
        <w:t>,</w:t>
      </w:r>
      <w:r w:rsidR="006D7321">
        <w:t xml:space="preserve"> </w:t>
      </w:r>
      <w:r w:rsidR="008E429A">
        <w:t xml:space="preserve">the </w:t>
      </w:r>
      <w:r w:rsidR="00492555">
        <w:t>implementation</w:t>
      </w:r>
      <w:r w:rsidR="008E429A">
        <w:t xml:space="preserve"> of </w:t>
      </w:r>
      <w:proofErr w:type="spellStart"/>
      <w:r w:rsidR="006D7321">
        <w:t>MoUs</w:t>
      </w:r>
      <w:proofErr w:type="spellEnd"/>
      <w:r w:rsidR="00F62A89">
        <w:t xml:space="preserve"> and experience of regional Registrars is variable</w:t>
      </w:r>
      <w:r w:rsidR="008E429A">
        <w:t>; one surveyed Registrar who completed TEAP</w:t>
      </w:r>
      <w:r w:rsidR="008E429A" w:rsidRPr="008E429A">
        <w:t xml:space="preserve"> </w:t>
      </w:r>
      <w:r w:rsidR="008E429A">
        <w:t xml:space="preserve">at a regional facility </w:t>
      </w:r>
      <w:r w:rsidR="00F62A89">
        <w:t xml:space="preserve">commented that </w:t>
      </w:r>
      <w:proofErr w:type="spellStart"/>
      <w:r w:rsidR="008E429A">
        <w:t>M</w:t>
      </w:r>
      <w:r w:rsidR="00640F33">
        <w:t>o</w:t>
      </w:r>
      <w:r w:rsidR="008E429A">
        <w:t>Us</w:t>
      </w:r>
      <w:proofErr w:type="spellEnd"/>
      <w:r w:rsidR="008E429A">
        <w:t xml:space="preserve"> between the Registrar’s facility and other larger centres were not enforced by </w:t>
      </w:r>
      <w:r w:rsidR="00492555">
        <w:t>ACPSEM</w:t>
      </w:r>
      <w:r w:rsidR="008E429A">
        <w:t xml:space="preserve"> and the Registrar was made to organise and pay for their training outside of their main facility.</w:t>
      </w:r>
    </w:p>
    <w:p w14:paraId="30A2C180" w14:textId="2E0C97AF" w:rsidR="0010741A" w:rsidRDefault="006428BD" w:rsidP="00CE3ED9">
      <w:pPr>
        <w:spacing w:before="0" w:after="160" w:line="259" w:lineRule="auto"/>
      </w:pPr>
      <w:r w:rsidRPr="0011501A">
        <w:t xml:space="preserve">Leveraging partnerships and networks may also provide opportunities for </w:t>
      </w:r>
      <w:r>
        <w:t>Registrar</w:t>
      </w:r>
      <w:r w:rsidRPr="0011501A">
        <w:t xml:space="preserve">s to rotate through regional and remote facilities, however the feasibility of this model is uncertain. While many stakeholders raised that regional experience is beneficial to the </w:t>
      </w:r>
      <w:r w:rsidRPr="00976A77">
        <w:t>Registrar</w:t>
      </w:r>
      <w:r w:rsidRPr="0011501A">
        <w:t xml:space="preserve">, hospitals may struggle with the cost of training a </w:t>
      </w:r>
      <w:r w:rsidRPr="00976A77">
        <w:t>Registrar</w:t>
      </w:r>
      <w:r>
        <w:t xml:space="preserve"> only</w:t>
      </w:r>
      <w:r w:rsidRPr="0011501A">
        <w:t xml:space="preserve"> for them to then move on to a different facility. This model may therefore be more feasible for private hospital</w:t>
      </w:r>
      <w:r>
        <w:t>s and</w:t>
      </w:r>
      <w:r w:rsidRPr="0011501A">
        <w:t xml:space="preserve"> network</w:t>
      </w:r>
      <w:r>
        <w:t xml:space="preserve"> facilities, as seen in the </w:t>
      </w:r>
      <w:r w:rsidRPr="00976A77">
        <w:t>case study below</w:t>
      </w:r>
      <w:r w:rsidRPr="0011501A">
        <w:t>.</w:t>
      </w:r>
      <w:r w:rsidR="000C4550">
        <w:t xml:space="preserve"> </w:t>
      </w:r>
    </w:p>
    <w:p w14:paraId="0BAC8961" w14:textId="02C3E062" w:rsidR="0010741A" w:rsidRDefault="0010741A" w:rsidP="0010741A">
      <w:pPr>
        <w:shd w:val="clear" w:color="auto" w:fill="97014E" w:themeFill="accent6" w:themeFillShade="80"/>
        <w:spacing w:before="0" w:after="160" w:line="259" w:lineRule="auto"/>
        <w:rPr>
          <w:b/>
          <w:bCs/>
        </w:rPr>
      </w:pPr>
      <w:r>
        <w:rPr>
          <w:rFonts w:cs="Arial"/>
          <w:b/>
          <w:bCs/>
          <w:noProof/>
        </w:rPr>
        <w:drawing>
          <wp:inline distT="0" distB="0" distL="0" distR="0" wp14:anchorId="65A76D83" wp14:editId="63212343">
            <wp:extent cx="283464" cy="283464"/>
            <wp:effectExtent l="0" t="0" r="0" b="0"/>
            <wp:docPr id="1681837975"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63340" name="Graphic 40">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92979" cy="292979"/>
                    </a:xfrm>
                    <a:prstGeom prst="rect">
                      <a:avLst/>
                    </a:prstGeom>
                  </pic:spPr>
                </pic:pic>
              </a:graphicData>
            </a:graphic>
          </wp:inline>
        </w:drawing>
      </w:r>
      <w:r>
        <w:rPr>
          <w:rFonts w:cs="Arial"/>
          <w:b/>
          <w:bCs/>
        </w:rPr>
        <w:t xml:space="preserve"> Case Study - </w:t>
      </w:r>
      <w:r>
        <w:rPr>
          <w:b/>
          <w:bCs/>
        </w:rPr>
        <w:t>Private Provider’s network approach to ROMP TEAP</w:t>
      </w:r>
    </w:p>
    <w:p w14:paraId="29BB331C" w14:textId="7EA50E79" w:rsidR="0010741A" w:rsidRDefault="0010741A" w:rsidP="0010741A">
      <w:pPr>
        <w:shd w:val="clear" w:color="auto" w:fill="FED6EB" w:themeFill="accent6" w:themeFillTint="33"/>
        <w:spacing w:before="0" w:after="160" w:line="259" w:lineRule="auto"/>
      </w:pPr>
      <w:r>
        <w:t>A private provider employs a collaborative approach to ROMP TEAP Registrar training that leverages the provider’s network. The program involves QMPs within the national network across all metro and rural departments. This approach enables Registrars to travel between metropolitan and regional facilities and gain hands on experience. The private provider identified substantial benefits with this approach, including alleviating training workload for Supervisors and reducing duplication in training effort at the local level, and providing Registrars with a structured training program offering different teaching styles, frequent learning opportunities, and a broad support network.</w:t>
      </w:r>
      <w:r>
        <w:rPr>
          <w:rFonts w:ascii="ZWAdobeF" w:hAnsi="ZWAdobeF" w:cs="ZWAdobeF"/>
          <w:sz w:val="2"/>
          <w:szCs w:val="2"/>
        </w:rPr>
        <w:t>20F25F</w:t>
      </w:r>
      <w:r>
        <w:rPr>
          <w:rStyle w:val="FootnoteReference"/>
        </w:rPr>
        <w:footnoteReference w:id="27"/>
      </w:r>
    </w:p>
    <w:p w14:paraId="70130D70" w14:textId="0CC69C60" w:rsidR="008D4294" w:rsidRDefault="008D4294" w:rsidP="00194457">
      <w:pPr>
        <w:spacing w:after="0" w:line="259" w:lineRule="auto"/>
        <w:rPr>
          <w:b/>
          <w:bCs/>
        </w:rPr>
      </w:pPr>
      <w:r>
        <w:t>Strategies identified by Registrars through the evaluation surveys to further enhance collaboration and knowledge sharing include more training days for regional Registrars to have greater access to specialised treatment techniques offered at metropolitan centres, and provid</w:t>
      </w:r>
      <w:r w:rsidR="0088475B">
        <w:t>ing</w:t>
      </w:r>
      <w:r>
        <w:t xml:space="preserve"> greater opportunities for networking amongst Registrars to establish a stronger sense of community. Additionally, it was suggested that ACPSEM provide access to a centralised list of contacts with specialist knowledge whom Registrars can reach out to with questions on more advanced or niche topics.</w:t>
      </w:r>
    </w:p>
    <w:p w14:paraId="7541FD15" w14:textId="3A69B70A" w:rsidR="006428BD" w:rsidRPr="00DC27F5" w:rsidRDefault="00CF702D" w:rsidP="00DC27F5">
      <w:pPr>
        <w:pStyle w:val="Heading4"/>
        <w:rPr>
          <w:b w:val="0"/>
        </w:rPr>
      </w:pPr>
      <w:r w:rsidRPr="00DC27F5">
        <w:t>Supporting resources provided by ACPSEM</w:t>
      </w:r>
    </w:p>
    <w:p w14:paraId="00EEA79C" w14:textId="67E60678" w:rsidR="00530224" w:rsidRDefault="002C62D5" w:rsidP="002D0DAD">
      <w:pPr>
        <w:spacing w:before="0" w:after="160" w:line="259" w:lineRule="auto"/>
      </w:pPr>
      <w:r>
        <w:t>ACPSEM</w:t>
      </w:r>
      <w:r w:rsidR="001A5411">
        <w:t xml:space="preserve"> provides a range of </w:t>
      </w:r>
      <w:r w:rsidR="00DB015A">
        <w:t xml:space="preserve">supporting resources, including </w:t>
      </w:r>
      <w:r w:rsidR="008A0D25" w:rsidRPr="008A0D25">
        <w:t>workshops</w:t>
      </w:r>
      <w:r w:rsidR="00432611">
        <w:t>,</w:t>
      </w:r>
      <w:r w:rsidR="007C30F8">
        <w:t xml:space="preserve"> </w:t>
      </w:r>
      <w:r w:rsidR="008A0D25" w:rsidRPr="008A0D25">
        <w:t xml:space="preserve">webinar series </w:t>
      </w:r>
      <w:r w:rsidR="00432611">
        <w:t xml:space="preserve">and education sessions </w:t>
      </w:r>
      <w:r w:rsidR="007C30F8">
        <w:t>for Supervisors, Registrars,</w:t>
      </w:r>
      <w:r w:rsidR="00432611">
        <w:t xml:space="preserve"> and</w:t>
      </w:r>
      <w:r w:rsidR="001A66EC">
        <w:t xml:space="preserve"> examiners. </w:t>
      </w:r>
      <w:r>
        <w:t>ACPSEM</w:t>
      </w:r>
      <w:r w:rsidR="00A44F5F">
        <w:t xml:space="preserve"> also provides individual support and assessment support </w:t>
      </w:r>
      <w:r w:rsidR="001E1F7C">
        <w:t xml:space="preserve">in cases where they are notified </w:t>
      </w:r>
      <w:r w:rsidR="008A0D25" w:rsidRPr="008A0D25">
        <w:t>of concern</w:t>
      </w:r>
      <w:r w:rsidR="001E1F7C">
        <w:t>.</w:t>
      </w:r>
      <w:r w:rsidR="008A0D25" w:rsidRPr="008A0D25">
        <w:t xml:space="preserve"> </w:t>
      </w:r>
      <w:r w:rsidR="002D0DAD">
        <w:t xml:space="preserve">In consultation, </w:t>
      </w:r>
      <w:r w:rsidR="00CF702D" w:rsidRPr="00B83ED0">
        <w:t>stakeholders commonly found</w:t>
      </w:r>
      <w:r w:rsidR="000D3543">
        <w:t xml:space="preserve"> these resources</w:t>
      </w:r>
      <w:r w:rsidR="00CF702D" w:rsidRPr="00B83ED0">
        <w:t xml:space="preserve"> valuable</w:t>
      </w:r>
      <w:r w:rsidR="000D3543">
        <w:t>, particularly</w:t>
      </w:r>
      <w:r w:rsidR="00CF702D" w:rsidRPr="00B83ED0">
        <w:t xml:space="preserve"> </w:t>
      </w:r>
      <w:r w:rsidR="000D3543">
        <w:t xml:space="preserve">the </w:t>
      </w:r>
      <w:r w:rsidR="00CF702D">
        <w:t>Supervisor</w:t>
      </w:r>
      <w:r w:rsidR="00CF702D" w:rsidRPr="00B83ED0">
        <w:t xml:space="preserve"> courses, Summer School to assist </w:t>
      </w:r>
      <w:r w:rsidR="00CF702D">
        <w:t>Registrar</w:t>
      </w:r>
      <w:r w:rsidR="00CF702D" w:rsidRPr="00B83ED0">
        <w:t xml:space="preserve">s in progressing through specific learning outcomes and advanced technologies, occasional online training and workshops for </w:t>
      </w:r>
      <w:r w:rsidR="00CF702D">
        <w:t>Registrar</w:t>
      </w:r>
      <w:r w:rsidR="00CF702D" w:rsidRPr="00B83ED0">
        <w:t xml:space="preserve">s on non-routine practices, and online materials. </w:t>
      </w:r>
    </w:p>
    <w:p w14:paraId="4894E95F" w14:textId="316B265E" w:rsidR="00C906C9" w:rsidRPr="00273B91" w:rsidRDefault="00CF702D" w:rsidP="00B21893">
      <w:pPr>
        <w:spacing w:before="0" w:after="160" w:line="259" w:lineRule="auto"/>
      </w:pPr>
      <w:r w:rsidRPr="00B83ED0">
        <w:t xml:space="preserve">However, not all stakeholders felt that the resources provided by </w:t>
      </w:r>
      <w:r>
        <w:t>ACPSEM</w:t>
      </w:r>
      <w:r w:rsidRPr="00B83ED0">
        <w:t xml:space="preserve"> adequately met stakeholder </w:t>
      </w:r>
      <w:r w:rsidRPr="00FD40ED">
        <w:t xml:space="preserve">needs, with one Supervisor flagging that ACPSEM’s Supervisor workshops were not particularly helpful as they did not cover topics which would be of practical value to Supervisors, such as how to navigate the </w:t>
      </w:r>
      <w:r w:rsidR="00BA5DD8">
        <w:t>LMS</w:t>
      </w:r>
      <w:r w:rsidR="009624A8">
        <w:t xml:space="preserve"> or assess Registrars.</w:t>
      </w:r>
    </w:p>
    <w:p w14:paraId="72768E1D" w14:textId="0142AECE" w:rsidR="00CF702D" w:rsidRPr="00AE349D" w:rsidRDefault="00CF702D" w:rsidP="00AE349D">
      <w:pPr>
        <w:pStyle w:val="Heading3"/>
      </w:pPr>
      <w:bookmarkStart w:id="88" w:name="_Ref181946599"/>
      <w:bookmarkStart w:id="89" w:name="_Toc216711584"/>
      <w:r w:rsidRPr="00AE349D">
        <w:t>Barriers</w:t>
      </w:r>
      <w:bookmarkEnd w:id="88"/>
      <w:bookmarkEnd w:id="89"/>
    </w:p>
    <w:p w14:paraId="7C9FE8C4" w14:textId="553FA419" w:rsidR="00CF702D" w:rsidRPr="00CF702D" w:rsidRDefault="00CF702D" w:rsidP="00DC27F5">
      <w:pPr>
        <w:pStyle w:val="Heading4"/>
        <w:rPr>
          <w:bCs/>
        </w:rPr>
      </w:pPr>
      <w:r w:rsidRPr="00504BA0">
        <w:t xml:space="preserve">Lack of </w:t>
      </w:r>
      <w:r w:rsidR="006E5C23">
        <w:t xml:space="preserve">TEAP </w:t>
      </w:r>
      <w:r w:rsidRPr="00504BA0">
        <w:t xml:space="preserve">resources </w:t>
      </w:r>
      <w:r w:rsidR="00585C0A">
        <w:rPr>
          <w:b w:val="0"/>
          <w:bCs/>
        </w:rPr>
        <w:t>and support</w:t>
      </w:r>
    </w:p>
    <w:p w14:paraId="6FA2CE56" w14:textId="76ABB239" w:rsidR="00FD3541" w:rsidRDefault="00526C45" w:rsidP="00526C45">
      <w:pPr>
        <w:pStyle w:val="BodyText"/>
      </w:pPr>
      <w:r>
        <w:t xml:space="preserve">Although ACPSEM provides some resources and supports to Supervisors and Registrars, many stakeholders reported that these were lacking. </w:t>
      </w:r>
      <w:proofErr w:type="gramStart"/>
      <w:r w:rsidR="00F06274">
        <w:t>The majority of</w:t>
      </w:r>
      <w:proofErr w:type="gramEnd"/>
      <w:r w:rsidR="00F06274">
        <w:t xml:space="preserve"> </w:t>
      </w:r>
      <w:r w:rsidR="003920D2">
        <w:t>s</w:t>
      </w:r>
      <w:r w:rsidR="00F06274">
        <w:t xml:space="preserve">urveyed </w:t>
      </w:r>
      <w:r w:rsidR="003920D2">
        <w:t>S</w:t>
      </w:r>
      <w:r w:rsidR="00F06274">
        <w:t>upervisors agreed that they received an appropriate level of support, however 2</w:t>
      </w:r>
      <w:r w:rsidR="00AC5009">
        <w:t>5</w:t>
      </w:r>
      <w:r w:rsidR="000502A9">
        <w:t xml:space="preserve">% </w:t>
      </w:r>
      <w:r w:rsidR="001F3720">
        <w:t xml:space="preserve">(14 respondents) </w:t>
      </w:r>
      <w:r w:rsidR="00FC5190">
        <w:t>did not agree</w:t>
      </w:r>
      <w:r w:rsidR="000502A9">
        <w:t xml:space="preserve"> that they receive appropriate support from</w:t>
      </w:r>
      <w:r w:rsidR="003A7B64">
        <w:t xml:space="preserve"> </w:t>
      </w:r>
      <w:r w:rsidR="000502A9">
        <w:t xml:space="preserve">ACPSEM </w:t>
      </w:r>
      <w:r w:rsidR="004E2247">
        <w:t xml:space="preserve">(n=54) </w:t>
      </w:r>
      <w:r w:rsidR="00116100">
        <w:t xml:space="preserve">and 22% </w:t>
      </w:r>
      <w:r w:rsidR="001F3720">
        <w:t xml:space="preserve">(12 respondents) </w:t>
      </w:r>
      <w:r w:rsidR="00FC5190">
        <w:t>did not agree that they receiv</w:t>
      </w:r>
      <w:r w:rsidR="00C16A28">
        <w:t>e an appropriate level of support from their facility/department to facilitate TEAP and complete supervisor responsibilities</w:t>
      </w:r>
      <w:r w:rsidR="004E2247">
        <w:t xml:space="preserve"> (n=54)</w:t>
      </w:r>
      <w:r w:rsidR="00C16A28">
        <w:t>.</w:t>
      </w:r>
      <w:r w:rsidR="000D1CAD">
        <w:t xml:space="preserve"> </w:t>
      </w:r>
      <w:r w:rsidR="00A222E7" w:rsidRPr="00A222E7">
        <w:t>S</w:t>
      </w:r>
      <w:r w:rsidR="00881ABE">
        <w:t>ome s</w:t>
      </w:r>
      <w:r w:rsidR="00A222E7" w:rsidRPr="00A222E7">
        <w:t>urveyed and interviewed Registrars also highlighted that the Program can be highly stressful, with support for mental health identified as a potential gap</w:t>
      </w:r>
      <w:r w:rsidR="00C832C3">
        <w:t>.</w:t>
      </w:r>
    </w:p>
    <w:p w14:paraId="56DF826E" w14:textId="41B24994" w:rsidR="005427D0" w:rsidRDefault="002B4F03" w:rsidP="005427D0">
      <w:pPr>
        <w:pStyle w:val="BodyText"/>
      </w:pPr>
      <w:r>
        <w:t>A perceived lack of support was more prevalent amongst DIMP</w:t>
      </w:r>
      <w:r w:rsidR="004140BF">
        <w:t>s</w:t>
      </w:r>
      <w:r>
        <w:t xml:space="preserve">, with </w:t>
      </w:r>
      <w:r w:rsidR="00894CE0">
        <w:t>almost half (4</w:t>
      </w:r>
      <w:r w:rsidR="00BC194D">
        <w:t>3</w:t>
      </w:r>
      <w:r w:rsidR="00894CE0">
        <w:t>%</w:t>
      </w:r>
      <w:r w:rsidR="006F247E">
        <w:t>, 6 respondents</w:t>
      </w:r>
      <w:r w:rsidR="00894CE0">
        <w:t xml:space="preserve">) of surveyed DIMP </w:t>
      </w:r>
      <w:r w:rsidR="00E03A1D">
        <w:t>S</w:t>
      </w:r>
      <w:r w:rsidR="00894CE0">
        <w:t xml:space="preserve">upervisors </w:t>
      </w:r>
      <w:r w:rsidR="00F51EEB">
        <w:t xml:space="preserve">reporting that they </w:t>
      </w:r>
      <w:r w:rsidR="005132BA">
        <w:t xml:space="preserve">do not </w:t>
      </w:r>
      <w:r w:rsidR="00C76E79">
        <w:t>agree they receive an appropriate level of support from ACPSEM</w:t>
      </w:r>
      <w:r w:rsidR="001556F8">
        <w:t xml:space="preserve"> (n=</w:t>
      </w:r>
      <w:r w:rsidR="00561D0A">
        <w:t>14)</w:t>
      </w:r>
      <w:r w:rsidR="00B24338">
        <w:t xml:space="preserve">, and </w:t>
      </w:r>
      <w:r w:rsidR="00E25453">
        <w:t>almost one-third (</w:t>
      </w:r>
      <w:r w:rsidR="00DC7E63">
        <w:t>29</w:t>
      </w:r>
      <w:r w:rsidR="00E25453">
        <w:t>%</w:t>
      </w:r>
      <w:r w:rsidR="00DD4564">
        <w:t>, 4 respondents</w:t>
      </w:r>
      <w:r w:rsidR="00E25453">
        <w:t xml:space="preserve">) </w:t>
      </w:r>
      <w:r w:rsidR="00437D3B">
        <w:t>not receiving appropriate support from their facility/department</w:t>
      </w:r>
      <w:r w:rsidR="00DC7E63">
        <w:t xml:space="preserve"> (n=14)</w:t>
      </w:r>
      <w:r w:rsidR="00437D3B">
        <w:t>.</w:t>
      </w:r>
      <w:r w:rsidR="00FD3541">
        <w:t xml:space="preserve"> In consultation with a DIMP Supervisor, the Supervisor </w:t>
      </w:r>
      <w:r w:rsidR="00FD3541" w:rsidRPr="00FD3541">
        <w:t xml:space="preserve">raised dissatisfaction at the </w:t>
      </w:r>
      <w:r w:rsidR="00FD3541">
        <w:t xml:space="preserve">lack of </w:t>
      </w:r>
      <w:r w:rsidR="00FD3541" w:rsidRPr="00FD3541">
        <w:t xml:space="preserve">online supporting resources available for their Registrars in comparison to the ROMP </w:t>
      </w:r>
      <w:r w:rsidR="005F65E1">
        <w:t>S</w:t>
      </w:r>
      <w:r w:rsidR="00FD3541" w:rsidRPr="00FD3541">
        <w:t xml:space="preserve">tream, noting that the information gap is filled by </w:t>
      </w:r>
      <w:r w:rsidR="00FD3541">
        <w:t>their facility.</w:t>
      </w:r>
      <w:r w:rsidR="005427D0">
        <w:t xml:space="preserve"> Additionally</w:t>
      </w:r>
      <w:r w:rsidR="00FB1ABE">
        <w:t xml:space="preserve">, stakeholders involved with DIMP TEAP in NSW observed that the level of resources available to them from NSW Health was notably less than what was available to </w:t>
      </w:r>
      <w:r w:rsidR="00FB1ABE" w:rsidRPr="00976A77">
        <w:t>Supervisors</w:t>
      </w:r>
      <w:r w:rsidR="00FB1ABE">
        <w:t xml:space="preserve"> and Registrars in ROMP TEAP and was causing rivalry amongst the two disciplines in NSW. </w:t>
      </w:r>
    </w:p>
    <w:p w14:paraId="44028D70" w14:textId="284E2539" w:rsidR="00FB1ABE" w:rsidRDefault="005427D0" w:rsidP="005427D0">
      <w:pPr>
        <w:pStyle w:val="BodyText"/>
      </w:pPr>
      <w:r>
        <w:t xml:space="preserve">There is also variation in the level of available support across jurisdictions, with one </w:t>
      </w:r>
      <w:r w:rsidR="00FB1ABE">
        <w:t xml:space="preserve">stakeholder based in </w:t>
      </w:r>
      <w:r w:rsidR="007004E4">
        <w:t xml:space="preserve">Victoria </w:t>
      </w:r>
      <w:r>
        <w:t xml:space="preserve">noting </w:t>
      </w:r>
      <w:r w:rsidR="00FB1ABE">
        <w:t xml:space="preserve">that NSW Health organised workshops for DIMP TEAP, however the stakeholder had not seen similar workshops run in </w:t>
      </w:r>
      <w:r w:rsidR="007004E4">
        <w:t>Victoria</w:t>
      </w:r>
      <w:r w:rsidR="00FB1ABE">
        <w:t xml:space="preserve">. </w:t>
      </w:r>
    </w:p>
    <w:p w14:paraId="495F72CA" w14:textId="6875ACD5" w:rsidR="00526C45" w:rsidRDefault="002E491D" w:rsidP="00526C45">
      <w:pPr>
        <w:pStyle w:val="BodyText"/>
      </w:pPr>
      <w:r>
        <w:t>Through</w:t>
      </w:r>
      <w:r w:rsidR="00C16A28">
        <w:t xml:space="preserve"> consultation</w:t>
      </w:r>
      <w:r>
        <w:t xml:space="preserve"> activities</w:t>
      </w:r>
      <w:r w:rsidR="00C16A28">
        <w:t>, it was evident that r</w:t>
      </w:r>
      <w:r w:rsidR="00526C45">
        <w:t xml:space="preserve">esponsibility for the development of teaching resources lies heavily with facilities and Supervisors. Some stakeholders, particularly those involved with ROMP TEAP, considered the new syllabus to be less detailed and less prescriptive than the old syllabus and felt that this put more onus on the Supervisor to determine the depth of content covered. These stakeholders expressed a desire for more detailed guidance from ACPSEM on the curriculum and ACPSEM’s expectations, as they felt this would relieve pressure on Supervisors and improve standardisation across Supervisors, facilities and regions. </w:t>
      </w:r>
    </w:p>
    <w:p w14:paraId="6DC395BB" w14:textId="10DBB5AB" w:rsidR="00526C45" w:rsidRDefault="00526C45" w:rsidP="00526C45">
      <w:pPr>
        <w:pStyle w:val="BodyText"/>
      </w:pPr>
      <w:r>
        <w:t>Additionally, several stakeholders highlighted the need for additional support for Supervisors to assist with the delivery of quality training informed by educational best practice. A key challenge identified by stakeholders was the facilitation of a highly demanding training program by Supervisors who do not have any formal educational experience or knowledge. Consequently, there is a heightened risk of Supervisors misinterpreting the curriculum, delivering substandard quality training, or missing nuances in the curriculum. For this reason, some jurisdictions have introduced an educator role which was found to be highly valued by Supervisors</w:t>
      </w:r>
      <w:r w:rsidR="002C5D08">
        <w:t>.</w:t>
      </w:r>
      <w:r>
        <w:t xml:space="preserve"> However, not all jurisdictions or disciplines have access to an </w:t>
      </w:r>
      <w:proofErr w:type="gramStart"/>
      <w:r>
        <w:t>educator</w:t>
      </w:r>
      <w:proofErr w:type="gramEnd"/>
      <w:r>
        <w:t xml:space="preserve"> and this position is not funded through the MPS Program. In consultation, stakeholders generally highlighted a desire for additional support for Supervisors to learn best practice insights into education. </w:t>
      </w:r>
    </w:p>
    <w:p w14:paraId="58C4FF9A" w14:textId="77777777" w:rsidR="00B370FF" w:rsidRDefault="00B370FF" w:rsidP="00B370FF">
      <w:pPr>
        <w:pStyle w:val="BodyText"/>
      </w:pPr>
    </w:p>
    <w:p w14:paraId="00CAD932" w14:textId="6378291D" w:rsidR="00B370FF" w:rsidRPr="00B370FF" w:rsidRDefault="00B370FF" w:rsidP="00B370FF">
      <w:pPr>
        <w:pStyle w:val="BodyText"/>
        <w:shd w:val="clear" w:color="auto" w:fill="CAF1FF" w:themeFill="accent4" w:themeFillTint="33"/>
      </w:pPr>
      <w:r w:rsidRPr="00B370FF">
        <w:rPr>
          <w:i/>
          <w:iCs/>
          <w:noProof/>
        </w:rPr>
        <w:drawing>
          <wp:anchor distT="0" distB="0" distL="114300" distR="114300" simplePos="0" relativeHeight="251673600" behindDoc="0" locked="0" layoutInCell="1" allowOverlap="1" wp14:anchorId="1C67111D" wp14:editId="39084E97">
            <wp:simplePos x="0" y="0"/>
            <wp:positionH relativeFrom="column">
              <wp:posOffset>3810</wp:posOffset>
            </wp:positionH>
            <wp:positionV relativeFrom="paragraph">
              <wp:posOffset>-4445</wp:posOffset>
            </wp:positionV>
            <wp:extent cx="438785" cy="446405"/>
            <wp:effectExtent l="0" t="0" r="0" b="0"/>
            <wp:wrapSquare wrapText="bothSides"/>
            <wp:docPr id="805888588" name="Graphic 805888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438785" cy="446405"/>
                    </a:xfrm>
                    <a:prstGeom prst="rect">
                      <a:avLst/>
                    </a:prstGeom>
                  </pic:spPr>
                </pic:pic>
              </a:graphicData>
            </a:graphic>
          </wp:anchor>
        </w:drawing>
      </w:r>
      <w:r w:rsidRPr="00B370FF">
        <w:rPr>
          <w:i/>
          <w:iCs/>
          <w:color w:val="00338D" w:themeColor="accent1"/>
          <w:szCs w:val="20"/>
        </w:rPr>
        <w:t>“Trainers are not necessarily "teachers</w:t>
      </w:r>
      <w:proofErr w:type="gramStart"/>
      <w:r w:rsidRPr="00B370FF">
        <w:rPr>
          <w:i/>
          <w:iCs/>
          <w:color w:val="00338D" w:themeColor="accent1"/>
          <w:szCs w:val="20"/>
        </w:rPr>
        <w:t>"</w:t>
      </w:r>
      <w:proofErr w:type="gramEnd"/>
      <w:r w:rsidRPr="00B370FF">
        <w:rPr>
          <w:i/>
          <w:iCs/>
          <w:color w:val="00338D" w:themeColor="accent1"/>
          <w:szCs w:val="20"/>
        </w:rPr>
        <w:t xml:space="preserve"> and it would be amazing if short courses or additional training modules that were teaching based could be afforded to the Supervisors to ensure that they are equipped with a basic understanding of teaching principles</w:t>
      </w:r>
      <w:r w:rsidRPr="00AD4A46">
        <w:rPr>
          <w:color w:val="00338D" w:themeColor="accent1"/>
          <w:szCs w:val="20"/>
        </w:rPr>
        <w:t>”</w:t>
      </w:r>
    </w:p>
    <w:p w14:paraId="35B7A722" w14:textId="135B3DC1" w:rsidR="00B370FF" w:rsidRPr="00F861F2" w:rsidRDefault="00B370FF" w:rsidP="00B370FF">
      <w:pPr>
        <w:pStyle w:val="BodyText"/>
        <w:shd w:val="clear" w:color="auto" w:fill="CAF1FF" w:themeFill="accent4" w:themeFillTint="33"/>
        <w:rPr>
          <w:b/>
          <w:bCs/>
          <w:i/>
          <w:iCs/>
          <w:color w:val="0070C0"/>
        </w:rPr>
      </w:pPr>
      <w:r w:rsidRPr="00F861F2">
        <w:rPr>
          <w:b/>
          <w:bCs/>
          <w:i/>
          <w:iCs/>
          <w:color w:val="0070C0"/>
        </w:rPr>
        <w:t>Surveyed Supervisor</w:t>
      </w:r>
    </w:p>
    <w:p w14:paraId="570ADC76" w14:textId="166149FA" w:rsidR="00441A10" w:rsidRDefault="00526C45" w:rsidP="00526C45">
      <w:pPr>
        <w:pStyle w:val="BodyText"/>
      </w:pPr>
      <w:r>
        <w:t xml:space="preserve">The lack of centralised resources and support is resulting in jurisdictions and facilities dedicating time and funds to the development of resources to support their Supervisors and Registrars. For example, </w:t>
      </w:r>
      <w:r w:rsidR="00E228CD">
        <w:t>a private provider</w:t>
      </w:r>
      <w:r>
        <w:t xml:space="preserve"> provides Supervisors with templates for assessments, a bank of questions for oral examinations, and have established a preceptor role. Additionally, some state and territory governments direct funding towards resources and workshops to assist TEAP </w:t>
      </w:r>
      <w:r w:rsidRPr="00976A77">
        <w:t>Registrars</w:t>
      </w:r>
      <w:r>
        <w:t xml:space="preserve"> and </w:t>
      </w:r>
      <w:r w:rsidRPr="00976A77">
        <w:t>Supervisors.</w:t>
      </w:r>
      <w:r>
        <w:t xml:space="preserve"> For example, the </w:t>
      </w:r>
      <w:r w:rsidRPr="00976A77">
        <w:t>HETI</w:t>
      </w:r>
      <w:r>
        <w:t xml:space="preserve"> receives funding from the NSW Ministry of Health for the DIMP Education Support Program, a program designed to support </w:t>
      </w:r>
      <w:r w:rsidRPr="00976A77">
        <w:t>Registrars</w:t>
      </w:r>
      <w:r>
        <w:t xml:space="preserve"> and </w:t>
      </w:r>
      <w:r w:rsidRPr="00976A77">
        <w:t>Supervisors</w:t>
      </w:r>
      <w:r>
        <w:t xml:space="preserve"> through TEAP by offering a series of specialised workshops, mock interviews for oral exams, professional development opportunities, and pastoral support. </w:t>
      </w:r>
    </w:p>
    <w:p w14:paraId="0AB8D292" w14:textId="77777777" w:rsidR="00253504" w:rsidRDefault="00253504" w:rsidP="00253504">
      <w:pPr>
        <w:pStyle w:val="BodyText"/>
      </w:pPr>
    </w:p>
    <w:p w14:paraId="7D0104EB" w14:textId="3C76A798" w:rsidR="00253504" w:rsidRPr="00253504" w:rsidRDefault="00253504" w:rsidP="00253504">
      <w:pPr>
        <w:pStyle w:val="BodyText"/>
        <w:shd w:val="clear" w:color="auto" w:fill="CAF1FF" w:themeFill="accent4" w:themeFillTint="33"/>
        <w:rPr>
          <w:i/>
          <w:iCs/>
        </w:rPr>
      </w:pPr>
      <w:r w:rsidRPr="00253504">
        <w:rPr>
          <w:i/>
          <w:iCs/>
          <w:noProof/>
        </w:rPr>
        <w:drawing>
          <wp:anchor distT="0" distB="0" distL="114300" distR="114300" simplePos="0" relativeHeight="251675648" behindDoc="0" locked="0" layoutInCell="1" allowOverlap="1" wp14:anchorId="37B6A9EE" wp14:editId="75A1E40D">
            <wp:simplePos x="0" y="0"/>
            <wp:positionH relativeFrom="column">
              <wp:posOffset>3810</wp:posOffset>
            </wp:positionH>
            <wp:positionV relativeFrom="paragraph">
              <wp:posOffset>-4445</wp:posOffset>
            </wp:positionV>
            <wp:extent cx="438785" cy="446405"/>
            <wp:effectExtent l="0" t="0" r="0" b="0"/>
            <wp:wrapSquare wrapText="bothSides"/>
            <wp:docPr id="1138967224" name="Graphic 1138967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5"/>
                        </a:ext>
                      </a:extLst>
                    </a:blip>
                    <a:stretch>
                      <a:fillRect/>
                    </a:stretch>
                  </pic:blipFill>
                  <pic:spPr>
                    <a:xfrm>
                      <a:off x="0" y="0"/>
                      <a:ext cx="438785" cy="446405"/>
                    </a:xfrm>
                    <a:prstGeom prst="rect">
                      <a:avLst/>
                    </a:prstGeom>
                  </pic:spPr>
                </pic:pic>
              </a:graphicData>
            </a:graphic>
          </wp:anchor>
        </w:drawing>
      </w:r>
      <w:r w:rsidRPr="00253504">
        <w:rPr>
          <w:i/>
          <w:iCs/>
          <w:color w:val="00338D" w:themeColor="accent1"/>
          <w:szCs w:val="20"/>
        </w:rPr>
        <w:t>“The current design of the TEAP program depends heavily on local resources, and I feel that the quality of the registrars is often limited by the level of departmental and supervisory support.”</w:t>
      </w:r>
    </w:p>
    <w:p w14:paraId="3BC2B56B" w14:textId="2B269BB1" w:rsidR="00253504" w:rsidRPr="00F861F2" w:rsidRDefault="00253504" w:rsidP="00253504">
      <w:pPr>
        <w:pStyle w:val="Quotestyle"/>
        <w:ind w:left="0"/>
        <w:rPr>
          <w:rStyle w:val="Strong"/>
          <w:b w:val="0"/>
          <w:bCs w:val="0"/>
        </w:rPr>
      </w:pPr>
      <w:r w:rsidRPr="00F861F2">
        <w:rPr>
          <w:b/>
          <w:bCs/>
        </w:rPr>
        <w:t>Surveyed Registrar</w:t>
      </w:r>
    </w:p>
    <w:p w14:paraId="2AF9A373" w14:textId="3165C1C2" w:rsidR="00526C45" w:rsidRDefault="00526C45" w:rsidP="00526C45">
      <w:pPr>
        <w:pStyle w:val="BodyText"/>
      </w:pPr>
      <w:r>
        <w:t>Despite consultation identifying a desire for hospitals to network and share resources, the extent to which these resources can be shared amongst facilities is limited. A stakeholder at a not-for-profit hospital based in NSW commented that they do not have access to the resources and supports developed by the state preceptor through NSW Health funding because their facility is private and cannot access public resources. This stakeholder expressed concern that the lack of resource sharing was wasteful. However, despite some facilities being open to sharing, stakeholders identified barriers to resource sharing, including the surrounding politics and issues around intellectual property.</w:t>
      </w:r>
    </w:p>
    <w:p w14:paraId="460044C0" w14:textId="5BDC519A" w:rsidR="00526C45" w:rsidRDefault="00526C45" w:rsidP="00526C45">
      <w:pPr>
        <w:pStyle w:val="BodyText"/>
      </w:pPr>
      <w:r>
        <w:t xml:space="preserve">Evidently there is a duplication of effort by various TEAP stakeholders across the program. Stakeholders commonly expressed their frustration that much of the burden of developing educational resources and supports was falling onto them rather than being provided through Commonwealth funding. However, it should be noted that some stakeholders appreciated the efforts of ACPSEM to develop resources, including development of resources using funds that are outside of Commonwealth funding. An additional consideration is that the development of more resources by ACPSEM would require substantial input from </w:t>
      </w:r>
      <w:r w:rsidR="000E0B71">
        <w:t>medical physicists</w:t>
      </w:r>
      <w:r>
        <w:t xml:space="preserve">, which would consequently detract from their clinical responsibilities and place additional strain on those facilities where the advising </w:t>
      </w:r>
      <w:r w:rsidR="000E0B71">
        <w:t>medical physicists</w:t>
      </w:r>
      <w:r>
        <w:t xml:space="preserve"> practice.</w:t>
      </w:r>
    </w:p>
    <w:p w14:paraId="29168ED0" w14:textId="77777777" w:rsidR="00396F19" w:rsidRPr="00504BA0" w:rsidRDefault="00396F19" w:rsidP="00DC27F5">
      <w:pPr>
        <w:pStyle w:val="Heading4"/>
      </w:pPr>
      <w:r w:rsidRPr="00504BA0">
        <w:t>Limited professional experience of TEAP candidates</w:t>
      </w:r>
    </w:p>
    <w:p w14:paraId="617195DB" w14:textId="36E7FBCD" w:rsidR="00396F19" w:rsidRDefault="00396F19" w:rsidP="00396F19">
      <w:pPr>
        <w:pStyle w:val="BodyText"/>
      </w:pPr>
      <w:r>
        <w:t>The lack of professional experience of recent university graduates who are recruited into TEAP positions was frequently cited as a challenge in consultation</w:t>
      </w:r>
      <w:r w:rsidR="00B67F0E">
        <w:t xml:space="preserve"> with both</w:t>
      </w:r>
      <w:r w:rsidR="00B67F0E" w:rsidRPr="00B67F0E">
        <w:t xml:space="preserve"> </w:t>
      </w:r>
      <w:r w:rsidR="00B67F0E">
        <w:t>e</w:t>
      </w:r>
      <w:r w:rsidR="00B67F0E" w:rsidRPr="00B67F0E">
        <w:t>xperienced medical physicists</w:t>
      </w:r>
      <w:r w:rsidR="00B67F0E">
        <w:t xml:space="preserve"> and Supervisors</w:t>
      </w:r>
      <w:r>
        <w:t xml:space="preserve">. </w:t>
      </w:r>
      <w:r w:rsidRPr="00C367B6">
        <w:t xml:space="preserve">With very few university degrees incorporating clinical placements, several </w:t>
      </w:r>
      <w:r>
        <w:t>Supervisor</w:t>
      </w:r>
      <w:r w:rsidRPr="00C367B6">
        <w:t xml:space="preserve">s </w:t>
      </w:r>
      <w:r>
        <w:t>highlighted</w:t>
      </w:r>
      <w:r w:rsidRPr="00C367B6">
        <w:t xml:space="preserve"> </w:t>
      </w:r>
      <w:r>
        <w:t xml:space="preserve">instances </w:t>
      </w:r>
      <w:r w:rsidRPr="00C367B6">
        <w:t xml:space="preserve">where </w:t>
      </w:r>
      <w:r>
        <w:t>Registrar</w:t>
      </w:r>
      <w:r w:rsidRPr="00C367B6">
        <w:t xml:space="preserve">s with no clinical experience struggled to adapt to the clinical environment or realised into the program that they were not suited to clinical work. </w:t>
      </w:r>
    </w:p>
    <w:p w14:paraId="5D8ED9A9" w14:textId="16F90766" w:rsidR="00396F19" w:rsidRDefault="00396F19" w:rsidP="00396F19">
      <w:pPr>
        <w:pStyle w:val="BodyText"/>
      </w:pPr>
      <w:r w:rsidRPr="00C367B6">
        <w:t xml:space="preserve">This challenge is exacerbated by the absence of professional development in TEAP, with several stakeholders </w:t>
      </w:r>
      <w:r>
        <w:t>considering</w:t>
      </w:r>
      <w:r w:rsidRPr="00C367B6">
        <w:t xml:space="preserve"> the inclusion of professional development in TEAP or at the university level </w:t>
      </w:r>
      <w:r>
        <w:t xml:space="preserve">as potentially </w:t>
      </w:r>
      <w:r w:rsidRPr="00C367B6">
        <w:t>beneficial</w:t>
      </w:r>
      <w:r>
        <w:t xml:space="preserve"> </w:t>
      </w:r>
      <w:r w:rsidR="000723EB">
        <w:t>in the future</w:t>
      </w:r>
      <w:r w:rsidRPr="00C367B6">
        <w:t xml:space="preserve">. Some facility stakeholders commented that they work around this challenge by providing TEAP candidates with clinical experience, for example by offering candidates a technician role while they are completing their </w:t>
      </w:r>
      <w:proofErr w:type="spellStart"/>
      <w:proofErr w:type="gramStart"/>
      <w:r w:rsidRPr="00C367B6">
        <w:t>Masters</w:t>
      </w:r>
      <w:proofErr w:type="spellEnd"/>
      <w:proofErr w:type="gramEnd"/>
      <w:r>
        <w:t xml:space="preserve"> degree</w:t>
      </w:r>
      <w:r w:rsidRPr="00C367B6">
        <w:t xml:space="preserve">, and that this had strongly </w:t>
      </w:r>
      <w:r w:rsidR="000723EB">
        <w:t>supported</w:t>
      </w:r>
      <w:r w:rsidRPr="00C367B6">
        <w:t xml:space="preserve"> the quality and suitability of the candidate.</w:t>
      </w:r>
    </w:p>
    <w:p w14:paraId="5F9F6659" w14:textId="6DAB97AB" w:rsidR="004F1D2A" w:rsidRPr="00E07F0D" w:rsidRDefault="00C55A3A" w:rsidP="00DC27F5">
      <w:pPr>
        <w:pStyle w:val="Heading4"/>
      </w:pPr>
      <w:r w:rsidRPr="00504BA0">
        <w:t>Access</w:t>
      </w:r>
      <w:r w:rsidR="00B0762A">
        <w:rPr>
          <w:b w:val="0"/>
          <w:bCs/>
        </w:rPr>
        <w:t xml:space="preserve"> </w:t>
      </w:r>
      <w:r>
        <w:rPr>
          <w:b w:val="0"/>
          <w:bCs/>
        </w:rPr>
        <w:t xml:space="preserve">to </w:t>
      </w:r>
      <w:r w:rsidR="00CB7889">
        <w:rPr>
          <w:b w:val="0"/>
          <w:bCs/>
        </w:rPr>
        <w:t>S</w:t>
      </w:r>
      <w:r w:rsidR="00B0762A">
        <w:rPr>
          <w:b w:val="0"/>
          <w:bCs/>
        </w:rPr>
        <w:t>upervisors</w:t>
      </w:r>
    </w:p>
    <w:p w14:paraId="15D7993F" w14:textId="3286A486" w:rsidR="00B0762A" w:rsidRDefault="005708FF" w:rsidP="0030615A">
      <w:pPr>
        <w:pStyle w:val="BodyText"/>
      </w:pPr>
      <w:r>
        <w:t xml:space="preserve">The capacity of a facility to take on a TEAP Registrar is dependent on </w:t>
      </w:r>
      <w:r w:rsidR="00C55A3A">
        <w:t xml:space="preserve">access to </w:t>
      </w:r>
      <w:r>
        <w:t xml:space="preserve">a </w:t>
      </w:r>
      <w:proofErr w:type="gramStart"/>
      <w:r w:rsidR="00227629">
        <w:t>S</w:t>
      </w:r>
      <w:r>
        <w:t>upervisor</w:t>
      </w:r>
      <w:proofErr w:type="gramEnd"/>
      <w:r>
        <w:t xml:space="preserve">. </w:t>
      </w:r>
      <w:r w:rsidR="00BE3724">
        <w:t xml:space="preserve">Several instances have been reported where a facility has wished to train a Registrar, however they have not had access to a </w:t>
      </w:r>
      <w:proofErr w:type="gramStart"/>
      <w:r w:rsidR="00BE3724">
        <w:t>Supervisor</w:t>
      </w:r>
      <w:proofErr w:type="gramEnd"/>
      <w:r w:rsidR="00BE3724">
        <w:t xml:space="preserve"> and have therefore been unable to do so. </w:t>
      </w:r>
      <w:r w:rsidR="004D0CAF">
        <w:t>For example,</w:t>
      </w:r>
      <w:r w:rsidR="00BB3376">
        <w:t xml:space="preserve"> ACPSEM reported in </w:t>
      </w:r>
      <w:r w:rsidR="006A077D">
        <w:t xml:space="preserve">their </w:t>
      </w:r>
      <w:r w:rsidR="00BB3376">
        <w:t xml:space="preserve">2019 </w:t>
      </w:r>
      <w:r w:rsidR="006A077D">
        <w:t xml:space="preserve">Progress Report </w:t>
      </w:r>
      <w:r w:rsidR="00BB3376">
        <w:t>that staffing challenges in Townsville resulted in ROMP accreditation being withdrawn until workforce is available for supervision roles, and supervisory workforce is a challenge in</w:t>
      </w:r>
      <w:r w:rsidR="008A4984">
        <w:t xml:space="preserve"> Tasmania.</w:t>
      </w:r>
      <w:r w:rsidR="005F7EBC">
        <w:rPr>
          <w:rFonts w:ascii="ZWAdobeF" w:hAnsi="ZWAdobeF" w:cs="ZWAdobeF"/>
          <w:sz w:val="2"/>
          <w:szCs w:val="2"/>
        </w:rPr>
        <w:t>26F</w:t>
      </w:r>
      <w:r w:rsidR="006A077D">
        <w:rPr>
          <w:rStyle w:val="FootnoteReference"/>
        </w:rPr>
        <w:footnoteReference w:id="28"/>
      </w:r>
      <w:r w:rsidR="008A4984">
        <w:t xml:space="preserve"> </w:t>
      </w:r>
      <w:r w:rsidR="004D0CAF">
        <w:t xml:space="preserve">Further, a surveyed </w:t>
      </w:r>
      <w:r w:rsidR="00F2288E">
        <w:t>Registrar who completed the RPS TEAP indicated that</w:t>
      </w:r>
      <w:r w:rsidR="001C350E">
        <w:t xml:space="preserve"> the RPS Stream is relying on a </w:t>
      </w:r>
      <w:r w:rsidR="0030615A">
        <w:t xml:space="preserve">single </w:t>
      </w:r>
      <w:r w:rsidR="001C350E">
        <w:t>retired professional to supervise</w:t>
      </w:r>
      <w:r w:rsidR="009D04EA">
        <w:t xml:space="preserve"> and administer the </w:t>
      </w:r>
      <w:r w:rsidR="0030615A">
        <w:t>program</w:t>
      </w:r>
      <w:r w:rsidR="00396F19">
        <w:t>, and that this is unsustainable</w:t>
      </w:r>
      <w:r w:rsidR="001C350E">
        <w:t>.</w:t>
      </w:r>
    </w:p>
    <w:p w14:paraId="2B6E41A5" w14:textId="77777777" w:rsidR="006E5C23" w:rsidRDefault="006E5C23" w:rsidP="006E5C23">
      <w:pPr>
        <w:pStyle w:val="Heading4"/>
        <w:rPr>
          <w:bCs/>
        </w:rPr>
      </w:pPr>
      <w:r w:rsidRPr="00504BA0">
        <w:t>Limited professional recognition</w:t>
      </w:r>
    </w:p>
    <w:p w14:paraId="3FD912A9" w14:textId="0716AC93" w:rsidR="006E5C23" w:rsidRDefault="006E5C23" w:rsidP="006E5C23">
      <w:pPr>
        <w:pStyle w:val="BodyText"/>
      </w:pPr>
      <w:r>
        <w:t>Challenges to obtaining professional recognition in the field of medical physics has been felt by the workforce globally.</w:t>
      </w:r>
      <w:r w:rsidRPr="004D2516">
        <w:rPr>
          <w:vertAlign w:val="superscript"/>
        </w:rPr>
        <w:fldChar w:fldCharType="begin"/>
      </w:r>
      <w:r w:rsidRPr="004D2516">
        <w:rPr>
          <w:vertAlign w:val="superscript"/>
        </w:rPr>
        <w:instrText xml:space="preserve"> NOTEREF _Ref181781534 \h </w:instrText>
      </w:r>
      <w:r>
        <w:rPr>
          <w:vertAlign w:val="superscript"/>
        </w:rPr>
        <w:instrText xml:space="preserve"> \* MERGEFORMAT </w:instrText>
      </w:r>
      <w:r w:rsidRPr="004D2516">
        <w:rPr>
          <w:vertAlign w:val="superscript"/>
        </w:rPr>
      </w:r>
      <w:r w:rsidRPr="004D2516">
        <w:rPr>
          <w:vertAlign w:val="superscript"/>
        </w:rPr>
        <w:fldChar w:fldCharType="separate"/>
      </w:r>
      <w:r w:rsidR="005F7EBC">
        <w:rPr>
          <w:vertAlign w:val="superscript"/>
        </w:rPr>
        <w:t>30</w:t>
      </w:r>
      <w:r w:rsidRPr="004D2516">
        <w:rPr>
          <w:vertAlign w:val="superscript"/>
        </w:rPr>
        <w:fldChar w:fldCharType="end"/>
      </w:r>
      <w:r>
        <w:t xml:space="preserve"> In consultation, stakeholders commonly expressed concern that the medical physicist workforce is small and generally poorly understood, resulting in a lack of professional recognition in Australia. While this barrier is contextual in nature, it has significant ramifications for the medical physicist workforce and the potential of the MPS Program to practically impact workforce numbers. This is because the number of available medical physicist employment positions are ultimately determined by hospital chief executives at the facility level. With the onus of negotiating staffing requirements with these executives falling upon the </w:t>
      </w:r>
      <w:r w:rsidR="00782963">
        <w:t>medical physicist</w:t>
      </w:r>
      <w:r>
        <w:t xml:space="preserve"> workforce, this broader lack of professional recognition poses a critical challenge for medical physicists seeking to expand their workforce. This was identified as an important reason for the limited number of permanent employment positions available to TEAP graduates.</w:t>
      </w:r>
    </w:p>
    <w:p w14:paraId="05ADAE52" w14:textId="77777777" w:rsidR="006E5C23" w:rsidRDefault="006E5C23" w:rsidP="006E5C23">
      <w:pPr>
        <w:pStyle w:val="BodyText"/>
      </w:pPr>
      <w:r>
        <w:t xml:space="preserve">When investigating the reasons for a lack of professional recognition, stakeholders considered the issue to stem from the lack of a clear and consistent definition of the role of a medical physicist, especially for DIMPs and RPSs, and the nature of the profession being focused on risk mitigation rather than directly impacting patient outcomes. Stakeholders also acknowledged that employing a medical physicist is costly. In addition to the cost of employing medical physicists, some enterprise bargaining agreements stipulate workforce structural requirements which pose an additional expense, such as in NSW where the employment of a second medical physicist requires a Department Head in the ward. Consequently, hospitals commonly face trade-offs between the employment of medical physicists and other hospital staffing priorities. </w:t>
      </w:r>
    </w:p>
    <w:p w14:paraId="730539DB" w14:textId="77777777" w:rsidR="006E5C23" w:rsidRDefault="006E5C23" w:rsidP="006E5C23">
      <w:pPr>
        <w:pStyle w:val="BodyText"/>
      </w:pPr>
      <w:r>
        <w:t>The cost, combined with a lack of broader recognition of the value of the medical physicist workforce, creates risk that medical physicists are considered an unnecessary expense by the hospital. In some cases, stakeholders raised that this has resulted in the medical physicist workforce being deprioritised within hospitals and has created increased pressures to reduce the medical physicist workforce when cutting costs across the hospital.</w:t>
      </w:r>
    </w:p>
    <w:p w14:paraId="2A897DFF" w14:textId="7E37449C" w:rsidR="006E5C23" w:rsidRDefault="006E5C23" w:rsidP="006E5C23">
      <w:pPr>
        <w:pStyle w:val="BodyText"/>
      </w:pPr>
      <w:r>
        <w:t xml:space="preserve">However, the extent of this challenge was found to vary across disciplines and geographies and was dependent upon funding structures and formal recognition by state/territory governments. The issue was generally highlighted more strongly by stakeholders from VIC and the DIMP workforce. However, it was noted that the impact on the ROMP workforce in the private sector is comparatively less, and this was attributed to the radiation oncology schedule in Medicare requiring a minimum staffing ratio in the private sector. Additionally, in QLD the fee-for-service model was recognised as an enabler for resourcing </w:t>
      </w:r>
      <w:r w:rsidR="00D35E9B">
        <w:t>medical physicists</w:t>
      </w:r>
      <w:r>
        <w:t xml:space="preserve"> as it provides senior management with oversight of demand for medical physicist services which can be used to justify team expansion. In NSW, DIMPs are recognised by NSW Health as a ‘small but critical workforce</w:t>
      </w:r>
      <w:proofErr w:type="gramStart"/>
      <w:r>
        <w:t>’, and</w:t>
      </w:r>
      <w:proofErr w:type="gramEnd"/>
      <w:r>
        <w:t xml:space="preserve"> subsequently receive investment from NSW Health including through the </w:t>
      </w:r>
      <w:r w:rsidRPr="00522DFB">
        <w:t>HETI</w:t>
      </w:r>
      <w:r>
        <w:t xml:space="preserve"> DIMP Education Support Program.</w:t>
      </w:r>
    </w:p>
    <w:p w14:paraId="77B367CA" w14:textId="24124B27" w:rsidR="006E5C23" w:rsidRPr="00A16001" w:rsidRDefault="006E5C23" w:rsidP="006E5C23">
      <w:pPr>
        <w:pStyle w:val="BodyText"/>
      </w:pPr>
      <w:r>
        <w:t xml:space="preserve">Some suggestions raised by stakeholders aimed at increasing the perceived value of the </w:t>
      </w:r>
      <w:r w:rsidR="00782963">
        <w:t>medical physicist</w:t>
      </w:r>
      <w:r>
        <w:t xml:space="preserve"> workforce include developing more concrete definitions of the roles and responsibilities of </w:t>
      </w:r>
      <w:r w:rsidR="009B71B4">
        <w:t>medical physicists</w:t>
      </w:r>
      <w:r>
        <w:t xml:space="preserve"> (particularly DIMPs), increasing the role of the Commonwealth government in politically elevating the workforce, delivering business case training to medical physicists to enable them to obtain funding for medical physicist positions, and investigating structural changes to formalise qualification requirements. For example, one stakeholder suggested consideration of making medical physicist a protected title whilst introducing a junior position as a supporting role that does not require the same level of qualification.</w:t>
      </w:r>
    </w:p>
    <w:p w14:paraId="4CEDFDAA" w14:textId="6C71B4EA" w:rsidR="006E5C23" w:rsidRDefault="006E5C23" w:rsidP="006E5C23">
      <w:pPr>
        <w:pStyle w:val="Heading4"/>
        <w:rPr>
          <w:bCs/>
        </w:rPr>
      </w:pPr>
      <w:r>
        <w:t xml:space="preserve">Availability of </w:t>
      </w:r>
      <w:r w:rsidR="000A4BAF">
        <w:t xml:space="preserve">TEAP and </w:t>
      </w:r>
      <w:r w:rsidR="00337C23">
        <w:t>employment positions</w:t>
      </w:r>
    </w:p>
    <w:p w14:paraId="5C0890E2" w14:textId="4117F300" w:rsidR="000C19E3" w:rsidRDefault="00337C23" w:rsidP="000C19E3">
      <w:pPr>
        <w:pStyle w:val="BodyText"/>
      </w:pPr>
      <w:r>
        <w:t xml:space="preserve">Despite growing demand for </w:t>
      </w:r>
      <w:r w:rsidR="00782963">
        <w:t>medical physicist</w:t>
      </w:r>
      <w:r>
        <w:t xml:space="preserve"> services </w:t>
      </w:r>
      <w:r w:rsidR="00B846A1">
        <w:t xml:space="preserve">(see </w:t>
      </w:r>
      <w:r w:rsidR="002873E0">
        <w:t>S</w:t>
      </w:r>
      <w:r w:rsidR="00B846A1">
        <w:t xml:space="preserve">ection </w:t>
      </w:r>
      <w:r w:rsidR="00B846A1">
        <w:fldChar w:fldCharType="begin" w:fldLock="1"/>
      </w:r>
      <w:r w:rsidR="00B846A1">
        <w:instrText xml:space="preserve"> REF _Ref184204351 \r \h </w:instrText>
      </w:r>
      <w:r w:rsidR="00B846A1">
        <w:fldChar w:fldCharType="separate"/>
      </w:r>
      <w:r w:rsidR="00B846A1">
        <w:t>3.2.1</w:t>
      </w:r>
      <w:r w:rsidR="00B846A1">
        <w:fldChar w:fldCharType="end"/>
      </w:r>
      <w:r w:rsidR="00B846A1">
        <w:t>)</w:t>
      </w:r>
      <w:r>
        <w:t xml:space="preserve"> and </w:t>
      </w:r>
      <w:r w:rsidR="00B846A1">
        <w:t>most consultations reporting</w:t>
      </w:r>
      <w:r>
        <w:t xml:space="preserve"> a high number of university graduates interested in pursuing a career as a </w:t>
      </w:r>
      <w:r w:rsidR="00782963">
        <w:t>medical physicist</w:t>
      </w:r>
      <w:r>
        <w:t xml:space="preserve">, the availability of TEAP training positions and permanent positions was found to be limited. </w:t>
      </w:r>
      <w:r w:rsidR="000C19E3">
        <w:t xml:space="preserve">In consultation with experienced medical physicists, </w:t>
      </w:r>
      <w:r w:rsidR="00E03A1D">
        <w:t>S</w:t>
      </w:r>
      <w:r w:rsidR="000C19E3">
        <w:t xml:space="preserve">upervisors and </w:t>
      </w:r>
      <w:r w:rsidR="00E03A1D">
        <w:t>R</w:t>
      </w:r>
      <w:r w:rsidR="000C19E3">
        <w:t>egistrars, at least ten stakeholders were consistent in highlighting that the pipeline of university graduates is significantly larger than the number of available TEAP positions, resulting in very strong competition for placement into the program.</w:t>
      </w:r>
    </w:p>
    <w:p w14:paraId="1973466F" w14:textId="0E1807A6" w:rsidR="00441198" w:rsidRPr="000911B4" w:rsidRDefault="00337C23" w:rsidP="000911B4">
      <w:pPr>
        <w:pStyle w:val="BodyText"/>
      </w:pPr>
      <w:r>
        <w:t xml:space="preserve">The evaluation also found that the availability of permanent positions following certification through TEAP </w:t>
      </w:r>
      <w:r w:rsidR="00F105C2">
        <w:t>w</w:t>
      </w:r>
      <w:r>
        <w:t xml:space="preserve">ere limited and not guaranteed, and that availability </w:t>
      </w:r>
      <w:r w:rsidRPr="00880414">
        <w:t>varied by region.</w:t>
      </w:r>
      <w:r>
        <w:t xml:space="preserve"> The 2023 evaluation of the HETI DIMP Education program found that in NSW, continuing to train, and not retain, TEAP graduates is a systematic problem that must be addressed.</w:t>
      </w:r>
      <w:bookmarkStart w:id="90" w:name="_Ref184119449"/>
      <w:r w:rsidR="005F7EBC">
        <w:rPr>
          <w:rFonts w:ascii="ZWAdobeF" w:hAnsi="ZWAdobeF" w:cs="ZWAdobeF"/>
          <w:sz w:val="2"/>
          <w:szCs w:val="2"/>
        </w:rPr>
        <w:t>27F</w:t>
      </w:r>
      <w:r>
        <w:rPr>
          <w:rStyle w:val="FootnoteReference"/>
        </w:rPr>
        <w:footnoteReference w:id="29"/>
      </w:r>
      <w:bookmarkEnd w:id="90"/>
      <w:r>
        <w:t xml:space="preserve"> The lack of employment positions available to TEAP graduates can be linked to several barriers faced by the workforce, including the high cost of employing medical physicists, prioritisation and funding of the workforce by jurisdictions, and a lack of broader recognition of the value of the workforce. </w:t>
      </w:r>
      <w:r w:rsidR="00812C8E">
        <w:t xml:space="preserve">This barrier impacts the ability of the MPS Program to </w:t>
      </w:r>
      <w:r w:rsidR="00B72A30">
        <w:t>create a robust workforce supply.</w:t>
      </w:r>
    </w:p>
    <w:p w14:paraId="7EAD2531" w14:textId="77777777" w:rsidR="00D619BB" w:rsidRDefault="00D619BB">
      <w:pPr>
        <w:spacing w:before="0" w:after="160" w:line="259" w:lineRule="auto"/>
        <w:rPr>
          <w:rFonts w:ascii="KPMG Bold" w:eastAsiaTheme="majorEastAsia" w:hAnsi="KPMG Bold" w:cstheme="majorBidi"/>
          <w:color w:val="1E49E2" w:themeColor="accent2"/>
          <w:sz w:val="40"/>
          <w:szCs w:val="26"/>
        </w:rPr>
      </w:pPr>
      <w:bookmarkStart w:id="91" w:name="_Ref181947104"/>
      <w:r>
        <w:br w:type="page"/>
      </w:r>
    </w:p>
    <w:p w14:paraId="7526F9E4" w14:textId="3CD49457" w:rsidR="00075D94" w:rsidRPr="000F3344" w:rsidRDefault="00910494" w:rsidP="00273E1A">
      <w:pPr>
        <w:pStyle w:val="Heading2"/>
      </w:pPr>
      <w:bookmarkStart w:id="92" w:name="_Toc184396568"/>
      <w:bookmarkStart w:id="93" w:name="_Toc216711585"/>
      <w:bookmarkStart w:id="94" w:name="_Toc216791996"/>
      <w:bookmarkEnd w:id="91"/>
      <w:r>
        <w:t>KEQ2: Is the MPS Program still the right response?</w:t>
      </w:r>
      <w:bookmarkEnd w:id="92"/>
      <w:bookmarkEnd w:id="93"/>
      <w:bookmarkEnd w:id="94"/>
    </w:p>
    <w:p w14:paraId="2E3034AE" w14:textId="77777777" w:rsidR="001A4E59" w:rsidRPr="00242835" w:rsidRDefault="000F3344" w:rsidP="00242835">
      <w:r w:rsidRPr="00242835">
        <w:t>The appropriateness evaluation domain of inquiry is focused on assessing the extent to which the MPS Program design and approach has met a need and was suitable in achieving its intended outcomes.</w:t>
      </w:r>
      <w:r w:rsidR="006A7275" w:rsidRPr="00242835">
        <w:t xml:space="preserve"> T</w:t>
      </w:r>
      <w:r w:rsidR="00334BE0" w:rsidRPr="00242835">
        <w:t>h</w:t>
      </w:r>
      <w:r w:rsidR="00C70FD1" w:rsidRPr="00242835">
        <w:t>is Section investigates the following sub</w:t>
      </w:r>
      <w:r w:rsidR="001A4E59" w:rsidRPr="00242835">
        <w:t>-questions:</w:t>
      </w:r>
    </w:p>
    <w:p w14:paraId="7E104911" w14:textId="01A02BAF" w:rsidR="007B6343" w:rsidRPr="00242835" w:rsidRDefault="007B6343" w:rsidP="00242835">
      <w:r w:rsidRPr="00242835">
        <w:t xml:space="preserve">2.1. </w:t>
      </w:r>
      <w:r w:rsidR="007E5FD5" w:rsidRPr="00242835">
        <w:t>To what extent is the MPS Program contributing to the medical physics workforce need?</w:t>
      </w:r>
    </w:p>
    <w:p w14:paraId="24AB3C8A" w14:textId="78682574" w:rsidR="003D2597" w:rsidRPr="00242835" w:rsidRDefault="003D2597" w:rsidP="00242835">
      <w:r w:rsidRPr="00242835">
        <w:t xml:space="preserve">2.2. </w:t>
      </w:r>
      <w:r w:rsidR="00E93D62" w:rsidRPr="00242835">
        <w:t>How does the MPS Program fit into broader workforce initiatives (both federal and state and territory level)?</w:t>
      </w:r>
    </w:p>
    <w:p w14:paraId="7DAC20D2" w14:textId="4C2138A7" w:rsidR="00E93D62" w:rsidRPr="00242835" w:rsidRDefault="00E93D62" w:rsidP="00242835">
      <w:r w:rsidRPr="00242835">
        <w:t xml:space="preserve">2.3. </w:t>
      </w:r>
      <w:r w:rsidR="00555573" w:rsidRPr="00242835">
        <w:t>To what extent is the MPS Program supply meeting the workforce demand?</w:t>
      </w:r>
    </w:p>
    <w:p w14:paraId="520FB8D0" w14:textId="2601F0AC" w:rsidR="001F65E4" w:rsidRPr="00242835" w:rsidRDefault="00555573" w:rsidP="00242835">
      <w:r w:rsidRPr="00242835">
        <w:t>2.</w:t>
      </w:r>
      <w:r w:rsidR="00213B7E" w:rsidRPr="00242835">
        <w:t>4</w:t>
      </w:r>
      <w:r w:rsidRPr="00242835">
        <w:t xml:space="preserve">. </w:t>
      </w:r>
      <w:r w:rsidR="001F65E4" w:rsidRPr="00242835">
        <w:t>How well does the MPS Program align with government priorities?</w:t>
      </w:r>
    </w:p>
    <w:p w14:paraId="746F366A" w14:textId="77777777" w:rsidR="00850B5E" w:rsidRPr="00242835" w:rsidRDefault="00850B5E" w:rsidP="00242835"/>
    <w:tbl>
      <w:tblPr>
        <w:tblStyle w:val="TableGrid"/>
        <w:tblW w:w="9870" w:type="dxa"/>
        <w:tblLook w:val="04A0" w:firstRow="1" w:lastRow="0" w:firstColumn="1" w:lastColumn="0" w:noHBand="0" w:noVBand="1"/>
      </w:tblPr>
      <w:tblGrid>
        <w:gridCol w:w="1408"/>
        <w:gridCol w:w="8462"/>
      </w:tblGrid>
      <w:tr w:rsidR="00850B5E" w14:paraId="0F10B866" w14:textId="77777777">
        <w:trPr>
          <w:cnfStyle w:val="100000000000" w:firstRow="1" w:lastRow="0" w:firstColumn="0" w:lastColumn="0" w:oddVBand="0" w:evenVBand="0" w:oddHBand="0" w:evenHBand="0" w:firstRowFirstColumn="0" w:firstRowLastColumn="0" w:lastRowFirstColumn="0" w:lastRowLastColumn="0"/>
          <w:trHeight w:val="148"/>
        </w:trPr>
        <w:tc>
          <w:tcPr>
            <w:tcW w:w="1408" w:type="dxa"/>
            <w:tcMar>
              <w:top w:w="113" w:type="dxa"/>
              <w:left w:w="227" w:type="dxa"/>
              <w:bottom w:w="113" w:type="dxa"/>
              <w:right w:w="113" w:type="dxa"/>
            </w:tcMar>
          </w:tcPr>
          <w:p w14:paraId="0657B915" w14:textId="77777777" w:rsidR="00850B5E" w:rsidRPr="00DC6578" w:rsidRDefault="00850B5E">
            <w:pPr>
              <w:rPr>
                <w:rFonts w:cs="Arial"/>
                <w:b/>
                <w:bCs/>
              </w:rPr>
            </w:pPr>
            <w:r>
              <w:rPr>
                <w:rFonts w:cs="Arial"/>
                <w:b/>
                <w:bCs/>
                <w:noProof/>
              </w:rPr>
              <w:drawing>
                <wp:inline distT="0" distB="0" distL="0" distR="0" wp14:anchorId="3F0B522C" wp14:editId="7230A62D">
                  <wp:extent cx="283780" cy="283780"/>
                  <wp:effectExtent l="0" t="0" r="0" b="0"/>
                  <wp:docPr id="17742702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70237" name="Graphic 37">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flipH="1">
                            <a:off x="0" y="0"/>
                            <a:ext cx="292646" cy="292646"/>
                          </a:xfrm>
                          <a:prstGeom prst="rect">
                            <a:avLst/>
                          </a:prstGeom>
                        </pic:spPr>
                      </pic:pic>
                    </a:graphicData>
                  </a:graphic>
                </wp:inline>
              </w:drawing>
            </w:r>
          </w:p>
        </w:tc>
        <w:tc>
          <w:tcPr>
            <w:tcW w:w="8462" w:type="dxa"/>
            <w:vAlign w:val="center"/>
          </w:tcPr>
          <w:p w14:paraId="6E640B41" w14:textId="77777777" w:rsidR="00850B5E" w:rsidRPr="00DC6578" w:rsidRDefault="00850B5E">
            <w:pPr>
              <w:rPr>
                <w:rFonts w:cs="Arial"/>
                <w:b/>
                <w:bCs/>
              </w:rPr>
            </w:pPr>
            <w:r w:rsidRPr="00DC6578">
              <w:rPr>
                <w:rFonts w:cs="Arial"/>
                <w:b/>
                <w:bCs/>
              </w:rPr>
              <w:t>Key</w:t>
            </w:r>
            <w:r>
              <w:rPr>
                <w:rFonts w:cs="Arial"/>
                <w:b/>
                <w:bCs/>
              </w:rPr>
              <w:t xml:space="preserve"> </w:t>
            </w:r>
            <w:r w:rsidRPr="00DC6578">
              <w:rPr>
                <w:rFonts w:cs="Arial"/>
                <w:b/>
                <w:bCs/>
              </w:rPr>
              <w:t>findings</w:t>
            </w:r>
          </w:p>
        </w:tc>
      </w:tr>
      <w:tr w:rsidR="00850B5E" w14:paraId="1013B26D" w14:textId="77777777">
        <w:trPr>
          <w:cnfStyle w:val="000000100000" w:firstRow="0" w:lastRow="0" w:firstColumn="0" w:lastColumn="0" w:oddVBand="0" w:evenVBand="0" w:oddHBand="1" w:evenHBand="0" w:firstRowFirstColumn="0" w:firstRowLastColumn="0" w:lastRowFirstColumn="0" w:lastRowLastColumn="0"/>
          <w:trHeight w:val="148"/>
        </w:trPr>
        <w:tc>
          <w:tcPr>
            <w:tcW w:w="9870" w:type="dxa"/>
            <w:gridSpan w:val="2"/>
            <w:tcBorders>
              <w:bottom w:val="single" w:sz="2" w:space="0" w:color="1E49E2"/>
            </w:tcBorders>
            <w:shd w:val="clear" w:color="auto" w:fill="F1F4FE"/>
            <w:tcMar>
              <w:top w:w="113" w:type="dxa"/>
              <w:left w:w="227" w:type="dxa"/>
              <w:bottom w:w="113" w:type="dxa"/>
              <w:right w:w="113" w:type="dxa"/>
            </w:tcMar>
          </w:tcPr>
          <w:p w14:paraId="0F7ED73B" w14:textId="79F626CB" w:rsidR="00850B5E" w:rsidRPr="00DC6578" w:rsidRDefault="00850B5E">
            <w:pPr>
              <w:rPr>
                <w:rFonts w:cs="Arial"/>
                <w:b/>
                <w:bCs/>
              </w:rPr>
            </w:pPr>
            <w:r w:rsidRPr="00850B5E">
              <w:rPr>
                <w:rFonts w:cs="Arial"/>
                <w:b/>
                <w:bCs/>
                <w:color w:val="1E49E2" w:themeColor="accent2"/>
              </w:rPr>
              <w:t>The MPS Program remains an appropriate response to address medical physicist and RPS workforce demand, challenges and future needs.</w:t>
            </w:r>
          </w:p>
        </w:tc>
      </w:tr>
      <w:tr w:rsidR="00850B5E" w14:paraId="3C84E98E" w14:textId="77777777">
        <w:trPr>
          <w:trHeight w:val="148"/>
        </w:trPr>
        <w:tc>
          <w:tcPr>
            <w:tcW w:w="9870" w:type="dxa"/>
            <w:gridSpan w:val="2"/>
            <w:tcBorders>
              <w:top w:val="single" w:sz="2" w:space="0" w:color="1E49E2"/>
              <w:bottom w:val="single" w:sz="2" w:space="0" w:color="1E49E2"/>
            </w:tcBorders>
            <w:shd w:val="clear" w:color="auto" w:fill="F2F2F2" w:themeFill="background1" w:themeFillShade="F2"/>
            <w:tcMar>
              <w:top w:w="113" w:type="dxa"/>
              <w:left w:w="227" w:type="dxa"/>
              <w:bottom w:w="113" w:type="dxa"/>
              <w:right w:w="113" w:type="dxa"/>
            </w:tcMar>
          </w:tcPr>
          <w:p w14:paraId="5EB0B7B8" w14:textId="5129F24A" w:rsidR="00850B5E" w:rsidRPr="00FC52D1" w:rsidRDefault="00850B5E">
            <w:pPr>
              <w:rPr>
                <w:rFonts w:cs="Arial"/>
                <w:i/>
              </w:rPr>
            </w:pPr>
            <w:r w:rsidRPr="008E2AB5">
              <w:rPr>
                <w:rFonts w:cs="Arial"/>
                <w:b/>
                <w:bCs/>
                <w:color w:val="1E49E2" w:themeColor="accent2"/>
              </w:rPr>
              <w:t>Strength of evidence:</w:t>
            </w:r>
            <w:r>
              <w:rPr>
                <w:rFonts w:cs="Arial"/>
                <w:b/>
                <w:bCs/>
              </w:rPr>
              <w:t xml:space="preserve"> </w:t>
            </w:r>
            <w:r w:rsidRPr="00317726">
              <w:rPr>
                <w:rFonts w:cs="Arial"/>
              </w:rPr>
              <w:t>There is</w:t>
            </w:r>
            <w:r>
              <w:rPr>
                <w:rFonts w:cs="Arial"/>
                <w:b/>
                <w:bCs/>
              </w:rPr>
              <w:t xml:space="preserve"> </w:t>
            </w:r>
            <w:r w:rsidRPr="00317726">
              <w:rPr>
                <w:rFonts w:cs="Arial"/>
                <w:b/>
                <w:bCs/>
              </w:rPr>
              <w:t>some</w:t>
            </w:r>
            <w:r w:rsidRPr="00317726">
              <w:rPr>
                <w:rFonts w:cs="Arial"/>
                <w:b/>
              </w:rPr>
              <w:t xml:space="preserve"> evidence</w:t>
            </w:r>
            <w:r>
              <w:rPr>
                <w:rFonts w:cs="Arial"/>
              </w:rPr>
              <w:t xml:space="preserve"> to support these findings, however, data limitations exist.</w:t>
            </w:r>
          </w:p>
        </w:tc>
      </w:tr>
      <w:tr w:rsidR="00850B5E" w14:paraId="78797EAD" w14:textId="77777777">
        <w:trPr>
          <w:cnfStyle w:val="000000100000" w:firstRow="0" w:lastRow="0" w:firstColumn="0" w:lastColumn="0" w:oddVBand="0" w:evenVBand="0" w:oddHBand="1" w:evenHBand="0" w:firstRowFirstColumn="0" w:firstRowLastColumn="0" w:lastRowFirstColumn="0" w:lastRowLastColumn="0"/>
          <w:trHeight w:val="2454"/>
        </w:trPr>
        <w:tc>
          <w:tcPr>
            <w:tcW w:w="9870" w:type="dxa"/>
            <w:gridSpan w:val="2"/>
            <w:tcBorders>
              <w:top w:val="single" w:sz="2" w:space="0" w:color="1E49E2"/>
              <w:bottom w:val="single" w:sz="2" w:space="0" w:color="1E49E2"/>
            </w:tcBorders>
            <w:tcMar>
              <w:top w:w="113" w:type="dxa"/>
              <w:left w:w="227" w:type="dxa"/>
              <w:bottom w:w="113" w:type="dxa"/>
              <w:right w:w="113" w:type="dxa"/>
            </w:tcMar>
          </w:tcPr>
          <w:p w14:paraId="5200D303" w14:textId="77777777" w:rsidR="00850B5E" w:rsidRDefault="00850B5E">
            <w:pPr>
              <w:pStyle w:val="Tablelistbullet"/>
              <w:numPr>
                <w:ilvl w:val="0"/>
                <w:numId w:val="0"/>
              </w:numPr>
              <w:ind w:left="360" w:hanging="360"/>
            </w:pPr>
            <w:r>
              <w:rPr>
                <w:rFonts w:cs="Arial"/>
                <w:b/>
                <w:bCs/>
                <w:color w:val="1E49E2" w:themeColor="accent2"/>
              </w:rPr>
              <w:t>Key findings</w:t>
            </w:r>
          </w:p>
          <w:p w14:paraId="44DEBE63" w14:textId="4653B687" w:rsidR="00850B5E" w:rsidRDefault="00850B5E" w:rsidP="00850B5E">
            <w:pPr>
              <w:pStyle w:val="Tablelistbullet"/>
            </w:pPr>
            <w:r>
              <w:t xml:space="preserve">According to consultations and international literature, medical physicists form a small yet critical component of the medical workforce in Australia, playing an important role in ensuring the safety, quality and effectiveness of patient diagnosis and treatment in areas including radiotherapy, nuclear medicine, and diagnostic radiology. Consultations and literature both speak to the importance of TEAP for the development of a robust pipeline of QMPs to respond to rising demand for medical physicist services and increasing emphasis on quality and safety into the future. </w:t>
            </w:r>
          </w:p>
          <w:p w14:paraId="303AC278" w14:textId="2C3A912F" w:rsidR="00850B5E" w:rsidRDefault="00850B5E" w:rsidP="00850B5E">
            <w:pPr>
              <w:pStyle w:val="Tablelistbullet"/>
            </w:pPr>
            <w:r>
              <w:t xml:space="preserve">Limitations in workforce data and modelling impact the ability to determine whether the pipeline of TEAP graduates is meeting workforce demand. In consultation, stakeholders frequently highlighted that despite a high number of university graduates, </w:t>
            </w:r>
            <w:r w:rsidRPr="001A3939">
              <w:t>the availability of TEAP training positions and subsequent permanent employment opportunities remains limited</w:t>
            </w:r>
            <w:r>
              <w:t>.</w:t>
            </w:r>
          </w:p>
          <w:p w14:paraId="59433BA7" w14:textId="77777777" w:rsidR="00850B5E" w:rsidRDefault="00850B5E" w:rsidP="00850B5E">
            <w:pPr>
              <w:pStyle w:val="Tablelistbullet"/>
            </w:pPr>
            <w:r>
              <w:t>As well as developing a QMP workforce through TEAP, the broader activities funded through the MPS Program are appropriate in responding to workforce challenges of recruiting and retaining workforce in regional and remote areas, responding to advancements in technologies and practices, and developing workforce maturity and professional recognition. Examples of MPS Program activities which have been designed to address these workforce needs include the prioritisation of TEAP grants for regional and remote facilities, the RIFP, dynamic TEAP curriculum review, CPD activities, and developing Scopes of Practices.</w:t>
            </w:r>
          </w:p>
          <w:p w14:paraId="5D21E5CB" w14:textId="00631A86" w:rsidR="00850B5E" w:rsidRPr="00FC52D1" w:rsidRDefault="00850B5E" w:rsidP="00850B5E">
            <w:pPr>
              <w:pStyle w:val="Tablelistbullet"/>
            </w:pPr>
            <w:r w:rsidRPr="00E5052D">
              <w:t>The MPS Program is broadly aligned with the training and workforce distribution components of strategies and plans that have been developed at both a State and National level. Outside the STP, the MPS Program is unique in the funding that it provides to support trainees and for the funding provided to ACPSEM for the development of the TEAP curriculum</w:t>
            </w:r>
            <w:r w:rsidRPr="008034E8">
              <w:t>.</w:t>
            </w:r>
          </w:p>
        </w:tc>
      </w:tr>
      <w:tr w:rsidR="00850B5E" w14:paraId="075E12FE" w14:textId="77777777">
        <w:trPr>
          <w:trHeight w:val="333"/>
        </w:trPr>
        <w:tc>
          <w:tcPr>
            <w:tcW w:w="9870" w:type="dxa"/>
            <w:gridSpan w:val="2"/>
            <w:tcBorders>
              <w:top w:val="single" w:sz="2" w:space="0" w:color="1E49E2"/>
            </w:tcBorders>
            <w:shd w:val="clear" w:color="auto" w:fill="F2F2F2" w:themeFill="background1" w:themeFillShade="F2"/>
            <w:tcMar>
              <w:top w:w="113" w:type="dxa"/>
              <w:left w:w="227" w:type="dxa"/>
              <w:bottom w:w="113" w:type="dxa"/>
              <w:right w:w="113" w:type="dxa"/>
            </w:tcMar>
          </w:tcPr>
          <w:p w14:paraId="67FD9C32" w14:textId="5DE07C1C" w:rsidR="00850B5E" w:rsidRPr="00582C82" w:rsidRDefault="00850B5E" w:rsidP="00850B5E">
            <w:pPr>
              <w:pStyle w:val="Tablelistbullet"/>
              <w:numPr>
                <w:ilvl w:val="0"/>
                <w:numId w:val="0"/>
              </w:numPr>
            </w:pPr>
            <w:r w:rsidRPr="00E34DB1">
              <w:rPr>
                <w:rFonts w:cs="Arial"/>
                <w:b/>
                <w:color w:val="1E49E2" w:themeColor="accent2"/>
              </w:rPr>
              <w:t>Limitations:</w:t>
            </w:r>
            <w:r>
              <w:t xml:space="preserve"> </w:t>
            </w:r>
            <w:r w:rsidRPr="00850B5E">
              <w:rPr>
                <w:rFonts w:cs="Arial"/>
              </w:rPr>
              <w:t>Applicable data limitations to KEQ2 include information availability, third party information,</w:t>
            </w:r>
            <w:r>
              <w:rPr>
                <w:rFonts w:cs="Arial"/>
              </w:rPr>
              <w:t xml:space="preserve"> </w:t>
            </w:r>
            <w:r w:rsidRPr="00850B5E">
              <w:rPr>
                <w:rFonts w:cs="Arial"/>
              </w:rPr>
              <w:t>stakeholder consultation pool and RPS limitations</w:t>
            </w:r>
            <w:r>
              <w:rPr>
                <w:rFonts w:cs="Arial"/>
              </w:rPr>
              <w:t>.</w:t>
            </w:r>
          </w:p>
        </w:tc>
      </w:tr>
    </w:tbl>
    <w:p w14:paraId="10F048C9" w14:textId="11581113" w:rsidR="00C32646" w:rsidRPr="00AE349D" w:rsidRDefault="00DD4B25" w:rsidP="00AE349D">
      <w:pPr>
        <w:pStyle w:val="Heading3"/>
      </w:pPr>
      <w:bookmarkStart w:id="95" w:name="_Ref184204351"/>
      <w:bookmarkStart w:id="96" w:name="_Toc216711586"/>
      <w:r w:rsidRPr="00AE349D">
        <w:t>M</w:t>
      </w:r>
      <w:r w:rsidR="00110F58" w:rsidRPr="00AE349D">
        <w:t xml:space="preserve">edical physics workforce </w:t>
      </w:r>
      <w:proofErr w:type="gramStart"/>
      <w:r w:rsidR="00110F58" w:rsidRPr="00AE349D">
        <w:t>need</w:t>
      </w:r>
      <w:bookmarkEnd w:id="95"/>
      <w:bookmarkEnd w:id="96"/>
      <w:proofErr w:type="gramEnd"/>
    </w:p>
    <w:p w14:paraId="670CE4CF" w14:textId="69449EA1" w:rsidR="00110F58" w:rsidRDefault="001D0ACB" w:rsidP="00C7227B">
      <w:pPr>
        <w:pStyle w:val="BodyText"/>
      </w:pPr>
      <w:r>
        <w:t xml:space="preserve">The MPS Program </w:t>
      </w:r>
      <w:r w:rsidR="00CE7E7B">
        <w:t>funds various activities</w:t>
      </w:r>
      <w:r>
        <w:t xml:space="preserve"> with the aim to increase the capacity and upskilling of the medical physicist and </w:t>
      </w:r>
      <w:r w:rsidR="00CE7E7B">
        <w:t>RPS workforce. Th</w:t>
      </w:r>
      <w:r w:rsidR="00B47FFE">
        <w:t xml:space="preserve">e activities, outputs, and outcomes of the </w:t>
      </w:r>
      <w:r w:rsidR="00DE087D">
        <w:t>Program are detailed in the Program Logic (</w:t>
      </w:r>
      <w:r w:rsidR="00CE5103">
        <w:fldChar w:fldCharType="begin" w:fldLock="1"/>
      </w:r>
      <w:r w:rsidR="00CE5103">
        <w:instrText xml:space="preserve"> REF _Ref180588116 \h </w:instrText>
      </w:r>
      <w:r w:rsidR="00CE5103">
        <w:fldChar w:fldCharType="separate"/>
      </w:r>
      <w:r w:rsidR="00D35A75">
        <w:t xml:space="preserve">Figure </w:t>
      </w:r>
      <w:r w:rsidR="00D35A75">
        <w:rPr>
          <w:noProof/>
        </w:rPr>
        <w:t>2</w:t>
      </w:r>
      <w:r w:rsidR="00CE5103">
        <w:fldChar w:fldCharType="end"/>
      </w:r>
      <w:r w:rsidR="00CE5103">
        <w:t xml:space="preserve">). </w:t>
      </w:r>
      <w:r w:rsidR="00C13050">
        <w:t>The extent to which the MPS Program is contributing to the</w:t>
      </w:r>
      <w:r w:rsidR="00E949C8">
        <w:t xml:space="preserve"> development of the</w:t>
      </w:r>
      <w:r w:rsidR="00C13050">
        <w:t xml:space="preserve"> medical physics workforce is explored </w:t>
      </w:r>
      <w:r w:rsidR="00CB4103">
        <w:t xml:space="preserve">in this </w:t>
      </w:r>
      <w:r w:rsidR="000F09D0">
        <w:t xml:space="preserve">Section and is summarised in </w:t>
      </w:r>
      <w:r w:rsidR="000F09D0">
        <w:fldChar w:fldCharType="begin" w:fldLock="1"/>
      </w:r>
      <w:r w:rsidR="000F09D0">
        <w:instrText xml:space="preserve"> REF _Ref182304579 \h </w:instrText>
      </w:r>
      <w:r w:rsidR="000F09D0">
        <w:fldChar w:fldCharType="separate"/>
      </w:r>
      <w:r w:rsidR="00D35A75">
        <w:t xml:space="preserve">Table </w:t>
      </w:r>
      <w:r w:rsidR="00D35A75">
        <w:rPr>
          <w:noProof/>
        </w:rPr>
        <w:t>5</w:t>
      </w:r>
      <w:r w:rsidR="000F09D0">
        <w:fldChar w:fldCharType="end"/>
      </w:r>
      <w:r w:rsidR="000F09D0">
        <w:t xml:space="preserve"> below.</w:t>
      </w:r>
    </w:p>
    <w:p w14:paraId="072D3AF6" w14:textId="0F6C01C9" w:rsidR="00C7227B" w:rsidRPr="00C7227B" w:rsidRDefault="00F430BD" w:rsidP="00C7227B">
      <w:pPr>
        <w:pStyle w:val="BodyText"/>
      </w:pPr>
      <w:r>
        <w:t>It is important to n</w:t>
      </w:r>
      <w:r w:rsidR="00C7227B">
        <w:t xml:space="preserve">ote that this </w:t>
      </w:r>
      <w:r w:rsidR="00110F58">
        <w:t>analysis</w:t>
      </w:r>
      <w:r w:rsidR="00C7227B">
        <w:t xml:space="preserve"> is focused on the extent to which MPS Program </w:t>
      </w:r>
      <w:r w:rsidR="005845CB">
        <w:t xml:space="preserve">design and approach, with consideration of Program </w:t>
      </w:r>
      <w:r w:rsidR="00C7227B">
        <w:t>objectives and activities</w:t>
      </w:r>
      <w:r w:rsidR="005845CB">
        <w:t>,</w:t>
      </w:r>
      <w:r w:rsidR="004515CF">
        <w:t xml:space="preserve"> are</w:t>
      </w:r>
      <w:r w:rsidR="00943983">
        <w:t xml:space="preserve"> </w:t>
      </w:r>
      <w:r w:rsidR="00CF68A8">
        <w:t xml:space="preserve">addressing workforce need. The extent to which these initiatives have been effective in </w:t>
      </w:r>
      <w:r>
        <w:t xml:space="preserve">achieving their intended outcomes is explored in Section </w:t>
      </w:r>
      <w:r w:rsidR="005733F8">
        <w:fldChar w:fldCharType="begin" w:fldLock="1"/>
      </w:r>
      <w:r w:rsidR="005733F8">
        <w:instrText xml:space="preserve"> REF _Ref181947044 \r \h </w:instrText>
      </w:r>
      <w:r w:rsidR="005733F8">
        <w:fldChar w:fldCharType="separate"/>
      </w:r>
      <w:r w:rsidR="00D35A75">
        <w:t>3.5</w:t>
      </w:r>
      <w:r w:rsidR="005733F8">
        <w:fldChar w:fldCharType="end"/>
      </w:r>
      <w:r w:rsidR="005733F8">
        <w:t>).</w:t>
      </w:r>
    </w:p>
    <w:p w14:paraId="7A7CEE42" w14:textId="7C2F4EA8" w:rsidR="00C32646" w:rsidRDefault="00C32646" w:rsidP="00C32646">
      <w:pPr>
        <w:pStyle w:val="Caption"/>
      </w:pPr>
      <w:bookmarkStart w:id="97" w:name="_Ref182304579"/>
      <w:r>
        <w:t xml:space="preserve">Table </w:t>
      </w:r>
      <w:r>
        <w:fldChar w:fldCharType="begin"/>
      </w:r>
      <w:r>
        <w:instrText xml:space="preserve"> SEQ Table \* ARABIC </w:instrText>
      </w:r>
      <w:r>
        <w:fldChar w:fldCharType="separate"/>
      </w:r>
      <w:r w:rsidR="005F7EBC">
        <w:rPr>
          <w:noProof/>
        </w:rPr>
        <w:t>5</w:t>
      </w:r>
      <w:r>
        <w:fldChar w:fldCharType="end"/>
      </w:r>
      <w:bookmarkEnd w:id="97"/>
      <w:r>
        <w:t xml:space="preserve">: </w:t>
      </w:r>
      <w:r w:rsidR="008A3D03">
        <w:t xml:space="preserve">Summary of the </w:t>
      </w:r>
      <w:r w:rsidR="009447F7">
        <w:t xml:space="preserve">medical physics workforce need and </w:t>
      </w:r>
      <w:r w:rsidR="00110F58">
        <w:t xml:space="preserve">how </w:t>
      </w:r>
      <w:r w:rsidR="009447F7">
        <w:t xml:space="preserve">the </w:t>
      </w:r>
      <w:r w:rsidR="008A3D03">
        <w:t>MPS Program</w:t>
      </w:r>
      <w:r w:rsidR="00110F58">
        <w:t xml:space="preserve"> contributes to workforce need</w:t>
      </w:r>
    </w:p>
    <w:tbl>
      <w:tblPr>
        <w:tblStyle w:val="GridTable1Light-Accent1"/>
        <w:tblW w:w="0" w:type="auto"/>
        <w:tblLook w:val="04A0" w:firstRow="1" w:lastRow="0" w:firstColumn="1" w:lastColumn="0" w:noHBand="0" w:noVBand="1"/>
      </w:tblPr>
      <w:tblGrid>
        <w:gridCol w:w="4390"/>
        <w:gridCol w:w="425"/>
        <w:gridCol w:w="4813"/>
      </w:tblGrid>
      <w:tr w:rsidR="00E54CEA" w14:paraId="695378C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il"/>
              <w:left w:val="nil"/>
            </w:tcBorders>
            <w:shd w:val="clear" w:color="auto" w:fill="F1F4FE"/>
          </w:tcPr>
          <w:p w14:paraId="25CD4E7E" w14:textId="08866D4B" w:rsidR="00E54CEA" w:rsidRPr="000F42F2" w:rsidRDefault="00E54CEA" w:rsidP="006B055F">
            <w:pPr>
              <w:pStyle w:val="BodyText"/>
              <w:spacing w:before="60" w:after="60"/>
            </w:pPr>
            <w:r w:rsidRPr="000F42F2">
              <w:t xml:space="preserve">Medical physics </w:t>
            </w:r>
            <w:r w:rsidR="00AB4C03">
              <w:t>workforce</w:t>
            </w:r>
            <w:r w:rsidR="005E6756" w:rsidRPr="000F42F2">
              <w:t xml:space="preserve"> </w:t>
            </w:r>
            <w:r w:rsidR="00285720">
              <w:t xml:space="preserve">development </w:t>
            </w:r>
            <w:r w:rsidRPr="000F42F2">
              <w:t>need</w:t>
            </w:r>
          </w:p>
        </w:tc>
        <w:tc>
          <w:tcPr>
            <w:tcW w:w="425" w:type="dxa"/>
            <w:tcBorders>
              <w:top w:val="nil"/>
            </w:tcBorders>
          </w:tcPr>
          <w:p w14:paraId="5048FCA2" w14:textId="77777777" w:rsidR="00E54CEA" w:rsidRPr="000F42F2" w:rsidRDefault="00E54CEA" w:rsidP="006B055F">
            <w:pPr>
              <w:pStyle w:val="BodyText"/>
              <w:spacing w:before="60" w:after="60"/>
              <w:cnfStyle w:val="100000000000" w:firstRow="1" w:lastRow="0" w:firstColumn="0" w:lastColumn="0" w:oddVBand="0" w:evenVBand="0" w:oddHBand="0" w:evenHBand="0" w:firstRowFirstColumn="0" w:firstRowLastColumn="0" w:lastRowFirstColumn="0" w:lastRowLastColumn="0"/>
            </w:pPr>
          </w:p>
        </w:tc>
        <w:tc>
          <w:tcPr>
            <w:tcW w:w="4813" w:type="dxa"/>
            <w:tcBorders>
              <w:top w:val="nil"/>
              <w:right w:val="nil"/>
            </w:tcBorders>
          </w:tcPr>
          <w:p w14:paraId="1B10A9EC" w14:textId="387C403F" w:rsidR="00E54CEA" w:rsidRPr="000F42F2" w:rsidRDefault="00E54CEA" w:rsidP="006B055F">
            <w:pPr>
              <w:pStyle w:val="BodyText"/>
              <w:spacing w:before="60" w:after="60"/>
              <w:cnfStyle w:val="100000000000" w:firstRow="1" w:lastRow="0" w:firstColumn="0" w:lastColumn="0" w:oddVBand="0" w:evenVBand="0" w:oddHBand="0" w:evenHBand="0" w:firstRowFirstColumn="0" w:firstRowLastColumn="0" w:lastRowFirstColumn="0" w:lastRowLastColumn="0"/>
            </w:pPr>
            <w:r w:rsidRPr="000F42F2">
              <w:t xml:space="preserve">How the </w:t>
            </w:r>
            <w:r>
              <w:t xml:space="preserve">MPS </w:t>
            </w:r>
            <w:r w:rsidRPr="000F42F2">
              <w:t>Program contributes to workforce need</w:t>
            </w:r>
          </w:p>
        </w:tc>
      </w:tr>
      <w:tr w:rsidR="00E54CEA" w14:paraId="56B8EFE4" w14:textId="77777777">
        <w:tc>
          <w:tcPr>
            <w:cnfStyle w:val="001000000000" w:firstRow="0" w:lastRow="0" w:firstColumn="1" w:lastColumn="0" w:oddVBand="0" w:evenVBand="0" w:oddHBand="0" w:evenHBand="0" w:firstRowFirstColumn="0" w:firstRowLastColumn="0" w:lastRowFirstColumn="0" w:lastRowLastColumn="0"/>
            <w:tcW w:w="4390" w:type="dxa"/>
            <w:tcBorders>
              <w:left w:val="nil"/>
            </w:tcBorders>
            <w:shd w:val="clear" w:color="auto" w:fill="F1F4FE"/>
          </w:tcPr>
          <w:p w14:paraId="3A91E0C9" w14:textId="5566D252" w:rsidR="00E54CEA" w:rsidRDefault="00E54CEA" w:rsidP="00194457">
            <w:pPr>
              <w:pStyle w:val="BodyText"/>
              <w:spacing w:before="80" w:after="80"/>
              <w:rPr>
                <w:b w:val="0"/>
                <w:bCs w:val="0"/>
              </w:rPr>
            </w:pPr>
            <w:r>
              <w:t>Developing a robust workforce supply</w:t>
            </w:r>
          </w:p>
          <w:p w14:paraId="23FEC82F" w14:textId="77777777" w:rsidR="00E54CEA" w:rsidRDefault="00E54CEA" w:rsidP="00194457">
            <w:pPr>
              <w:pStyle w:val="BodyText"/>
              <w:spacing w:before="80" w:after="80"/>
            </w:pPr>
            <w:r w:rsidRPr="002B64D8">
              <w:rPr>
                <w:b w:val="0"/>
                <w:bCs w:val="0"/>
              </w:rPr>
              <w:t xml:space="preserve">The medical physics workforce is essential for ensuring the safety, quality, and effectiveness of patient diagnosis and treatment in </w:t>
            </w:r>
            <w:r>
              <w:rPr>
                <w:b w:val="0"/>
                <w:bCs w:val="0"/>
              </w:rPr>
              <w:t>areas</w:t>
            </w:r>
            <w:r w:rsidRPr="002B64D8">
              <w:rPr>
                <w:b w:val="0"/>
                <w:bCs w:val="0"/>
              </w:rPr>
              <w:t xml:space="preserve"> including radiotherapy, nuclear medicine, and diagnostic radiology. The demand for these professionals is expected to grow </w:t>
            </w:r>
            <w:r>
              <w:rPr>
                <w:b w:val="0"/>
                <w:bCs w:val="0"/>
              </w:rPr>
              <w:t>in response</w:t>
            </w:r>
            <w:r w:rsidRPr="002B64D8">
              <w:rPr>
                <w:b w:val="0"/>
                <w:bCs w:val="0"/>
              </w:rPr>
              <w:t xml:space="preserve"> to an ageing population, increasing cancer incidence, and the rising complexity of medical conditions. This growth necessitates a robust and well-supported medical physics workforce to meet future healthcare needs.</w:t>
            </w:r>
          </w:p>
          <w:p w14:paraId="424C82E4" w14:textId="4405CA3A" w:rsidR="00E54CEA" w:rsidRPr="008911FF" w:rsidRDefault="00E54CEA" w:rsidP="00194457">
            <w:pPr>
              <w:pStyle w:val="BodyText"/>
              <w:spacing w:before="80" w:after="80"/>
              <w:rPr>
                <w:b w:val="0"/>
              </w:rPr>
            </w:pPr>
            <w:r>
              <w:rPr>
                <w:b w:val="0"/>
                <w:bCs w:val="0"/>
              </w:rPr>
              <w:t xml:space="preserve">There are significant challenges with workforce data, however it is estimated that there are currently shortages across ROMP and DIMP workforces. According to </w:t>
            </w:r>
            <w:proofErr w:type="spellStart"/>
            <w:r>
              <w:rPr>
                <w:b w:val="0"/>
                <w:bCs w:val="0"/>
              </w:rPr>
              <w:t>Venndelta’s</w:t>
            </w:r>
            <w:proofErr w:type="spellEnd"/>
            <w:r>
              <w:rPr>
                <w:b w:val="0"/>
                <w:bCs w:val="0"/>
              </w:rPr>
              <w:t xml:space="preserve"> workforce model, the ROMP workforce shortage is projected to close by 2030.</w:t>
            </w:r>
            <w:r w:rsidR="005F7EBC">
              <w:rPr>
                <w:rFonts w:ascii="ZWAdobeF" w:hAnsi="ZWAdobeF" w:cs="ZWAdobeF"/>
                <w:b w:val="0"/>
                <w:bCs w:val="0"/>
                <w:sz w:val="2"/>
                <w:szCs w:val="2"/>
              </w:rPr>
              <w:t>28F</w:t>
            </w:r>
            <w:r>
              <w:rPr>
                <w:rStyle w:val="FootnoteReference"/>
                <w:b w:val="0"/>
                <w:bCs w:val="0"/>
              </w:rPr>
              <w:footnoteReference w:id="30"/>
            </w:r>
            <w:r>
              <w:rPr>
                <w:b w:val="0"/>
                <w:bCs w:val="0"/>
              </w:rPr>
              <w:t xml:space="preserve"> The prevalence of shortages in the RPS workforce is uncertain due to a lack of workforce data. </w:t>
            </w:r>
          </w:p>
        </w:tc>
        <w:tc>
          <w:tcPr>
            <w:tcW w:w="425" w:type="dxa"/>
          </w:tcPr>
          <w:p w14:paraId="0C464B8F" w14:textId="77777777" w:rsidR="00E54CEA" w:rsidRDefault="00E54CEA" w:rsidP="00194457">
            <w:pPr>
              <w:pStyle w:val="BodyText"/>
              <w:spacing w:before="80" w:after="80"/>
              <w:jc w:val="center"/>
              <w:cnfStyle w:val="000000000000" w:firstRow="0" w:lastRow="0" w:firstColumn="0" w:lastColumn="0" w:oddVBand="0" w:evenVBand="0" w:oddHBand="0" w:evenHBand="0" w:firstRowFirstColumn="0" w:firstRowLastColumn="0" w:lastRowFirstColumn="0" w:lastRowLastColumn="0"/>
            </w:pPr>
            <w:r w:rsidRPr="00216389">
              <w:rPr>
                <w:rFonts w:ascii="Wingdings 2" w:eastAsia="Wingdings 2" w:hAnsi="Wingdings 2" w:cs="Wingdings 2"/>
                <w:color w:val="388600"/>
              </w:rPr>
              <w:t>□</w:t>
            </w:r>
          </w:p>
        </w:tc>
        <w:tc>
          <w:tcPr>
            <w:tcW w:w="4813" w:type="dxa"/>
            <w:tcBorders>
              <w:right w:val="nil"/>
            </w:tcBorders>
          </w:tcPr>
          <w:p w14:paraId="52F02ED3" w14:textId="73703AFE"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The MPS Program’s objective to support the training, certification, education and assessment of medical physicists (including RPSs) directly addresses this workforce need. In line with this objective, the</w:t>
            </w:r>
            <w:r w:rsidRPr="00927D42">
              <w:t xml:space="preserve"> </w:t>
            </w:r>
            <w:r>
              <w:t>funding for TEAP coordination and administration</w:t>
            </w:r>
            <w:r w:rsidRPr="00927D42">
              <w:t xml:space="preserve"> is critical for developing a pipeline of </w:t>
            </w:r>
            <w:r>
              <w:t>QMPs</w:t>
            </w:r>
            <w:r w:rsidRPr="00927D42">
              <w:t xml:space="preserve">. </w:t>
            </w:r>
          </w:p>
          <w:p w14:paraId="13E3FF2C" w14:textId="2042A2B6"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Additionally, the objective to ‘provide profession-led, competitive funding support for trainees’ is an enabler for facilities to train TEAP Registrars, thereby supporting a sufficient pipeline of QMPs.</w:t>
            </w:r>
          </w:p>
          <w:p w14:paraId="05242555" w14:textId="68A93AC0" w:rsidR="00E54CEA" w:rsidRPr="00205DE6"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The Program</w:t>
            </w:r>
            <w:r w:rsidRPr="00927D42">
              <w:t xml:space="preserve"> </w:t>
            </w:r>
            <w:r>
              <w:t xml:space="preserve">also </w:t>
            </w:r>
            <w:r w:rsidRPr="00927D42">
              <w:t>supports the development of workforce models to estimate workforce supply relative to demand</w:t>
            </w:r>
            <w:r>
              <w:t>. This work is important for informing activities and policies to ensure sufficient workforce supply to meet increasing healthcare demands</w:t>
            </w:r>
            <w:r w:rsidRPr="00927D42">
              <w:t xml:space="preserve">. </w:t>
            </w:r>
          </w:p>
        </w:tc>
      </w:tr>
      <w:tr w:rsidR="00E54CEA" w14:paraId="38FE77F8" w14:textId="77777777">
        <w:tc>
          <w:tcPr>
            <w:cnfStyle w:val="001000000000" w:firstRow="0" w:lastRow="0" w:firstColumn="1" w:lastColumn="0" w:oddVBand="0" w:evenVBand="0" w:oddHBand="0" w:evenHBand="0" w:firstRowFirstColumn="0" w:firstRowLastColumn="0" w:lastRowFirstColumn="0" w:lastRowLastColumn="0"/>
            <w:tcW w:w="4390" w:type="dxa"/>
            <w:tcBorders>
              <w:left w:val="nil"/>
            </w:tcBorders>
            <w:shd w:val="clear" w:color="auto" w:fill="F1F4FE"/>
          </w:tcPr>
          <w:p w14:paraId="3A124244" w14:textId="77777777" w:rsidR="00E54CEA" w:rsidRDefault="00E54CEA" w:rsidP="00194457">
            <w:pPr>
              <w:pStyle w:val="BodyText"/>
              <w:spacing w:before="80" w:after="80"/>
              <w:rPr>
                <w:b w:val="0"/>
                <w:bCs w:val="0"/>
              </w:rPr>
            </w:pPr>
            <w:r>
              <w:t>Standardising and improving quality of medical physicist services</w:t>
            </w:r>
          </w:p>
          <w:p w14:paraId="48618869" w14:textId="22141454" w:rsidR="00E54CEA" w:rsidRDefault="00E54CEA" w:rsidP="00194457">
            <w:pPr>
              <w:pStyle w:val="BodyText"/>
              <w:spacing w:before="80" w:after="80"/>
            </w:pPr>
            <w:r>
              <w:rPr>
                <w:b w:val="0"/>
                <w:bCs w:val="0"/>
              </w:rPr>
              <w:t>S</w:t>
            </w:r>
            <w:r w:rsidRPr="00464C99">
              <w:rPr>
                <w:b w:val="0"/>
                <w:bCs w:val="0"/>
              </w:rPr>
              <w:t>tandardis</w:t>
            </w:r>
            <w:r>
              <w:rPr>
                <w:b w:val="0"/>
                <w:bCs w:val="0"/>
              </w:rPr>
              <w:t>ing the</w:t>
            </w:r>
            <w:r w:rsidRPr="00464C99">
              <w:rPr>
                <w:b w:val="0"/>
                <w:bCs w:val="0"/>
              </w:rPr>
              <w:t xml:space="preserve"> quality </w:t>
            </w:r>
            <w:r>
              <w:rPr>
                <w:b w:val="0"/>
                <w:bCs w:val="0"/>
              </w:rPr>
              <w:t xml:space="preserve">of </w:t>
            </w:r>
            <w:r w:rsidRPr="00464C99">
              <w:rPr>
                <w:b w:val="0"/>
                <w:bCs w:val="0"/>
              </w:rPr>
              <w:t xml:space="preserve">medical physics </w:t>
            </w:r>
            <w:r>
              <w:rPr>
                <w:b w:val="0"/>
                <w:bCs w:val="0"/>
              </w:rPr>
              <w:t xml:space="preserve">services </w:t>
            </w:r>
            <w:r w:rsidRPr="00464C99">
              <w:rPr>
                <w:b w:val="0"/>
                <w:bCs w:val="0"/>
              </w:rPr>
              <w:t>ensure</w:t>
            </w:r>
            <w:r>
              <w:rPr>
                <w:b w:val="0"/>
                <w:bCs w:val="0"/>
              </w:rPr>
              <w:t>s</w:t>
            </w:r>
            <w:r w:rsidRPr="00464C99">
              <w:rPr>
                <w:b w:val="0"/>
                <w:bCs w:val="0"/>
              </w:rPr>
              <w:t xml:space="preserve"> consistent and reliable patient care across </w:t>
            </w:r>
            <w:r>
              <w:rPr>
                <w:b w:val="0"/>
                <w:bCs w:val="0"/>
              </w:rPr>
              <w:t xml:space="preserve">regions and </w:t>
            </w:r>
            <w:r w:rsidRPr="00464C99">
              <w:rPr>
                <w:b w:val="0"/>
                <w:bCs w:val="0"/>
              </w:rPr>
              <w:t xml:space="preserve">healthcare facilities. </w:t>
            </w:r>
            <w:r>
              <w:rPr>
                <w:b w:val="0"/>
                <w:bCs w:val="0"/>
              </w:rPr>
              <w:t>Formalised and structured education and training is required for</w:t>
            </w:r>
            <w:r w:rsidRPr="00464C99">
              <w:rPr>
                <w:b w:val="0"/>
                <w:bCs w:val="0"/>
              </w:rPr>
              <w:t xml:space="preserve"> uniformity in the skills and knowledge of medical physicists, which is crucial for accurate diagnosis and effective treatment. It also facilitates the implementation of best </w:t>
            </w:r>
            <w:r>
              <w:rPr>
                <w:b w:val="0"/>
                <w:bCs w:val="0"/>
              </w:rPr>
              <w:t>practice</w:t>
            </w:r>
            <w:r w:rsidRPr="00464C99">
              <w:rPr>
                <w:b w:val="0"/>
                <w:bCs w:val="0"/>
              </w:rPr>
              <w:t xml:space="preserve"> and adherence to regulatory requirements, thereby enhancing the overall quality of healthcare services. </w:t>
            </w:r>
            <w:r>
              <w:rPr>
                <w:b w:val="0"/>
                <w:bCs w:val="0"/>
              </w:rPr>
              <w:t>The current trend of facilities outsourcing medical physicist functions to contractors without formal training poses a risk to quality of services.</w:t>
            </w:r>
          </w:p>
          <w:p w14:paraId="0FD7D8A5" w14:textId="4AF50141" w:rsidR="00E54CEA" w:rsidRPr="0004534C" w:rsidRDefault="00E54CEA" w:rsidP="00194457">
            <w:pPr>
              <w:pStyle w:val="BodyText"/>
              <w:spacing w:before="80" w:after="80"/>
            </w:pPr>
            <w:r>
              <w:rPr>
                <w:b w:val="0"/>
                <w:bCs w:val="0"/>
              </w:rPr>
              <w:t>Additionally, training and CPD</w:t>
            </w:r>
            <w:r w:rsidRPr="00464C99">
              <w:rPr>
                <w:b w:val="0"/>
                <w:bCs w:val="0"/>
              </w:rPr>
              <w:t xml:space="preserve"> </w:t>
            </w:r>
            <w:r>
              <w:rPr>
                <w:b w:val="0"/>
                <w:bCs w:val="0"/>
              </w:rPr>
              <w:t>enable</w:t>
            </w:r>
            <w:r w:rsidRPr="00464C99">
              <w:rPr>
                <w:b w:val="0"/>
                <w:bCs w:val="0"/>
              </w:rPr>
              <w:t xml:space="preserve"> medical physicists </w:t>
            </w:r>
            <w:r>
              <w:rPr>
                <w:b w:val="0"/>
                <w:bCs w:val="0"/>
              </w:rPr>
              <w:t>to be</w:t>
            </w:r>
            <w:r w:rsidRPr="00464C99">
              <w:rPr>
                <w:b w:val="0"/>
                <w:bCs w:val="0"/>
              </w:rPr>
              <w:t xml:space="preserve"> equipped with the latest advancements and techniques in the field, promoting continuous improvement</w:t>
            </w:r>
            <w:r>
              <w:rPr>
                <w:b w:val="0"/>
                <w:bCs w:val="0"/>
              </w:rPr>
              <w:t xml:space="preserve"> in a dynamic field.</w:t>
            </w:r>
          </w:p>
        </w:tc>
        <w:tc>
          <w:tcPr>
            <w:tcW w:w="425" w:type="dxa"/>
          </w:tcPr>
          <w:p w14:paraId="669EEB1C" w14:textId="77777777" w:rsidR="00E54CEA" w:rsidRDefault="00E54CEA" w:rsidP="00194457">
            <w:pPr>
              <w:pStyle w:val="BodyText"/>
              <w:spacing w:before="80" w:after="80"/>
              <w:jc w:val="center"/>
              <w:cnfStyle w:val="000000000000" w:firstRow="0" w:lastRow="0" w:firstColumn="0" w:lastColumn="0" w:oddVBand="0" w:evenVBand="0" w:oddHBand="0" w:evenHBand="0" w:firstRowFirstColumn="0" w:firstRowLastColumn="0" w:lastRowFirstColumn="0" w:lastRowLastColumn="0"/>
            </w:pPr>
            <w:r w:rsidRPr="00216389">
              <w:rPr>
                <w:rFonts w:ascii="Wingdings 2" w:eastAsia="Wingdings 2" w:hAnsi="Wingdings 2" w:cs="Wingdings 2"/>
                <w:color w:val="388600"/>
              </w:rPr>
              <w:t>□</w:t>
            </w:r>
          </w:p>
        </w:tc>
        <w:tc>
          <w:tcPr>
            <w:tcW w:w="4813" w:type="dxa"/>
            <w:tcBorders>
              <w:right w:val="nil"/>
            </w:tcBorders>
          </w:tcPr>
          <w:p w14:paraId="07481A09" w14:textId="3F0816ED"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The MPS Program’s objective to support the training, certification, education and assessment of medical physicists (including RPSs) directly addresses this workforce need.</w:t>
            </w:r>
          </w:p>
          <w:p w14:paraId="12527FCB" w14:textId="77777777"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 xml:space="preserve">The MPS </w:t>
            </w:r>
            <w:r w:rsidRPr="00FF353C">
              <w:t>Program contributes to the standardisation and improvement of workforce quality by providing a structured framework for training and professional development</w:t>
            </w:r>
            <w:r>
              <w:t xml:space="preserve"> through TEAP</w:t>
            </w:r>
            <w:r w:rsidRPr="00FF353C">
              <w:t xml:space="preserve">. </w:t>
            </w:r>
            <w:r>
              <w:t>TEAP</w:t>
            </w:r>
            <w:r w:rsidRPr="00FF353C">
              <w:t xml:space="preserve"> </w:t>
            </w:r>
            <w:r>
              <w:t xml:space="preserve">involves </w:t>
            </w:r>
            <w:r w:rsidRPr="00FF353C">
              <w:t xml:space="preserve">rigorous coursework, practical training, and continuous assessment to ensure that </w:t>
            </w:r>
            <w:r>
              <w:t>Registrars</w:t>
            </w:r>
            <w:r w:rsidRPr="00FF353C">
              <w:t xml:space="preserve"> </w:t>
            </w:r>
            <w:r>
              <w:t>are competent to practice independently</w:t>
            </w:r>
            <w:r w:rsidRPr="00FF353C">
              <w:t xml:space="preserve">. </w:t>
            </w:r>
            <w:r>
              <w:t>Engagement with Supervisors and Registrars indicates broad agreement that this program is positively impacting the quality of medical physicist services.</w:t>
            </w:r>
          </w:p>
          <w:p w14:paraId="105C1E2E" w14:textId="6D826D80"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The MPS Program also funds the activity ‘develop and deliver CPD and online learning for all medical physics specialties’, which supports quality of medical physicist services post-certification.</w:t>
            </w:r>
          </w:p>
        </w:tc>
      </w:tr>
      <w:tr w:rsidR="00E54CEA" w14:paraId="6B5468B4" w14:textId="77777777">
        <w:tc>
          <w:tcPr>
            <w:cnfStyle w:val="001000000000" w:firstRow="0" w:lastRow="0" w:firstColumn="1" w:lastColumn="0" w:oddVBand="0" w:evenVBand="0" w:oddHBand="0" w:evenHBand="0" w:firstRowFirstColumn="0" w:firstRowLastColumn="0" w:lastRowFirstColumn="0" w:lastRowLastColumn="0"/>
            <w:tcW w:w="4390" w:type="dxa"/>
            <w:tcBorders>
              <w:left w:val="nil"/>
            </w:tcBorders>
            <w:shd w:val="clear" w:color="auto" w:fill="F1F4FE"/>
          </w:tcPr>
          <w:p w14:paraId="31A0BF29" w14:textId="77777777" w:rsidR="00E54CEA" w:rsidRDefault="00E54CEA" w:rsidP="00194457">
            <w:pPr>
              <w:pStyle w:val="BodyText"/>
              <w:spacing w:before="80" w:after="80"/>
              <w:rPr>
                <w:b w:val="0"/>
                <w:bCs w:val="0"/>
              </w:rPr>
            </w:pPr>
            <w:r>
              <w:t>Addressing demand in regional and remote areas</w:t>
            </w:r>
          </w:p>
          <w:p w14:paraId="76A0F446" w14:textId="6970B463" w:rsidR="00E54CEA" w:rsidRPr="008D47E4" w:rsidRDefault="00E54CEA" w:rsidP="00194457">
            <w:pPr>
              <w:pStyle w:val="BodyText"/>
              <w:spacing w:before="80" w:after="80"/>
            </w:pPr>
            <w:r w:rsidRPr="002575AE">
              <w:rPr>
                <w:b w:val="0"/>
                <w:bCs w:val="0"/>
              </w:rPr>
              <w:t xml:space="preserve">The attraction and retention of the medical </w:t>
            </w:r>
            <w:r>
              <w:rPr>
                <w:b w:val="0"/>
                <w:bCs w:val="0"/>
              </w:rPr>
              <w:t>physics</w:t>
            </w:r>
            <w:r w:rsidRPr="002575AE">
              <w:rPr>
                <w:b w:val="0"/>
                <w:bCs w:val="0"/>
              </w:rPr>
              <w:t xml:space="preserve"> workforce</w:t>
            </w:r>
            <w:r>
              <w:rPr>
                <w:b w:val="0"/>
                <w:bCs w:val="0"/>
              </w:rPr>
              <w:t xml:space="preserve"> </w:t>
            </w:r>
            <w:r w:rsidRPr="002575AE">
              <w:rPr>
                <w:b w:val="0"/>
                <w:bCs w:val="0"/>
              </w:rPr>
              <w:t xml:space="preserve">in regional and remote areas present significant challenges. </w:t>
            </w:r>
            <w:r>
              <w:rPr>
                <w:b w:val="0"/>
                <w:bCs w:val="0"/>
              </w:rPr>
              <w:t>There is a lack of accurate data on medical physics workforce distribution in regional and remote areas, however data</w:t>
            </w:r>
            <w:r w:rsidRPr="002575AE">
              <w:rPr>
                <w:b w:val="0"/>
                <w:bCs w:val="0"/>
              </w:rPr>
              <w:t xml:space="preserve"> from the RANZCR Facilities Survey </w:t>
            </w:r>
            <w:r>
              <w:rPr>
                <w:b w:val="0"/>
                <w:bCs w:val="0"/>
              </w:rPr>
              <w:t>suggest there are</w:t>
            </w:r>
            <w:r w:rsidRPr="002575AE">
              <w:rPr>
                <w:b w:val="0"/>
                <w:bCs w:val="0"/>
              </w:rPr>
              <w:t xml:space="preserve"> gaps in </w:t>
            </w:r>
            <w:r>
              <w:rPr>
                <w:b w:val="0"/>
                <w:bCs w:val="0"/>
              </w:rPr>
              <w:t xml:space="preserve">radiation therapy services in </w:t>
            </w:r>
            <w:r w:rsidRPr="002575AE">
              <w:rPr>
                <w:b w:val="0"/>
                <w:bCs w:val="0"/>
              </w:rPr>
              <w:t>non-</w:t>
            </w:r>
            <w:r>
              <w:rPr>
                <w:b w:val="0"/>
                <w:bCs w:val="0"/>
              </w:rPr>
              <w:t>metropolitan</w:t>
            </w:r>
            <w:r w:rsidRPr="002575AE">
              <w:rPr>
                <w:b w:val="0"/>
                <w:bCs w:val="0"/>
              </w:rPr>
              <w:t xml:space="preserve"> locations.</w:t>
            </w:r>
            <w:r>
              <w:rPr>
                <w:b w:val="0"/>
                <w:bCs w:val="0"/>
              </w:rPr>
              <w:t xml:space="preserve"> </w:t>
            </w:r>
            <w:r w:rsidRPr="002575AE">
              <w:rPr>
                <w:b w:val="0"/>
                <w:bCs w:val="0"/>
              </w:rPr>
              <w:t xml:space="preserve">Stakeholders frequently report difficulties in filling </w:t>
            </w:r>
            <w:r>
              <w:rPr>
                <w:b w:val="0"/>
                <w:bCs w:val="0"/>
              </w:rPr>
              <w:t xml:space="preserve">medical physicist </w:t>
            </w:r>
            <w:r w:rsidRPr="002575AE">
              <w:rPr>
                <w:b w:val="0"/>
                <w:bCs w:val="0"/>
              </w:rPr>
              <w:t>positions in these regions</w:t>
            </w:r>
            <w:r>
              <w:rPr>
                <w:b w:val="0"/>
                <w:bCs w:val="0"/>
              </w:rPr>
              <w:t>, and there are additional</w:t>
            </w:r>
            <w:r w:rsidRPr="002575AE">
              <w:rPr>
                <w:b w:val="0"/>
                <w:bCs w:val="0"/>
              </w:rPr>
              <w:t xml:space="preserve"> complexities </w:t>
            </w:r>
            <w:r>
              <w:rPr>
                <w:b w:val="0"/>
                <w:bCs w:val="0"/>
              </w:rPr>
              <w:t>with</w:t>
            </w:r>
            <w:r w:rsidRPr="002575AE">
              <w:rPr>
                <w:b w:val="0"/>
                <w:bCs w:val="0"/>
              </w:rPr>
              <w:t xml:space="preserve"> delivering services across wider distances. </w:t>
            </w:r>
          </w:p>
        </w:tc>
        <w:tc>
          <w:tcPr>
            <w:tcW w:w="425" w:type="dxa"/>
          </w:tcPr>
          <w:p w14:paraId="17C816EC" w14:textId="115722FC" w:rsidR="00E54CEA" w:rsidRPr="004526C7" w:rsidRDefault="00E54CEA" w:rsidP="00194457">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color w:val="FFC000"/>
              </w:rPr>
            </w:pPr>
            <w:r w:rsidRPr="00216389">
              <w:rPr>
                <w:rFonts w:ascii="Wingdings 2" w:eastAsia="Wingdings 2" w:hAnsi="Wingdings 2" w:cs="Wingdings 2"/>
                <w:color w:val="388600"/>
              </w:rPr>
              <w:t>□</w:t>
            </w:r>
          </w:p>
        </w:tc>
        <w:tc>
          <w:tcPr>
            <w:tcW w:w="4813" w:type="dxa"/>
            <w:tcBorders>
              <w:right w:val="nil"/>
            </w:tcBorders>
          </w:tcPr>
          <w:p w14:paraId="54DA4B6D" w14:textId="63C6C687"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rsidRPr="001C0BA8">
              <w:t xml:space="preserve">The </w:t>
            </w:r>
            <w:r>
              <w:t>MPS</w:t>
            </w:r>
            <w:r w:rsidRPr="001C0BA8">
              <w:t xml:space="preserve"> Program</w:t>
            </w:r>
            <w:r>
              <w:t xml:space="preserve"> is</w:t>
            </w:r>
            <w:r w:rsidRPr="001C0BA8">
              <w:t xml:space="preserve"> part of the </w:t>
            </w:r>
            <w:r>
              <w:t>STP</w:t>
            </w:r>
            <w:r w:rsidRPr="001C0BA8">
              <w:t xml:space="preserve">, </w:t>
            </w:r>
            <w:r>
              <w:t xml:space="preserve">which </w:t>
            </w:r>
            <w:r w:rsidRPr="001C0BA8">
              <w:t xml:space="preserve">aims to extend vocational training into regional, rural, and remote communities. </w:t>
            </w:r>
            <w:r>
              <w:t>An</w:t>
            </w:r>
            <w:r w:rsidRPr="001C0BA8">
              <w:t xml:space="preserve"> objective of </w:t>
            </w:r>
            <w:r>
              <w:t>the MPS Program</w:t>
            </w:r>
            <w:r w:rsidRPr="001C0BA8">
              <w:t xml:space="preserve"> is to support the optimal distribution of the medical physicist and </w:t>
            </w:r>
            <w:r>
              <w:t>RPS</w:t>
            </w:r>
            <w:r w:rsidRPr="001C0BA8">
              <w:t xml:space="preserve"> workforce. </w:t>
            </w:r>
          </w:p>
          <w:p w14:paraId="0B11A5B7" w14:textId="078A9349"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rsidRPr="001C0BA8">
              <w:t>To incentivi</w:t>
            </w:r>
            <w:r>
              <w:t>s</w:t>
            </w:r>
            <w:r w:rsidRPr="001C0BA8">
              <w:t xml:space="preserve">e training in regional facilities, the </w:t>
            </w:r>
            <w:r>
              <w:t xml:space="preserve">Program </w:t>
            </w:r>
            <w:r w:rsidRPr="001C0BA8">
              <w:t xml:space="preserve">offers additional payments for </w:t>
            </w:r>
            <w:r>
              <w:t>TEAP Registrars</w:t>
            </w:r>
            <w:r w:rsidRPr="001C0BA8">
              <w:t xml:space="preserve"> who complete a significant portion of their training in these areas. </w:t>
            </w:r>
            <w:r>
              <w:t>The distribution of TEAP grants to facilities</w:t>
            </w:r>
            <w:r w:rsidRPr="001C0BA8">
              <w:t xml:space="preserve"> </w:t>
            </w:r>
            <w:r>
              <w:t>prioritises grants to regional facilities where possible.</w:t>
            </w:r>
            <w:r w:rsidRPr="001C0BA8">
              <w:t xml:space="preserve"> </w:t>
            </w:r>
          </w:p>
          <w:p w14:paraId="72240804" w14:textId="6D04E590"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rsidRPr="001C0BA8">
              <w:t xml:space="preserve">The </w:t>
            </w:r>
            <w:r>
              <w:t>P</w:t>
            </w:r>
            <w:r w:rsidRPr="001C0BA8">
              <w:t>rogram also includes the RIFP</w:t>
            </w:r>
            <w:r>
              <w:t>. Commencing</w:t>
            </w:r>
            <w:r w:rsidRPr="001C0BA8">
              <w:t xml:space="preserve"> in 2023, </w:t>
            </w:r>
            <w:r>
              <w:t>the RIFP</w:t>
            </w:r>
            <w:r w:rsidRPr="001C0BA8">
              <w:t xml:space="preserve"> </w:t>
            </w:r>
            <w:r>
              <w:t>provides</w:t>
            </w:r>
            <w:r w:rsidRPr="001C0BA8">
              <w:t xml:space="preserve"> up to $200,000 in grants to support recruitment and retention initiatives in regional areas.</w:t>
            </w:r>
          </w:p>
        </w:tc>
      </w:tr>
      <w:tr w:rsidR="00E54CEA" w14:paraId="467D7995" w14:textId="77777777" w:rsidTr="006B055F">
        <w:tc>
          <w:tcPr>
            <w:cnfStyle w:val="001000000000" w:firstRow="0" w:lastRow="0" w:firstColumn="1" w:lastColumn="0" w:oddVBand="0" w:evenVBand="0" w:oddHBand="0" w:evenHBand="0" w:firstRowFirstColumn="0" w:firstRowLastColumn="0" w:lastRowFirstColumn="0" w:lastRowLastColumn="0"/>
            <w:tcW w:w="4390" w:type="dxa"/>
            <w:tcBorders>
              <w:left w:val="nil"/>
              <w:bottom w:val="single" w:sz="4" w:space="0" w:color="6BA0FF" w:themeColor="accent1" w:themeTint="66"/>
            </w:tcBorders>
            <w:shd w:val="clear" w:color="auto" w:fill="F1F4FE"/>
          </w:tcPr>
          <w:p w14:paraId="03284E67" w14:textId="77777777" w:rsidR="00E54CEA" w:rsidRDefault="00E54CEA" w:rsidP="00194457">
            <w:pPr>
              <w:pStyle w:val="BodyText"/>
              <w:spacing w:before="80" w:after="80"/>
              <w:rPr>
                <w:b w:val="0"/>
                <w:bCs w:val="0"/>
              </w:rPr>
            </w:pPr>
            <w:r>
              <w:t>Responding to advancements in technologies and practices</w:t>
            </w:r>
          </w:p>
          <w:p w14:paraId="1E1BD0E3" w14:textId="2968EC83" w:rsidR="00E54CEA" w:rsidRPr="003947D4" w:rsidRDefault="00E54CEA" w:rsidP="00194457">
            <w:pPr>
              <w:pStyle w:val="BodyText"/>
              <w:spacing w:before="80" w:after="80"/>
              <w:rPr>
                <w:b w:val="0"/>
              </w:rPr>
            </w:pPr>
            <w:r w:rsidRPr="00705395">
              <w:rPr>
                <w:b w:val="0"/>
                <w:bCs w:val="0"/>
              </w:rPr>
              <w:t xml:space="preserve">The </w:t>
            </w:r>
            <w:r>
              <w:rPr>
                <w:b w:val="0"/>
                <w:bCs w:val="0"/>
              </w:rPr>
              <w:t xml:space="preserve">role of </w:t>
            </w:r>
            <w:r w:rsidRPr="00705395">
              <w:rPr>
                <w:b w:val="0"/>
                <w:bCs w:val="0"/>
              </w:rPr>
              <w:t>medical physic</w:t>
            </w:r>
            <w:r>
              <w:rPr>
                <w:b w:val="0"/>
                <w:bCs w:val="0"/>
              </w:rPr>
              <w:t xml:space="preserve">ists </w:t>
            </w:r>
            <w:r w:rsidRPr="00705395">
              <w:rPr>
                <w:b w:val="0"/>
                <w:bCs w:val="0"/>
              </w:rPr>
              <w:t xml:space="preserve">is </w:t>
            </w:r>
            <w:r>
              <w:rPr>
                <w:b w:val="0"/>
                <w:bCs w:val="0"/>
              </w:rPr>
              <w:t>changing</w:t>
            </w:r>
            <w:r w:rsidRPr="00705395">
              <w:rPr>
                <w:b w:val="0"/>
                <w:bCs w:val="0"/>
              </w:rPr>
              <w:t xml:space="preserve"> in </w:t>
            </w:r>
            <w:r>
              <w:rPr>
                <w:b w:val="0"/>
                <w:bCs w:val="0"/>
              </w:rPr>
              <w:t>response</w:t>
            </w:r>
            <w:r w:rsidRPr="00705395">
              <w:rPr>
                <w:b w:val="0"/>
                <w:bCs w:val="0"/>
              </w:rPr>
              <w:t xml:space="preserve"> to rapid advancements in technology, </w:t>
            </w:r>
            <w:r>
              <w:rPr>
                <w:b w:val="0"/>
                <w:bCs w:val="0"/>
              </w:rPr>
              <w:t xml:space="preserve">clinical practices, </w:t>
            </w:r>
            <w:r w:rsidRPr="00705395">
              <w:rPr>
                <w:b w:val="0"/>
                <w:bCs w:val="0"/>
              </w:rPr>
              <w:t xml:space="preserve">automation, and </w:t>
            </w:r>
            <w:r>
              <w:rPr>
                <w:b w:val="0"/>
                <w:bCs w:val="0"/>
              </w:rPr>
              <w:t>Automated Intelligence (</w:t>
            </w:r>
            <w:r w:rsidRPr="00705395">
              <w:rPr>
                <w:b w:val="0"/>
                <w:bCs w:val="0"/>
              </w:rPr>
              <w:t>AI</w:t>
            </w:r>
            <w:r>
              <w:rPr>
                <w:b w:val="0"/>
                <w:bCs w:val="0"/>
              </w:rPr>
              <w:t>)</w:t>
            </w:r>
            <w:r w:rsidRPr="00705395">
              <w:rPr>
                <w:b w:val="0"/>
                <w:bCs w:val="0"/>
              </w:rPr>
              <w:t xml:space="preserve">. These advancements necessitate that medical physicists </w:t>
            </w:r>
            <w:r>
              <w:rPr>
                <w:b w:val="0"/>
                <w:bCs w:val="0"/>
              </w:rPr>
              <w:t>develop</w:t>
            </w:r>
            <w:r w:rsidRPr="00705395">
              <w:rPr>
                <w:b w:val="0"/>
                <w:bCs w:val="0"/>
              </w:rPr>
              <w:t xml:space="preserve"> knowledge of modern </w:t>
            </w:r>
            <w:r>
              <w:rPr>
                <w:b w:val="0"/>
                <w:bCs w:val="0"/>
              </w:rPr>
              <w:t xml:space="preserve">and emerging </w:t>
            </w:r>
            <w:r w:rsidRPr="00705395">
              <w:rPr>
                <w:b w:val="0"/>
                <w:bCs w:val="0"/>
              </w:rPr>
              <w:t xml:space="preserve">technologies, methods, and practise standards </w:t>
            </w:r>
            <w:r>
              <w:rPr>
                <w:b w:val="0"/>
                <w:bCs w:val="0"/>
              </w:rPr>
              <w:t xml:space="preserve">with an emphasis on quality and safety </w:t>
            </w:r>
            <w:r w:rsidRPr="00705395">
              <w:rPr>
                <w:b w:val="0"/>
                <w:bCs w:val="0"/>
              </w:rPr>
              <w:t xml:space="preserve">through </w:t>
            </w:r>
            <w:r>
              <w:rPr>
                <w:b w:val="0"/>
                <w:bCs w:val="0"/>
              </w:rPr>
              <w:t xml:space="preserve">structured training, </w:t>
            </w:r>
            <w:r w:rsidRPr="00705395">
              <w:rPr>
                <w:b w:val="0"/>
                <w:bCs w:val="0"/>
              </w:rPr>
              <w:t>CPD. </w:t>
            </w:r>
          </w:p>
        </w:tc>
        <w:tc>
          <w:tcPr>
            <w:tcW w:w="425" w:type="dxa"/>
            <w:tcBorders>
              <w:bottom w:val="single" w:sz="4" w:space="0" w:color="6BA0FF" w:themeColor="accent1" w:themeTint="66"/>
            </w:tcBorders>
          </w:tcPr>
          <w:p w14:paraId="2C2949AA" w14:textId="6C515FA8" w:rsidR="00E54CEA" w:rsidRPr="00B352EE" w:rsidRDefault="00216389" w:rsidP="00194457">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color w:val="00B050"/>
              </w:rPr>
            </w:pPr>
            <w:r w:rsidRPr="00216389">
              <w:rPr>
                <w:rFonts w:ascii="Wingdings 2" w:eastAsia="Wingdings 2" w:hAnsi="Wingdings 2" w:cs="Wingdings 2"/>
                <w:color w:val="388600"/>
              </w:rPr>
              <w:t>□</w:t>
            </w:r>
          </w:p>
        </w:tc>
        <w:tc>
          <w:tcPr>
            <w:tcW w:w="4813" w:type="dxa"/>
            <w:tcBorders>
              <w:bottom w:val="single" w:sz="4" w:space="0" w:color="6BA0FF" w:themeColor="accent1" w:themeTint="66"/>
              <w:right w:val="nil"/>
            </w:tcBorders>
          </w:tcPr>
          <w:p w14:paraId="4412797B" w14:textId="0636B9BF"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The MPS Program’s objective to support the training, certification, education and assessment of medical physicists (including RPSs) supports continuous education in the profession and the adoption of new technologies and advancements in clinical practice.</w:t>
            </w:r>
          </w:p>
          <w:p w14:paraId="2D643866" w14:textId="05CDD289"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 xml:space="preserve">The MPS Program </w:t>
            </w:r>
            <w:r w:rsidRPr="000C0096">
              <w:t xml:space="preserve">supports a dynamic curriculum review process </w:t>
            </w:r>
            <w:r>
              <w:t>for TEAP, which aims to continuously incorporate</w:t>
            </w:r>
            <w:r w:rsidRPr="000C0096">
              <w:t xml:space="preserve"> </w:t>
            </w:r>
            <w:r>
              <w:t xml:space="preserve">new technologies and advancements into the curriculum and prepare Registrars for future changes. </w:t>
            </w:r>
          </w:p>
          <w:p w14:paraId="46FBD73F" w14:textId="6DC37397" w:rsidR="00E54CEA" w:rsidRPr="001C0BA8"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The MPS Program also</w:t>
            </w:r>
            <w:r w:rsidRPr="000C0096">
              <w:t xml:space="preserve"> funds initiatives </w:t>
            </w:r>
            <w:r>
              <w:t>such as</w:t>
            </w:r>
            <w:r w:rsidRPr="000C0096">
              <w:t xml:space="preserve"> the AI Professional Standards Working Group, which provides practical guidelines and training materials on AI implementation in clinical practi</w:t>
            </w:r>
            <w:r>
              <w:t>c</w:t>
            </w:r>
            <w:r w:rsidRPr="000C0096">
              <w:t xml:space="preserve">e. Additionally, the MPS Program funds various learning management </w:t>
            </w:r>
            <w:r>
              <w:t xml:space="preserve">and CPD </w:t>
            </w:r>
            <w:r w:rsidRPr="000C0096">
              <w:t>activities. These efforts ensure that medical physicists are well-prepared to meet the evolving demands of the field.</w:t>
            </w:r>
          </w:p>
        </w:tc>
      </w:tr>
      <w:tr w:rsidR="00E54CEA" w14:paraId="2AD82511" w14:textId="77777777" w:rsidTr="006B055F">
        <w:tc>
          <w:tcPr>
            <w:cnfStyle w:val="001000000000" w:firstRow="0" w:lastRow="0" w:firstColumn="1" w:lastColumn="0" w:oddVBand="0" w:evenVBand="0" w:oddHBand="0" w:evenHBand="0" w:firstRowFirstColumn="0" w:firstRowLastColumn="0" w:lastRowFirstColumn="0" w:lastRowLastColumn="0"/>
            <w:tcW w:w="4390" w:type="dxa"/>
            <w:tcBorders>
              <w:left w:val="nil"/>
              <w:bottom w:val="single" w:sz="4" w:space="0" w:color="2171FF" w:themeColor="accent1" w:themeTint="99"/>
            </w:tcBorders>
            <w:shd w:val="clear" w:color="auto" w:fill="F1F4FE"/>
          </w:tcPr>
          <w:p w14:paraId="3920F944" w14:textId="77777777" w:rsidR="00E54CEA" w:rsidRDefault="00E54CEA" w:rsidP="00194457">
            <w:pPr>
              <w:pStyle w:val="BodyText"/>
              <w:spacing w:before="80" w:after="80"/>
              <w:rPr>
                <w:b w:val="0"/>
                <w:bCs w:val="0"/>
              </w:rPr>
            </w:pPr>
            <w:r>
              <w:t>Developing workforce maturity and professional recognition</w:t>
            </w:r>
          </w:p>
          <w:p w14:paraId="0803D535" w14:textId="6BCB5329" w:rsidR="00E54CEA" w:rsidRPr="00045E40" w:rsidRDefault="00E54CEA" w:rsidP="00194457">
            <w:pPr>
              <w:pStyle w:val="BodyText"/>
              <w:spacing w:before="80" w:after="80"/>
              <w:rPr>
                <w:b w:val="0"/>
              </w:rPr>
            </w:pPr>
            <w:r w:rsidRPr="00045E40">
              <w:rPr>
                <w:b w:val="0"/>
                <w:bCs w:val="0"/>
              </w:rPr>
              <w:t xml:space="preserve">The medical physics workforce </w:t>
            </w:r>
            <w:r>
              <w:rPr>
                <w:b w:val="0"/>
                <w:bCs w:val="0"/>
              </w:rPr>
              <w:t>is small and generally poorly understood, creating</w:t>
            </w:r>
            <w:r w:rsidRPr="00045E40">
              <w:rPr>
                <w:b w:val="0"/>
                <w:bCs w:val="0"/>
              </w:rPr>
              <w:t xml:space="preserve"> significant challenges </w:t>
            </w:r>
            <w:r>
              <w:rPr>
                <w:b w:val="0"/>
                <w:bCs w:val="0"/>
              </w:rPr>
              <w:t>to</w:t>
            </w:r>
            <w:r w:rsidRPr="00045E40">
              <w:rPr>
                <w:b w:val="0"/>
                <w:bCs w:val="0"/>
              </w:rPr>
              <w:t xml:space="preserve"> professional recognition. </w:t>
            </w:r>
            <w:r>
              <w:rPr>
                <w:b w:val="0"/>
                <w:bCs w:val="0"/>
              </w:rPr>
              <w:t>T</w:t>
            </w:r>
            <w:r w:rsidRPr="0023107F">
              <w:rPr>
                <w:b w:val="0"/>
                <w:bCs w:val="0"/>
              </w:rPr>
              <w:t>his lack of recognition impacts the ability of medical physicists to negotiate staffing requirements with hospital executives, leading to limited permanent employment positions</w:t>
            </w:r>
            <w:r>
              <w:rPr>
                <w:b w:val="0"/>
                <w:bCs w:val="0"/>
              </w:rPr>
              <w:t xml:space="preserve"> and in some instances the </w:t>
            </w:r>
            <w:proofErr w:type="spellStart"/>
            <w:r>
              <w:rPr>
                <w:b w:val="0"/>
                <w:bCs w:val="0"/>
              </w:rPr>
              <w:t>deprioritisation</w:t>
            </w:r>
            <w:proofErr w:type="spellEnd"/>
            <w:r>
              <w:rPr>
                <w:b w:val="0"/>
                <w:bCs w:val="0"/>
              </w:rPr>
              <w:t xml:space="preserve"> and cutting of the workforce </w:t>
            </w:r>
            <w:r w:rsidRPr="0023107F">
              <w:rPr>
                <w:b w:val="0"/>
                <w:bCs w:val="0"/>
              </w:rPr>
              <w:t xml:space="preserve">within hospitals. The extent of these challenges varies across </w:t>
            </w:r>
            <w:r>
              <w:rPr>
                <w:b w:val="0"/>
                <w:bCs w:val="0"/>
              </w:rPr>
              <w:t>jurisdictions</w:t>
            </w:r>
            <w:r w:rsidRPr="0023107F">
              <w:rPr>
                <w:b w:val="0"/>
                <w:bCs w:val="0"/>
              </w:rPr>
              <w:t xml:space="preserve"> and disciplines, with stakeholders from </w:t>
            </w:r>
            <w:r w:rsidR="00E0577E">
              <w:rPr>
                <w:b w:val="0"/>
                <w:bCs w:val="0"/>
              </w:rPr>
              <w:t>Victoria</w:t>
            </w:r>
            <w:r w:rsidR="00E0577E" w:rsidRPr="0023107F">
              <w:rPr>
                <w:b w:val="0"/>
                <w:bCs w:val="0"/>
              </w:rPr>
              <w:t xml:space="preserve"> </w:t>
            </w:r>
            <w:r w:rsidRPr="0023107F">
              <w:rPr>
                <w:b w:val="0"/>
                <w:bCs w:val="0"/>
              </w:rPr>
              <w:t>and DIMPs highlighting the issue more strongly.</w:t>
            </w:r>
          </w:p>
        </w:tc>
        <w:tc>
          <w:tcPr>
            <w:tcW w:w="425" w:type="dxa"/>
            <w:tcBorders>
              <w:bottom w:val="single" w:sz="4" w:space="0" w:color="2171FF" w:themeColor="accent1" w:themeTint="99"/>
            </w:tcBorders>
          </w:tcPr>
          <w:p w14:paraId="1616F459" w14:textId="737FBF78" w:rsidR="00E54CEA" w:rsidRPr="006527DB" w:rsidRDefault="00E54CEA" w:rsidP="00194457">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color w:val="00B050"/>
              </w:rPr>
            </w:pPr>
            <w:r w:rsidRPr="00121CCB">
              <w:rPr>
                <w:rFonts w:ascii="Wingdings 2" w:eastAsia="Wingdings 2" w:hAnsi="Wingdings 2" w:cs="Wingdings 2"/>
                <w:color w:val="A66500"/>
              </w:rPr>
              <w:t>□</w:t>
            </w:r>
          </w:p>
        </w:tc>
        <w:tc>
          <w:tcPr>
            <w:tcW w:w="4813" w:type="dxa"/>
            <w:tcBorders>
              <w:bottom w:val="single" w:sz="4" w:space="0" w:color="2171FF" w:themeColor="accent1" w:themeTint="99"/>
              <w:right w:val="nil"/>
            </w:tcBorders>
          </w:tcPr>
          <w:p w14:paraId="7C60D5DC" w14:textId="5EEBB7F7"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The MPS Program objectives and activities are not directly linked to the promotion of workforce value and self-advocacy, however various funded initiatives support workforce maturity and indirectly promote greater workforce awareness.</w:t>
            </w:r>
          </w:p>
          <w:p w14:paraId="09C50027" w14:textId="0E589971"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 xml:space="preserve">The MPS Program supports medical physicist training and certification, which have been shown by literature to promote standardised quality and thereby support broader recognition of the workforce. </w:t>
            </w:r>
          </w:p>
          <w:p w14:paraId="09A8C69D" w14:textId="33F33B2E" w:rsidR="00E54CEA" w:rsidRDefault="00E54CEA"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Defining roles and responsibilities of the workforce is also important for developing workforce maturity and understanding of the importance of the role. The MPS Program supports the development of Scopes of Practice and other initiatives aimed at scoping medical physicists’ role in various areas.</w:t>
            </w:r>
          </w:p>
        </w:tc>
      </w:tr>
    </w:tbl>
    <w:p w14:paraId="5558601A" w14:textId="6A160E8A" w:rsidR="00A92077" w:rsidRPr="00A92077" w:rsidRDefault="00E54CEA" w:rsidP="00E54CEA">
      <w:pPr>
        <w:pStyle w:val="Caption"/>
        <w:rPr>
          <w:i/>
          <w:iCs/>
          <w:color w:val="C00000"/>
        </w:rPr>
      </w:pPr>
      <w:r>
        <w:rPr>
          <w:iCs/>
          <w:color w:val="00B050"/>
        </w:rPr>
        <w:t xml:space="preserve">     </w:t>
      </w:r>
      <w:r w:rsidR="00216389" w:rsidRPr="00216389">
        <w:rPr>
          <w:rFonts w:ascii="Wingdings 2" w:eastAsia="Wingdings 2" w:hAnsi="Wingdings 2" w:cs="Wingdings 2"/>
          <w:color w:val="388600"/>
        </w:rPr>
        <w:t>□</w:t>
      </w:r>
      <w:r w:rsidR="00216389">
        <w:rPr>
          <w:rFonts w:ascii="Wingdings 2" w:eastAsia="Wingdings 2" w:hAnsi="Wingdings 2" w:cs="Wingdings 2"/>
          <w:color w:val="388600"/>
        </w:rPr>
        <w:t xml:space="preserve"> </w:t>
      </w:r>
      <w:r>
        <w:rPr>
          <w:iCs/>
          <w:color w:val="auto"/>
        </w:rPr>
        <w:t>Strong contribution</w:t>
      </w:r>
      <w:r>
        <w:rPr>
          <w:iCs/>
          <w:color w:val="C00000"/>
        </w:rPr>
        <w:t xml:space="preserve"> </w:t>
      </w:r>
      <w:r>
        <w:rPr>
          <w:iCs/>
          <w:color w:val="C00000"/>
        </w:rPr>
        <w:tab/>
      </w:r>
      <w:r>
        <w:rPr>
          <w:iCs/>
          <w:color w:val="C00000"/>
        </w:rPr>
        <w:tab/>
      </w:r>
      <w:r w:rsidRPr="00121CCB">
        <w:rPr>
          <w:rFonts w:ascii="Wingdings 2" w:eastAsia="Wingdings 2" w:hAnsi="Wingdings 2" w:cs="Wingdings 2"/>
          <w:color w:val="A66500"/>
        </w:rPr>
        <w:t>□</w:t>
      </w:r>
      <w:r>
        <w:rPr>
          <w:iCs/>
          <w:color w:val="C00000"/>
        </w:rPr>
        <w:t xml:space="preserve"> </w:t>
      </w:r>
      <w:r>
        <w:rPr>
          <w:iCs/>
          <w:color w:val="auto"/>
        </w:rPr>
        <w:t>Emerging</w:t>
      </w:r>
      <w:r w:rsidRPr="00A003B9">
        <w:rPr>
          <w:color w:val="auto"/>
        </w:rPr>
        <w:t xml:space="preserve"> </w:t>
      </w:r>
      <w:r w:rsidRPr="00A003B9">
        <w:rPr>
          <w:iCs/>
          <w:color w:val="auto"/>
        </w:rPr>
        <w:t>contribution</w:t>
      </w:r>
      <w:r>
        <w:rPr>
          <w:iCs/>
          <w:color w:val="C00000"/>
        </w:rPr>
        <w:tab/>
      </w:r>
      <w:r>
        <w:rPr>
          <w:iCs/>
          <w:color w:val="C00000"/>
        </w:rPr>
        <w:tab/>
      </w:r>
      <w:r w:rsidRPr="003824D3">
        <w:rPr>
          <w:rFonts w:ascii="Wingdings 2" w:eastAsia="Wingdings 2" w:hAnsi="Wingdings 2" w:cs="Wingdings 2"/>
          <w:color w:val="C00000"/>
        </w:rPr>
        <w:t>□</w:t>
      </w:r>
      <w:r>
        <w:rPr>
          <w:iCs/>
          <w:color w:val="C00000"/>
        </w:rPr>
        <w:t xml:space="preserve"> </w:t>
      </w:r>
      <w:r>
        <w:rPr>
          <w:iCs/>
          <w:color w:val="auto"/>
        </w:rPr>
        <w:t>No contribution</w:t>
      </w:r>
      <w:r>
        <w:rPr>
          <w:iCs/>
          <w:color w:val="C00000"/>
        </w:rPr>
        <w:t xml:space="preserve"> </w:t>
      </w:r>
    </w:p>
    <w:p w14:paraId="11AD6402" w14:textId="7014A32E" w:rsidR="00A92077" w:rsidRPr="00A92077" w:rsidRDefault="00A92077" w:rsidP="00A92077">
      <w:pPr>
        <w:pStyle w:val="BodyText"/>
        <w:rPr>
          <w:rFonts w:eastAsia="Times New Roman" w:cs="Times New Roman"/>
          <w:bCs/>
          <w:i/>
          <w:color w:val="00338D" w:themeColor="accent1"/>
          <w:sz w:val="18"/>
          <w:szCs w:val="20"/>
          <w:lang w:eastAsia="en-AU"/>
        </w:rPr>
      </w:pPr>
      <w:r w:rsidRPr="008702BB">
        <w:rPr>
          <w:rFonts w:eastAsia="Times New Roman" w:cs="Times New Roman"/>
          <w:bCs/>
          <w:i/>
          <w:color w:val="00338D" w:themeColor="accent1"/>
          <w:sz w:val="18"/>
          <w:szCs w:val="20"/>
          <w:lang w:eastAsia="en-AU"/>
        </w:rPr>
        <w:t>Source: KPMG</w:t>
      </w:r>
      <w:r w:rsidR="00F718B0">
        <w:rPr>
          <w:rFonts w:eastAsia="Times New Roman" w:cs="Times New Roman"/>
          <w:bCs/>
          <w:i/>
          <w:color w:val="00338D" w:themeColor="accent1"/>
          <w:sz w:val="18"/>
          <w:szCs w:val="20"/>
          <w:lang w:eastAsia="en-AU"/>
        </w:rPr>
        <w:t>,</w:t>
      </w:r>
      <w:r w:rsidRPr="008702BB">
        <w:rPr>
          <w:rFonts w:eastAsia="Times New Roman" w:cs="Times New Roman"/>
          <w:bCs/>
          <w:i/>
          <w:color w:val="00338D" w:themeColor="accent1"/>
          <w:sz w:val="18"/>
          <w:szCs w:val="20"/>
          <w:lang w:eastAsia="en-AU"/>
        </w:rPr>
        <w:t xml:space="preserve"> 2024</w:t>
      </w:r>
      <w:r w:rsidR="00F718B0">
        <w:rPr>
          <w:rFonts w:eastAsia="Times New Roman" w:cs="Times New Roman"/>
          <w:bCs/>
          <w:i/>
          <w:color w:val="00338D" w:themeColor="accent1"/>
          <w:sz w:val="18"/>
          <w:szCs w:val="20"/>
          <w:lang w:eastAsia="en-AU"/>
        </w:rPr>
        <w:t>.</w:t>
      </w:r>
    </w:p>
    <w:p w14:paraId="27D4ED3B" w14:textId="4F49AF40" w:rsidR="00DC6578" w:rsidRPr="00956655" w:rsidRDefault="006E71A4" w:rsidP="00F7224C">
      <w:pPr>
        <w:pStyle w:val="Heading4"/>
      </w:pPr>
      <w:r>
        <w:t>Developing a robust workforce supply</w:t>
      </w:r>
    </w:p>
    <w:p w14:paraId="5DC9A3DD" w14:textId="04F5ADAF" w:rsidR="007C372D" w:rsidRPr="007C372D" w:rsidRDefault="007C372D" w:rsidP="00DC27F5">
      <w:pPr>
        <w:pStyle w:val="Heading5"/>
        <w:rPr>
          <w:iCs/>
          <w:lang w:val="en-GB"/>
        </w:rPr>
      </w:pPr>
      <w:proofErr w:type="gramStart"/>
      <w:r w:rsidRPr="00DC27F5">
        <w:t>Workforce</w:t>
      </w:r>
      <w:proofErr w:type="gramEnd"/>
      <w:r w:rsidRPr="00DC27F5">
        <w:t xml:space="preserve"> </w:t>
      </w:r>
      <w:r w:rsidR="00195A52">
        <w:rPr>
          <w:bCs/>
          <w:iCs/>
          <w:lang w:val="en-GB"/>
        </w:rPr>
        <w:t>need</w:t>
      </w:r>
      <w:r w:rsidRPr="007C372D">
        <w:rPr>
          <w:bCs/>
          <w:iCs/>
          <w:lang w:val="en-GB"/>
        </w:rPr>
        <w:t xml:space="preserve"> </w:t>
      </w:r>
    </w:p>
    <w:p w14:paraId="74055285" w14:textId="1F5974EB" w:rsidR="00D875EF" w:rsidRPr="00D875EF" w:rsidRDefault="00D875EF" w:rsidP="00D875EF">
      <w:pPr>
        <w:pStyle w:val="BodyText"/>
        <w:rPr>
          <w:lang w:val="en-GB"/>
        </w:rPr>
      </w:pPr>
      <w:r w:rsidRPr="00D875EF">
        <w:rPr>
          <w:lang w:val="en-GB"/>
        </w:rPr>
        <w:t xml:space="preserve">Medical physicists and </w:t>
      </w:r>
      <w:r w:rsidR="0043409D">
        <w:rPr>
          <w:lang w:val="en-GB"/>
        </w:rPr>
        <w:t>RPSs</w:t>
      </w:r>
      <w:r w:rsidRPr="00D875EF">
        <w:rPr>
          <w:lang w:val="en-GB"/>
        </w:rPr>
        <w:t xml:space="preserve"> play a critical role in delivering safe, quality, and effective patient diagnosis and treatment in areas such as radiotherapy, nuclear medicine, diagnostic and interventional radiology, as well as other clinical areas where ionizing and non-ionizing radiation are use.</w:t>
      </w:r>
      <w:bookmarkStart w:id="98" w:name="_Ref181781534"/>
      <w:r w:rsidR="001D1A3C">
        <w:rPr>
          <w:rFonts w:ascii="ZWAdobeF" w:hAnsi="ZWAdobeF" w:cs="ZWAdobeF"/>
          <w:sz w:val="2"/>
          <w:szCs w:val="2"/>
          <w:lang w:val="en-GB"/>
        </w:rPr>
        <w:t>21F</w:t>
      </w:r>
      <w:r w:rsidR="005F7EBC">
        <w:rPr>
          <w:rFonts w:ascii="ZWAdobeF" w:hAnsi="ZWAdobeF" w:cs="ZWAdobeF"/>
          <w:sz w:val="2"/>
          <w:szCs w:val="2"/>
          <w:lang w:val="en-GB"/>
        </w:rPr>
        <w:t>29F</w:t>
      </w:r>
      <w:r w:rsidRPr="00D875EF">
        <w:rPr>
          <w:vertAlign w:val="superscript"/>
          <w:lang w:val="en-GB"/>
        </w:rPr>
        <w:footnoteReference w:id="31"/>
      </w:r>
      <w:bookmarkEnd w:id="98"/>
      <w:r w:rsidRPr="00D875EF">
        <w:rPr>
          <w:lang w:val="en-GB"/>
        </w:rPr>
        <w:t xml:space="preserve"> The importance of the medical physicist and </w:t>
      </w:r>
      <w:r w:rsidR="0043409D">
        <w:rPr>
          <w:lang w:val="en-GB"/>
        </w:rPr>
        <w:t>RPS</w:t>
      </w:r>
      <w:r w:rsidRPr="00D875EF">
        <w:rPr>
          <w:lang w:val="en-GB"/>
        </w:rPr>
        <w:t xml:space="preserve"> workforce is </w:t>
      </w:r>
      <w:r w:rsidR="00AC35E4">
        <w:rPr>
          <w:lang w:val="en-GB"/>
        </w:rPr>
        <w:t>attributed</w:t>
      </w:r>
      <w:r w:rsidRPr="00D875EF">
        <w:rPr>
          <w:lang w:val="en-GB"/>
        </w:rPr>
        <w:t xml:space="preserve"> to their role in maintaining and calibrating equipment used in diagnostic and therapeutic radiation, improving the targeting, effectiveness and quality of radiation diagnostics and treatments, developing improved radiation imaging and therapeutic techniques, and optimising radiation doses to assure radiation safety for patients and healthcare workers.</w:t>
      </w:r>
      <w:r w:rsidR="001D1A3C">
        <w:rPr>
          <w:rFonts w:ascii="ZWAdobeF" w:hAnsi="ZWAdobeF" w:cs="ZWAdobeF"/>
          <w:sz w:val="2"/>
          <w:szCs w:val="2"/>
          <w:lang w:val="en-GB"/>
        </w:rPr>
        <w:t>22F</w:t>
      </w:r>
      <w:r w:rsidR="005F7EBC">
        <w:rPr>
          <w:rFonts w:ascii="ZWAdobeF" w:hAnsi="ZWAdobeF" w:cs="ZWAdobeF"/>
          <w:sz w:val="2"/>
          <w:szCs w:val="2"/>
          <w:lang w:val="en-GB"/>
        </w:rPr>
        <w:t>30F</w:t>
      </w:r>
      <w:r w:rsidRPr="00D875EF">
        <w:rPr>
          <w:vertAlign w:val="superscript"/>
          <w:lang w:val="en-GB"/>
        </w:rPr>
        <w:footnoteReference w:id="32"/>
      </w:r>
      <w:r w:rsidRPr="00D875EF">
        <w:rPr>
          <w:vertAlign w:val="superscript"/>
          <w:lang w:val="en-GB"/>
        </w:rPr>
        <w:t xml:space="preserve">, </w:t>
      </w:r>
      <w:r w:rsidRPr="00D875EF">
        <w:rPr>
          <w:vertAlign w:val="superscript"/>
          <w:lang w:val="en-GB"/>
        </w:rPr>
        <w:fldChar w:fldCharType="begin"/>
      </w:r>
      <w:r w:rsidRPr="00D875EF">
        <w:rPr>
          <w:vertAlign w:val="superscript"/>
          <w:lang w:val="en-GB"/>
        </w:rPr>
        <w:instrText xml:space="preserve"> NOTEREF _Ref181773062 \h  \* MERGEFORMAT </w:instrText>
      </w:r>
      <w:r w:rsidRPr="00D875EF">
        <w:rPr>
          <w:vertAlign w:val="superscript"/>
          <w:lang w:val="en-GB"/>
        </w:rPr>
      </w:r>
      <w:r w:rsidRPr="00D875EF">
        <w:rPr>
          <w:vertAlign w:val="superscript"/>
          <w:lang w:val="en-GB"/>
        </w:rPr>
        <w:fldChar w:fldCharType="separate"/>
      </w:r>
      <w:r w:rsidR="005F7EBC">
        <w:rPr>
          <w:vertAlign w:val="superscript"/>
          <w:lang w:val="en-GB"/>
        </w:rPr>
        <w:t>33</w:t>
      </w:r>
      <w:r w:rsidRPr="00D875EF">
        <w:fldChar w:fldCharType="end"/>
      </w:r>
      <w:r w:rsidRPr="00D875EF">
        <w:rPr>
          <w:vertAlign w:val="superscript"/>
          <w:lang w:val="en-GB"/>
        </w:rPr>
        <w:t xml:space="preserve">, </w:t>
      </w:r>
      <w:bookmarkStart w:id="99" w:name="_Ref181774075"/>
      <w:r w:rsidR="001D1A3C">
        <w:rPr>
          <w:rFonts w:ascii="ZWAdobeF" w:hAnsi="ZWAdobeF" w:cs="ZWAdobeF"/>
          <w:sz w:val="2"/>
          <w:szCs w:val="2"/>
          <w:lang w:val="en-GB"/>
        </w:rPr>
        <w:t>23F</w:t>
      </w:r>
      <w:r w:rsidR="005F7EBC">
        <w:rPr>
          <w:rFonts w:ascii="ZWAdobeF" w:hAnsi="ZWAdobeF" w:cs="ZWAdobeF"/>
          <w:sz w:val="2"/>
          <w:szCs w:val="2"/>
          <w:lang w:val="en-GB"/>
        </w:rPr>
        <w:t>31F</w:t>
      </w:r>
      <w:r w:rsidRPr="00D875EF">
        <w:rPr>
          <w:vertAlign w:val="superscript"/>
          <w:lang w:val="en-GB"/>
        </w:rPr>
        <w:footnoteReference w:id="33"/>
      </w:r>
      <w:bookmarkEnd w:id="99"/>
      <w:r w:rsidRPr="00D875EF">
        <w:rPr>
          <w:lang w:val="en-GB"/>
        </w:rPr>
        <w:t xml:space="preserve"> The roles and responsibilities of medical physicists are broad, and are summarised </w:t>
      </w:r>
      <w:r w:rsidR="00E87917">
        <w:rPr>
          <w:lang w:val="en-GB"/>
        </w:rPr>
        <w:t xml:space="preserve">in Section </w:t>
      </w:r>
      <w:r w:rsidR="00E87917">
        <w:rPr>
          <w:lang w:val="en-GB"/>
        </w:rPr>
        <w:fldChar w:fldCharType="begin" w:fldLock="1"/>
      </w:r>
      <w:r w:rsidR="00E87917">
        <w:rPr>
          <w:lang w:val="en-GB"/>
        </w:rPr>
        <w:instrText xml:space="preserve"> REF _Ref178170584 \r \h </w:instrText>
      </w:r>
      <w:r w:rsidR="00E87917">
        <w:rPr>
          <w:lang w:val="en-GB"/>
        </w:rPr>
      </w:r>
      <w:r w:rsidR="00E87917">
        <w:rPr>
          <w:lang w:val="en-GB"/>
        </w:rPr>
        <w:fldChar w:fldCharType="separate"/>
      </w:r>
      <w:r w:rsidR="00D35A75">
        <w:rPr>
          <w:lang w:val="en-GB"/>
        </w:rPr>
        <w:t>2.1.1</w:t>
      </w:r>
      <w:r w:rsidR="00E87917">
        <w:rPr>
          <w:lang w:val="en-GB"/>
        </w:rPr>
        <w:fldChar w:fldCharType="end"/>
      </w:r>
      <w:r w:rsidR="00E87917">
        <w:rPr>
          <w:lang w:val="en-GB"/>
        </w:rPr>
        <w:t>.</w:t>
      </w:r>
    </w:p>
    <w:p w14:paraId="0B3BC004" w14:textId="77777777" w:rsidR="00D875EF" w:rsidRPr="00DC27F5" w:rsidRDefault="00D875EF" w:rsidP="00DC27F5">
      <w:pPr>
        <w:pStyle w:val="Heading5"/>
      </w:pPr>
      <w:r w:rsidRPr="00DC27F5">
        <w:t>Workforce demand</w:t>
      </w:r>
    </w:p>
    <w:p w14:paraId="0E420B22" w14:textId="2202BDA7" w:rsidR="00D875EF" w:rsidRPr="004429ED" w:rsidRDefault="00D875EF" w:rsidP="004429ED">
      <w:pPr>
        <w:pStyle w:val="BodyText"/>
      </w:pPr>
      <w:r w:rsidRPr="00D875EF">
        <w:rPr>
          <w:lang w:val="en-GB"/>
        </w:rPr>
        <w:t xml:space="preserve">Demand for medical physicist and </w:t>
      </w:r>
      <w:r w:rsidR="006A4581">
        <w:rPr>
          <w:lang w:val="en-GB"/>
        </w:rPr>
        <w:t>RPS</w:t>
      </w:r>
      <w:r w:rsidRPr="00D875EF">
        <w:rPr>
          <w:lang w:val="en-GB"/>
        </w:rPr>
        <w:t xml:space="preserve"> services is projected to grow in response to a growing and </w:t>
      </w:r>
      <w:r w:rsidRPr="00D875EF">
        <w:t>ageing population, increasing incidence of cancers, and increasing complex conditions.</w:t>
      </w:r>
      <w:bookmarkStart w:id="100" w:name="_Ref181773062"/>
      <w:r w:rsidRPr="00D875EF">
        <w:rPr>
          <w:vertAlign w:val="superscript"/>
        </w:rPr>
        <w:fldChar w:fldCharType="begin"/>
      </w:r>
      <w:r w:rsidRPr="00D875EF">
        <w:rPr>
          <w:vertAlign w:val="superscript"/>
        </w:rPr>
        <w:instrText xml:space="preserve"> NOTEREF _Ref181774075 \h  \* MERGEFORMAT </w:instrText>
      </w:r>
      <w:r w:rsidRPr="00D875EF">
        <w:rPr>
          <w:vertAlign w:val="superscript"/>
        </w:rPr>
      </w:r>
      <w:r w:rsidRPr="00D875EF">
        <w:rPr>
          <w:vertAlign w:val="superscript"/>
        </w:rPr>
        <w:fldChar w:fldCharType="separate"/>
      </w:r>
      <w:r w:rsidR="005F7EBC">
        <w:rPr>
          <w:vertAlign w:val="superscript"/>
        </w:rPr>
        <w:t>32</w:t>
      </w:r>
      <w:r w:rsidRPr="00D875EF">
        <w:fldChar w:fldCharType="end"/>
      </w:r>
      <w:r w:rsidRPr="00D875EF">
        <w:rPr>
          <w:vertAlign w:val="superscript"/>
        </w:rPr>
        <w:t>,</w:t>
      </w:r>
      <w:r w:rsidRPr="00D875EF">
        <w:t xml:space="preserve"> </w:t>
      </w:r>
      <w:bookmarkStart w:id="101" w:name="_Ref182579471"/>
      <w:r w:rsidR="001D1A3C">
        <w:rPr>
          <w:rFonts w:ascii="ZWAdobeF" w:hAnsi="ZWAdobeF" w:cs="ZWAdobeF"/>
          <w:sz w:val="2"/>
          <w:szCs w:val="2"/>
        </w:rPr>
        <w:t>24F</w:t>
      </w:r>
      <w:r w:rsidR="005F7EBC">
        <w:rPr>
          <w:rFonts w:ascii="ZWAdobeF" w:hAnsi="ZWAdobeF" w:cs="ZWAdobeF"/>
          <w:sz w:val="2"/>
          <w:szCs w:val="2"/>
        </w:rPr>
        <w:t>32F</w:t>
      </w:r>
      <w:r w:rsidRPr="00D875EF">
        <w:rPr>
          <w:vertAlign w:val="superscript"/>
        </w:rPr>
        <w:footnoteReference w:id="34"/>
      </w:r>
      <w:bookmarkEnd w:id="100"/>
      <w:bookmarkEnd w:id="101"/>
      <w:r w:rsidRPr="00D875EF">
        <w:t xml:space="preserve"> </w:t>
      </w:r>
      <w:r w:rsidR="00720076">
        <w:t>T</w:t>
      </w:r>
      <w:r w:rsidR="00293470" w:rsidRPr="00D875EF">
        <w:rPr>
          <w:lang w:val="en-GB"/>
        </w:rPr>
        <w:t>he ABS estimat</w:t>
      </w:r>
      <w:r w:rsidR="00720076">
        <w:rPr>
          <w:lang w:val="en-GB"/>
        </w:rPr>
        <w:t>es</w:t>
      </w:r>
      <w:r w:rsidR="00293470" w:rsidRPr="00D875EF">
        <w:rPr>
          <w:lang w:val="en-GB"/>
        </w:rPr>
        <w:t xml:space="preserve"> that by 2066</w:t>
      </w:r>
      <w:r w:rsidR="00E41F6D">
        <w:rPr>
          <w:lang w:val="en-GB"/>
        </w:rPr>
        <w:t>,</w:t>
      </w:r>
      <w:r w:rsidR="00293470" w:rsidRPr="00D875EF">
        <w:rPr>
          <w:lang w:val="en-GB"/>
        </w:rPr>
        <w:t xml:space="preserve"> people aged 65 years and over in Australia will make up between 21% and 24% of the total population.</w:t>
      </w:r>
      <w:r w:rsidR="001D1A3C">
        <w:rPr>
          <w:rFonts w:ascii="ZWAdobeF" w:hAnsi="ZWAdobeF" w:cs="ZWAdobeF"/>
          <w:sz w:val="2"/>
          <w:szCs w:val="2"/>
          <w:lang w:val="en-GB"/>
        </w:rPr>
        <w:t>25F</w:t>
      </w:r>
      <w:r w:rsidR="005F7EBC">
        <w:rPr>
          <w:rFonts w:ascii="ZWAdobeF" w:hAnsi="ZWAdobeF" w:cs="ZWAdobeF"/>
          <w:sz w:val="2"/>
          <w:szCs w:val="2"/>
          <w:lang w:val="en-GB"/>
        </w:rPr>
        <w:t>33F</w:t>
      </w:r>
      <w:r w:rsidR="00293470" w:rsidRPr="00D875EF">
        <w:rPr>
          <w:vertAlign w:val="superscript"/>
          <w:lang w:val="en-GB"/>
        </w:rPr>
        <w:footnoteReference w:id="35"/>
      </w:r>
      <w:r w:rsidR="00293470" w:rsidRPr="00D875EF">
        <w:rPr>
          <w:lang w:val="en-GB"/>
        </w:rPr>
        <w:t xml:space="preserve"> As the Australian population ages, the incidence of chronic diseases (including cancer) rises.</w:t>
      </w:r>
      <w:r w:rsidR="004429ED">
        <w:t xml:space="preserve"> </w:t>
      </w:r>
      <w:r w:rsidRPr="00D875EF">
        <w:rPr>
          <w:lang w:val="en-GB"/>
        </w:rPr>
        <w:t xml:space="preserve">Cancer Council SA estimates that 165,000 Australians were diagnosed with cancer in 2023, and almost </w:t>
      </w:r>
      <w:r w:rsidR="00194457">
        <w:rPr>
          <w:lang w:val="en-GB"/>
        </w:rPr>
        <w:t>two</w:t>
      </w:r>
      <w:r w:rsidRPr="00D875EF">
        <w:rPr>
          <w:lang w:val="en-GB"/>
        </w:rPr>
        <w:t xml:space="preserve"> in </w:t>
      </w:r>
      <w:r w:rsidR="00194457">
        <w:rPr>
          <w:lang w:val="en-GB"/>
        </w:rPr>
        <w:t xml:space="preserve">five </w:t>
      </w:r>
      <w:r w:rsidRPr="00D875EF">
        <w:rPr>
          <w:lang w:val="en-GB"/>
        </w:rPr>
        <w:t>Australians will be diagnosed with cancer by the age of 85.</w:t>
      </w:r>
      <w:r w:rsidRPr="0019282C">
        <w:rPr>
          <w:vertAlign w:val="superscript"/>
          <w:lang w:val="en-GB"/>
        </w:rPr>
        <w:t xml:space="preserve"> </w:t>
      </w:r>
      <w:bookmarkStart w:id="102" w:name="_Ref182579072"/>
      <w:r w:rsidR="001D1A3C">
        <w:rPr>
          <w:rFonts w:ascii="ZWAdobeF" w:hAnsi="ZWAdobeF" w:cs="ZWAdobeF"/>
          <w:sz w:val="2"/>
          <w:szCs w:val="2"/>
          <w:lang w:val="en-GB"/>
        </w:rPr>
        <w:t>26F</w:t>
      </w:r>
      <w:r w:rsidR="005F7EBC">
        <w:rPr>
          <w:rFonts w:ascii="ZWAdobeF" w:hAnsi="ZWAdobeF" w:cs="ZWAdobeF"/>
          <w:sz w:val="2"/>
          <w:szCs w:val="2"/>
          <w:lang w:val="en-GB"/>
        </w:rPr>
        <w:t>34F</w:t>
      </w:r>
      <w:r w:rsidR="0019282C" w:rsidRPr="00D875EF">
        <w:rPr>
          <w:vertAlign w:val="superscript"/>
          <w:lang w:val="en-GB"/>
        </w:rPr>
        <w:footnoteReference w:id="36"/>
      </w:r>
      <w:bookmarkEnd w:id="102"/>
      <w:r w:rsidRPr="00D875EF">
        <w:rPr>
          <w:lang w:val="en-GB"/>
        </w:rPr>
        <w:t xml:space="preserve"> The number of new Australian cancer cases diagnosed over the period from 2020-2044 is projected to total more than 4.56 million.</w:t>
      </w:r>
      <w:r w:rsidR="0019282C" w:rsidRPr="00DC27F5">
        <w:rPr>
          <w:vertAlign w:val="superscript"/>
          <w:lang w:val="en-GB"/>
        </w:rPr>
        <w:fldChar w:fldCharType="begin"/>
      </w:r>
      <w:r w:rsidR="0019282C" w:rsidRPr="00DC27F5">
        <w:rPr>
          <w:vertAlign w:val="superscript"/>
          <w:lang w:val="en-GB"/>
        </w:rPr>
        <w:instrText xml:space="preserve"> NOTEREF _Ref182579072 \h </w:instrText>
      </w:r>
      <w:r w:rsidR="0019282C">
        <w:rPr>
          <w:vertAlign w:val="superscript"/>
          <w:lang w:val="en-GB"/>
        </w:rPr>
        <w:instrText xml:space="preserve"> \* MERGEFORMAT </w:instrText>
      </w:r>
      <w:r w:rsidR="0019282C" w:rsidRPr="00DC27F5">
        <w:rPr>
          <w:vertAlign w:val="superscript"/>
          <w:lang w:val="en-GB"/>
        </w:rPr>
      </w:r>
      <w:r w:rsidR="0019282C" w:rsidRPr="00DC27F5">
        <w:rPr>
          <w:vertAlign w:val="superscript"/>
          <w:lang w:val="en-GB"/>
        </w:rPr>
        <w:fldChar w:fldCharType="separate"/>
      </w:r>
      <w:r w:rsidR="005F7EBC">
        <w:rPr>
          <w:vertAlign w:val="superscript"/>
          <w:lang w:val="en-GB"/>
        </w:rPr>
        <w:t>35</w:t>
      </w:r>
      <w:r w:rsidR="0019282C" w:rsidRPr="00DC27F5">
        <w:rPr>
          <w:vertAlign w:val="superscript"/>
          <w:lang w:val="en-GB"/>
        </w:rPr>
        <w:fldChar w:fldCharType="end"/>
      </w:r>
      <w:r w:rsidRPr="00D875EF">
        <w:rPr>
          <w:lang w:val="en-GB"/>
        </w:rPr>
        <w:t xml:space="preserve"> </w:t>
      </w:r>
      <w:r w:rsidR="00FC296E">
        <w:rPr>
          <w:lang w:val="en-GB"/>
        </w:rPr>
        <w:t>With</w:t>
      </w:r>
      <w:r w:rsidRPr="00D875EF">
        <w:rPr>
          <w:lang w:val="en-GB"/>
        </w:rPr>
        <w:t xml:space="preserve"> 1 in 2 patients with cancer </w:t>
      </w:r>
      <w:r w:rsidR="00FC296E">
        <w:rPr>
          <w:lang w:val="en-GB"/>
        </w:rPr>
        <w:t xml:space="preserve">having potential to </w:t>
      </w:r>
      <w:r w:rsidRPr="00D875EF">
        <w:rPr>
          <w:lang w:val="en-GB"/>
        </w:rPr>
        <w:t>benefit from radiation therapy</w:t>
      </w:r>
      <w:r w:rsidR="00FC296E">
        <w:rPr>
          <w:lang w:val="en-GB"/>
        </w:rPr>
        <w:t>,</w:t>
      </w:r>
      <w:r w:rsidR="001D1A3C">
        <w:rPr>
          <w:rFonts w:ascii="ZWAdobeF" w:hAnsi="ZWAdobeF" w:cs="ZWAdobeF"/>
          <w:sz w:val="2"/>
          <w:szCs w:val="2"/>
          <w:lang w:val="en-GB"/>
        </w:rPr>
        <w:t>27F</w:t>
      </w:r>
      <w:r w:rsidR="005F7EBC">
        <w:rPr>
          <w:rFonts w:ascii="ZWAdobeF" w:hAnsi="ZWAdobeF" w:cs="ZWAdobeF"/>
          <w:sz w:val="2"/>
          <w:szCs w:val="2"/>
          <w:lang w:val="en-GB"/>
        </w:rPr>
        <w:t>35F</w:t>
      </w:r>
      <w:r w:rsidR="002761FF" w:rsidRPr="00D875EF">
        <w:rPr>
          <w:vertAlign w:val="superscript"/>
          <w:lang w:val="en-GB"/>
        </w:rPr>
        <w:footnoteReference w:id="37"/>
      </w:r>
      <w:r w:rsidR="00FC296E">
        <w:rPr>
          <w:lang w:val="en-GB"/>
        </w:rPr>
        <w:t xml:space="preserve"> the growth in cancer cases represe</w:t>
      </w:r>
      <w:r w:rsidR="002761FF">
        <w:rPr>
          <w:lang w:val="en-GB"/>
        </w:rPr>
        <w:t xml:space="preserve">nts a rise in demand for medical physicist and </w:t>
      </w:r>
      <w:r w:rsidR="00A063E7">
        <w:rPr>
          <w:lang w:val="en-GB"/>
        </w:rPr>
        <w:t>RPS</w:t>
      </w:r>
      <w:r w:rsidR="002761FF">
        <w:rPr>
          <w:lang w:val="en-GB"/>
        </w:rPr>
        <w:t xml:space="preserve"> services.</w:t>
      </w:r>
    </w:p>
    <w:p w14:paraId="16B1DB3D" w14:textId="00F7DA02" w:rsidR="00D875EF" w:rsidRPr="00D875EF" w:rsidRDefault="00D875EF" w:rsidP="00D875EF">
      <w:pPr>
        <w:pStyle w:val="BodyText"/>
        <w:rPr>
          <w:lang w:val="en-GB"/>
        </w:rPr>
      </w:pPr>
      <w:r w:rsidRPr="00D875EF">
        <w:rPr>
          <w:lang w:val="en-GB"/>
        </w:rPr>
        <w:t xml:space="preserve">As radiation oncology treatments grow in Australia, medical physicists and </w:t>
      </w:r>
      <w:r w:rsidR="00452519">
        <w:rPr>
          <w:lang w:val="en-GB"/>
        </w:rPr>
        <w:t>RPSs</w:t>
      </w:r>
      <w:r w:rsidRPr="00D875EF">
        <w:rPr>
          <w:lang w:val="en-GB"/>
        </w:rPr>
        <w:t xml:space="preserve"> will play an important role in procurement, installation and commissioning of new and replacement machines. The total number of radiation therapy courses delivered in Australia increased by 55% over 2010 to 2020.</w:t>
      </w:r>
      <w:r w:rsidRPr="00D875EF">
        <w:rPr>
          <w:vertAlign w:val="superscript"/>
          <w:lang w:val="en-GB"/>
        </w:rPr>
        <w:fldChar w:fldCharType="begin"/>
      </w:r>
      <w:r w:rsidRPr="00D875EF">
        <w:rPr>
          <w:vertAlign w:val="superscript"/>
          <w:lang w:val="en-GB"/>
        </w:rPr>
        <w:instrText xml:space="preserve"> NOTEREF _Ref181776104 \h  \* MERGEFORMAT </w:instrText>
      </w:r>
      <w:r w:rsidRPr="00D875EF">
        <w:rPr>
          <w:vertAlign w:val="superscript"/>
          <w:lang w:val="en-GB"/>
        </w:rPr>
      </w:r>
      <w:r w:rsidRPr="00D875EF">
        <w:rPr>
          <w:vertAlign w:val="superscript"/>
          <w:lang w:val="en-GB"/>
        </w:rPr>
        <w:fldChar w:fldCharType="separate"/>
      </w:r>
      <w:r w:rsidR="005F7EBC">
        <w:rPr>
          <w:vertAlign w:val="superscript"/>
          <w:lang w:val="en-GB"/>
        </w:rPr>
        <w:t>37</w:t>
      </w:r>
      <w:r w:rsidRPr="00D875EF">
        <w:fldChar w:fldCharType="end"/>
      </w:r>
      <w:r w:rsidRPr="00D875EF">
        <w:rPr>
          <w:lang w:val="en-GB"/>
        </w:rPr>
        <w:t xml:space="preserve"> Rising demand for medical physicist services in the past decade is reflected by the rise in number of linear accelerators in Australia, which have increased from 145 in 2011 to 233 in 2021.</w:t>
      </w:r>
      <w:r w:rsidRPr="00D875EF">
        <w:rPr>
          <w:vertAlign w:val="superscript"/>
          <w:lang w:val="en-GB"/>
        </w:rPr>
        <w:fldChar w:fldCharType="begin"/>
      </w:r>
      <w:r w:rsidRPr="00D875EF">
        <w:rPr>
          <w:vertAlign w:val="superscript"/>
          <w:lang w:val="en-GB"/>
        </w:rPr>
        <w:instrText xml:space="preserve"> NOTEREF _Ref181776104 \h  \* MERGEFORMAT </w:instrText>
      </w:r>
      <w:r w:rsidRPr="00D875EF">
        <w:rPr>
          <w:vertAlign w:val="superscript"/>
          <w:lang w:val="en-GB"/>
        </w:rPr>
      </w:r>
      <w:r w:rsidRPr="00D875EF">
        <w:rPr>
          <w:vertAlign w:val="superscript"/>
          <w:lang w:val="en-GB"/>
        </w:rPr>
        <w:fldChar w:fldCharType="separate"/>
      </w:r>
      <w:r w:rsidR="005F7EBC">
        <w:rPr>
          <w:vertAlign w:val="superscript"/>
          <w:lang w:val="en-GB"/>
        </w:rPr>
        <w:t>37</w:t>
      </w:r>
      <w:r w:rsidRPr="00D875EF">
        <w:fldChar w:fldCharType="end"/>
      </w:r>
      <w:r w:rsidRPr="00D875EF">
        <w:rPr>
          <w:lang w:val="en-GB"/>
        </w:rPr>
        <w:t xml:space="preserve"> Demand for machinery replacement by medical physicists is also expected to grow as treatment equipment ages, with 43% of linear accelerators having reached or soon reaching replacement age.</w:t>
      </w:r>
      <w:r w:rsidRPr="00D875EF">
        <w:rPr>
          <w:vertAlign w:val="superscript"/>
          <w:lang w:val="en-GB"/>
        </w:rPr>
        <w:fldChar w:fldCharType="begin"/>
      </w:r>
      <w:r w:rsidRPr="00D875EF">
        <w:rPr>
          <w:vertAlign w:val="superscript"/>
          <w:lang w:val="en-GB"/>
        </w:rPr>
        <w:instrText xml:space="preserve"> NOTEREF _Ref181776104 \h  \* MERGEFORMAT </w:instrText>
      </w:r>
      <w:r w:rsidRPr="00D875EF">
        <w:rPr>
          <w:vertAlign w:val="superscript"/>
          <w:lang w:val="en-GB"/>
        </w:rPr>
      </w:r>
      <w:r w:rsidRPr="00D875EF">
        <w:rPr>
          <w:vertAlign w:val="superscript"/>
          <w:lang w:val="en-GB"/>
        </w:rPr>
        <w:fldChar w:fldCharType="separate"/>
      </w:r>
      <w:r w:rsidR="005F7EBC">
        <w:rPr>
          <w:vertAlign w:val="superscript"/>
          <w:lang w:val="en-GB"/>
        </w:rPr>
        <w:t>37</w:t>
      </w:r>
      <w:r w:rsidRPr="00D875EF">
        <w:fldChar w:fldCharType="end"/>
      </w:r>
    </w:p>
    <w:p w14:paraId="40347C5E" w14:textId="3F731F78" w:rsidR="00D875EF" w:rsidRPr="00D875EF" w:rsidRDefault="00D875EF" w:rsidP="00D875EF">
      <w:pPr>
        <w:pStyle w:val="BodyText"/>
        <w:rPr>
          <w:lang w:val="en-GB"/>
        </w:rPr>
      </w:pPr>
      <w:r w:rsidRPr="00D875EF">
        <w:rPr>
          <w:lang w:val="en-GB"/>
        </w:rPr>
        <w:t>As technology matures and more complex and sensitive technologies continue to emerge, the importance of DIMPs in managing growing patient quality and safety risks through the regular monitoring and calibration of machines will only grow.</w:t>
      </w:r>
      <w:r w:rsidRPr="00D875EF">
        <w:rPr>
          <w:vertAlign w:val="superscript"/>
          <w:lang w:val="en-GB"/>
        </w:rPr>
        <w:fldChar w:fldCharType="begin"/>
      </w:r>
      <w:r w:rsidRPr="00D875EF">
        <w:rPr>
          <w:vertAlign w:val="superscript"/>
          <w:lang w:val="en-GB"/>
        </w:rPr>
        <w:instrText xml:space="preserve"> NOTEREF _Ref181774075 \h  \* MERGEFORMAT </w:instrText>
      </w:r>
      <w:r w:rsidRPr="00D875EF">
        <w:rPr>
          <w:vertAlign w:val="superscript"/>
          <w:lang w:val="en-GB"/>
        </w:rPr>
      </w:r>
      <w:r w:rsidRPr="00D875EF">
        <w:rPr>
          <w:vertAlign w:val="superscript"/>
          <w:lang w:val="en-GB"/>
        </w:rPr>
        <w:fldChar w:fldCharType="separate"/>
      </w:r>
      <w:r w:rsidR="005F7EBC">
        <w:rPr>
          <w:vertAlign w:val="superscript"/>
          <w:lang w:val="en-GB"/>
        </w:rPr>
        <w:t>32</w:t>
      </w:r>
      <w:r w:rsidRPr="00D875EF">
        <w:fldChar w:fldCharType="end"/>
      </w:r>
      <w:r w:rsidRPr="00D875EF">
        <w:rPr>
          <w:lang w:val="en-GB"/>
        </w:rPr>
        <w:t xml:space="preserve"> Similarly, the role of ROMPs in optimising quality and safety of radiation treatments will become increasingly critical as radiation therapy treatments are becoming increasingly complex.</w:t>
      </w:r>
      <w:bookmarkStart w:id="103" w:name="_Ref181776104"/>
      <w:r w:rsidR="001D1A3C">
        <w:rPr>
          <w:rFonts w:ascii="ZWAdobeF" w:hAnsi="ZWAdobeF" w:cs="ZWAdobeF"/>
          <w:sz w:val="2"/>
          <w:szCs w:val="2"/>
          <w:lang w:val="en-GB"/>
        </w:rPr>
        <w:t>28F</w:t>
      </w:r>
      <w:bookmarkStart w:id="104" w:name="_Ref184392356"/>
      <w:r w:rsidR="005F7EBC">
        <w:rPr>
          <w:rFonts w:ascii="ZWAdobeF" w:hAnsi="ZWAdobeF" w:cs="ZWAdobeF"/>
          <w:sz w:val="2"/>
          <w:szCs w:val="2"/>
          <w:lang w:val="en-GB"/>
        </w:rPr>
        <w:t>36F</w:t>
      </w:r>
      <w:r w:rsidRPr="00D875EF">
        <w:rPr>
          <w:vertAlign w:val="superscript"/>
          <w:lang w:val="en-GB"/>
        </w:rPr>
        <w:footnoteReference w:id="38"/>
      </w:r>
      <w:bookmarkEnd w:id="103"/>
      <w:bookmarkEnd w:id="104"/>
    </w:p>
    <w:p w14:paraId="3893E762" w14:textId="3E8B26E5" w:rsidR="00D875EF" w:rsidRDefault="00D875EF" w:rsidP="00D875EF">
      <w:pPr>
        <w:pStyle w:val="BodyText"/>
        <w:rPr>
          <w:vertAlign w:val="superscript"/>
          <w:lang w:val="en-GB"/>
        </w:rPr>
      </w:pPr>
      <w:r w:rsidRPr="00D875EF">
        <w:rPr>
          <w:lang w:val="en-GB"/>
        </w:rPr>
        <w:t>The Australian Government has acknowledged the growing demand for medicines, via increased funding to the Australian Nuclear Science and Technology Organisation (ANSTO), and its commitment to safe practices through regulation via the ACSQHC. Each week ANSTO produces nuclear medicines for between 10,000 and 12,000 procedures in Australian hospitals and medical clinics, which is around 75-80% of nuclear medicine used in Australia.</w:t>
      </w:r>
      <w:bookmarkStart w:id="105" w:name="_Ref182579175"/>
      <w:r w:rsidR="001D1A3C">
        <w:rPr>
          <w:rFonts w:ascii="ZWAdobeF" w:hAnsi="ZWAdobeF" w:cs="ZWAdobeF"/>
          <w:sz w:val="2"/>
          <w:szCs w:val="2"/>
          <w:lang w:val="en-GB"/>
        </w:rPr>
        <w:t>29F</w:t>
      </w:r>
      <w:r w:rsidR="005F7EBC">
        <w:rPr>
          <w:rFonts w:ascii="ZWAdobeF" w:hAnsi="ZWAdobeF" w:cs="ZWAdobeF"/>
          <w:sz w:val="2"/>
          <w:szCs w:val="2"/>
          <w:lang w:val="en-GB"/>
        </w:rPr>
        <w:t>37F</w:t>
      </w:r>
      <w:r w:rsidRPr="00D875EF">
        <w:rPr>
          <w:vertAlign w:val="superscript"/>
          <w:lang w:val="en-GB"/>
        </w:rPr>
        <w:footnoteReference w:id="39"/>
      </w:r>
      <w:bookmarkEnd w:id="105"/>
      <w:r w:rsidRPr="00D875EF">
        <w:rPr>
          <w:lang w:val="en-GB"/>
        </w:rPr>
        <w:t xml:space="preserve"> In 2023, the Australian Government awarded ANSTO significant additional funding to develop a new Nuclear Medicine Facility. The new purpose-built facility will ensure ANSTO has the flexibility to adapt to evolving manufacturing technologies and meet the changing needs of the radiopharmaceuticals market.</w:t>
      </w:r>
      <w:r w:rsidR="00D36EFC" w:rsidRPr="00DC27F5">
        <w:rPr>
          <w:vertAlign w:val="superscript"/>
          <w:lang w:val="en-GB"/>
        </w:rPr>
        <w:fldChar w:fldCharType="begin"/>
      </w:r>
      <w:r w:rsidR="00D36EFC" w:rsidRPr="00DC27F5">
        <w:rPr>
          <w:vertAlign w:val="superscript"/>
          <w:lang w:val="en-GB"/>
        </w:rPr>
        <w:instrText xml:space="preserve"> NOTEREF _Ref182579175 \h </w:instrText>
      </w:r>
      <w:r w:rsidR="00D36EFC">
        <w:rPr>
          <w:vertAlign w:val="superscript"/>
          <w:lang w:val="en-GB"/>
        </w:rPr>
        <w:instrText xml:space="preserve"> \* MERGEFORMAT </w:instrText>
      </w:r>
      <w:r w:rsidR="00D36EFC" w:rsidRPr="00DC27F5">
        <w:rPr>
          <w:vertAlign w:val="superscript"/>
          <w:lang w:val="en-GB"/>
        </w:rPr>
      </w:r>
      <w:r w:rsidR="00D36EFC" w:rsidRPr="00DC27F5">
        <w:rPr>
          <w:vertAlign w:val="superscript"/>
          <w:lang w:val="en-GB"/>
        </w:rPr>
        <w:fldChar w:fldCharType="separate"/>
      </w:r>
      <w:r w:rsidR="005F7EBC">
        <w:rPr>
          <w:vertAlign w:val="superscript"/>
          <w:lang w:val="en-GB"/>
        </w:rPr>
        <w:t>38</w:t>
      </w:r>
      <w:r w:rsidR="00D36EFC" w:rsidRPr="00DC27F5">
        <w:rPr>
          <w:vertAlign w:val="superscript"/>
          <w:lang w:val="en-GB"/>
        </w:rPr>
        <w:fldChar w:fldCharType="end"/>
      </w:r>
    </w:p>
    <w:p w14:paraId="0212C086" w14:textId="77777777" w:rsidR="00D875EF" w:rsidRPr="00DC27F5" w:rsidRDefault="00D875EF" w:rsidP="00DC27F5">
      <w:pPr>
        <w:pStyle w:val="Heading5"/>
      </w:pPr>
      <w:r w:rsidRPr="00DC27F5">
        <w:t>Current workforce size</w:t>
      </w:r>
    </w:p>
    <w:p w14:paraId="002E6F97" w14:textId="76162E3F" w:rsidR="00D875EF" w:rsidRPr="00D875EF" w:rsidRDefault="009617E7" w:rsidP="00D875EF">
      <w:pPr>
        <w:pStyle w:val="BodyText"/>
      </w:pPr>
      <w:r>
        <w:t>According to international literature, t</w:t>
      </w:r>
      <w:r w:rsidR="00D875EF" w:rsidRPr="00D875EF">
        <w:t>he medical physicist profession and workforce is changing in response to scientific and medical advancements, healthcare reform, as well as long-term trends of population growth, an ageing population, and increasing incidence of cancers.</w:t>
      </w:r>
      <w:r w:rsidR="008F3DF7" w:rsidRPr="00DC27F5">
        <w:rPr>
          <w:vertAlign w:val="superscript"/>
        </w:rPr>
        <w:fldChar w:fldCharType="begin"/>
      </w:r>
      <w:r w:rsidR="008F3DF7" w:rsidRPr="00DC27F5">
        <w:rPr>
          <w:vertAlign w:val="superscript"/>
        </w:rPr>
        <w:instrText xml:space="preserve"> NOTEREF _Ref182579471 \h </w:instrText>
      </w:r>
      <w:r w:rsidR="008F3DF7">
        <w:rPr>
          <w:vertAlign w:val="superscript"/>
        </w:rPr>
        <w:instrText xml:space="preserve"> \* MERGEFORMAT </w:instrText>
      </w:r>
      <w:r w:rsidR="008F3DF7" w:rsidRPr="00DC27F5">
        <w:rPr>
          <w:vertAlign w:val="superscript"/>
        </w:rPr>
      </w:r>
      <w:r w:rsidR="008F3DF7" w:rsidRPr="00DC27F5">
        <w:rPr>
          <w:vertAlign w:val="superscript"/>
        </w:rPr>
        <w:fldChar w:fldCharType="separate"/>
      </w:r>
      <w:r w:rsidR="005F7EBC">
        <w:rPr>
          <w:vertAlign w:val="superscript"/>
        </w:rPr>
        <w:t>33</w:t>
      </w:r>
      <w:r w:rsidR="008F3DF7" w:rsidRPr="00DC27F5">
        <w:rPr>
          <w:vertAlign w:val="superscript"/>
        </w:rPr>
        <w:fldChar w:fldCharType="end"/>
      </w:r>
      <w:r w:rsidR="00D875EF" w:rsidRPr="00D875EF">
        <w:t xml:space="preserve"> To account for these continual changes, </w:t>
      </w:r>
      <w:r>
        <w:t xml:space="preserve">literature advises that </w:t>
      </w:r>
      <w:r w:rsidR="00D875EF" w:rsidRPr="00D875EF">
        <w:t>workforce surveys and modelling are necessary to inform an understanding of the impact of these advancements and trends on medical physics workforce requirements. Annual surveillance of workforce data, longitudinal analysis to understand long-term trends, and the modelling of future projections provide evidence that is critical for informing policy assessments and decision making.</w:t>
      </w:r>
      <w:r w:rsidR="00266755" w:rsidRPr="00DC27F5">
        <w:rPr>
          <w:vertAlign w:val="superscript"/>
        </w:rPr>
        <w:fldChar w:fldCharType="begin"/>
      </w:r>
      <w:r w:rsidR="00266755" w:rsidRPr="00DC27F5">
        <w:rPr>
          <w:vertAlign w:val="superscript"/>
        </w:rPr>
        <w:instrText xml:space="preserve"> NOTEREF _Ref182579471 \h </w:instrText>
      </w:r>
      <w:r w:rsidR="00266755">
        <w:rPr>
          <w:vertAlign w:val="superscript"/>
        </w:rPr>
        <w:instrText xml:space="preserve"> \* MERGEFORMAT </w:instrText>
      </w:r>
      <w:r w:rsidR="00266755" w:rsidRPr="00DC27F5">
        <w:rPr>
          <w:vertAlign w:val="superscript"/>
        </w:rPr>
      </w:r>
      <w:r w:rsidR="00266755" w:rsidRPr="00DC27F5">
        <w:rPr>
          <w:vertAlign w:val="superscript"/>
        </w:rPr>
        <w:fldChar w:fldCharType="separate"/>
      </w:r>
      <w:r w:rsidR="005F7EBC">
        <w:rPr>
          <w:vertAlign w:val="superscript"/>
        </w:rPr>
        <w:t>33</w:t>
      </w:r>
      <w:r w:rsidR="00266755" w:rsidRPr="00DC27F5">
        <w:rPr>
          <w:vertAlign w:val="superscript"/>
        </w:rPr>
        <w:fldChar w:fldCharType="end"/>
      </w:r>
      <w:r w:rsidR="000D78B2">
        <w:rPr>
          <w:vertAlign w:val="superscript"/>
        </w:rPr>
        <w:t xml:space="preserve">, </w:t>
      </w:r>
      <w:r w:rsidR="001D1A3C">
        <w:rPr>
          <w:rFonts w:ascii="ZWAdobeF" w:hAnsi="ZWAdobeF" w:cs="ZWAdobeF"/>
          <w:sz w:val="2"/>
          <w:szCs w:val="2"/>
        </w:rPr>
        <w:t>30F</w:t>
      </w:r>
      <w:r w:rsidR="005F7EBC">
        <w:rPr>
          <w:rFonts w:ascii="ZWAdobeF" w:hAnsi="ZWAdobeF" w:cs="ZWAdobeF"/>
          <w:sz w:val="2"/>
          <w:szCs w:val="2"/>
        </w:rPr>
        <w:t>38F</w:t>
      </w:r>
      <w:r w:rsidR="000D78B2">
        <w:rPr>
          <w:rStyle w:val="FootnoteReference"/>
        </w:rPr>
        <w:footnoteReference w:id="40"/>
      </w:r>
      <w:r w:rsidR="00D875EF" w:rsidRPr="00D875EF">
        <w:t xml:space="preserve"> Based on the findings of these analyses and projections, consensus recommendations should be developed and accompanied by an impact assessment that includes both public health and economic analyses, as well as an assessment of the potential consequences of inaction.</w:t>
      </w:r>
      <w:r w:rsidR="00BD6B23" w:rsidRPr="00DC27F5">
        <w:rPr>
          <w:vertAlign w:val="superscript"/>
        </w:rPr>
        <w:fldChar w:fldCharType="begin"/>
      </w:r>
      <w:r w:rsidR="00BD6B23" w:rsidRPr="00DC27F5">
        <w:rPr>
          <w:vertAlign w:val="superscript"/>
        </w:rPr>
        <w:instrText xml:space="preserve"> NOTEREF _Ref182579471 \h </w:instrText>
      </w:r>
      <w:r w:rsidR="00BD6B23">
        <w:rPr>
          <w:vertAlign w:val="superscript"/>
        </w:rPr>
        <w:instrText xml:space="preserve"> \* MERGEFORMAT </w:instrText>
      </w:r>
      <w:r w:rsidR="00BD6B23" w:rsidRPr="00DC27F5">
        <w:rPr>
          <w:vertAlign w:val="superscript"/>
        </w:rPr>
      </w:r>
      <w:r w:rsidR="00BD6B23" w:rsidRPr="00DC27F5">
        <w:rPr>
          <w:vertAlign w:val="superscript"/>
        </w:rPr>
        <w:fldChar w:fldCharType="separate"/>
      </w:r>
      <w:r w:rsidR="005F7EBC">
        <w:rPr>
          <w:vertAlign w:val="superscript"/>
        </w:rPr>
        <w:t>33</w:t>
      </w:r>
      <w:r w:rsidR="00BD6B23" w:rsidRPr="00DC27F5">
        <w:rPr>
          <w:vertAlign w:val="superscript"/>
        </w:rPr>
        <w:fldChar w:fldCharType="end"/>
      </w:r>
    </w:p>
    <w:p w14:paraId="107BA7C9" w14:textId="0F5C85FB" w:rsidR="00D875EF" w:rsidRPr="00D875EF" w:rsidRDefault="00D875EF" w:rsidP="00D875EF">
      <w:pPr>
        <w:pStyle w:val="BodyText"/>
      </w:pPr>
      <w:r w:rsidRPr="00D875EF">
        <w:t xml:space="preserve">There are significant limitations relating to the precision and accuracy of data on the medical physicist and </w:t>
      </w:r>
      <w:r w:rsidR="00F37D3A">
        <w:t>RPS</w:t>
      </w:r>
      <w:r w:rsidRPr="00D875EF">
        <w:t xml:space="preserve"> workforce in Australia, making it challenging to accurately capture workforce size. Challenges with workforce data include:</w:t>
      </w:r>
    </w:p>
    <w:p w14:paraId="72E078C6" w14:textId="77777777" w:rsidR="00D875EF" w:rsidRPr="00D875EF" w:rsidRDefault="00D875EF" w:rsidP="00584EC6">
      <w:pPr>
        <w:pStyle w:val="BodyText"/>
        <w:numPr>
          <w:ilvl w:val="0"/>
          <w:numId w:val="38"/>
        </w:numPr>
      </w:pPr>
      <w:r w:rsidRPr="00D875EF">
        <w:t>There is no formal register of medical physicists in Australia, and therefore no formal figure for the exact number of medical physicists or people employed into roles where the scope of practice of a medical physicist is required. As such, the number of medical physicists registered with ACPSEM does not reflect workforce size in Australia, made evident as there are approximately 200 more ACPSEM members than there are registered medical physicists.</w:t>
      </w:r>
    </w:p>
    <w:p w14:paraId="28863953" w14:textId="77777777" w:rsidR="00D875EF" w:rsidRPr="00D875EF" w:rsidRDefault="00D875EF" w:rsidP="00584EC6">
      <w:pPr>
        <w:pStyle w:val="BodyText"/>
        <w:numPr>
          <w:ilvl w:val="0"/>
          <w:numId w:val="38"/>
        </w:numPr>
      </w:pPr>
      <w:r w:rsidRPr="00D875EF">
        <w:t>Registration data does not include medical physicist services that are consulted out to external companies used to calibrate and quality assure machinery.</w:t>
      </w:r>
    </w:p>
    <w:p w14:paraId="4051F8B3" w14:textId="77777777" w:rsidR="00D875EF" w:rsidRPr="00D875EF" w:rsidRDefault="00D875EF" w:rsidP="00584EC6">
      <w:pPr>
        <w:pStyle w:val="BodyText"/>
        <w:numPr>
          <w:ilvl w:val="0"/>
          <w:numId w:val="38"/>
        </w:numPr>
      </w:pPr>
      <w:r w:rsidRPr="00D875EF">
        <w:t xml:space="preserve">Each jurisdiction collates its own </w:t>
      </w:r>
      <w:proofErr w:type="gramStart"/>
      <w:r w:rsidRPr="00D875EF">
        <w:t>data</w:t>
      </w:r>
      <w:proofErr w:type="gramEnd"/>
      <w:r w:rsidRPr="00D875EF">
        <w:t xml:space="preserve"> and it is often not up to date.</w:t>
      </w:r>
    </w:p>
    <w:p w14:paraId="23BEB2D0" w14:textId="77777777" w:rsidR="00D875EF" w:rsidRPr="00D875EF" w:rsidRDefault="00D875EF" w:rsidP="00584EC6">
      <w:pPr>
        <w:pStyle w:val="BodyText"/>
        <w:numPr>
          <w:ilvl w:val="0"/>
          <w:numId w:val="38"/>
        </w:numPr>
      </w:pPr>
      <w:r w:rsidRPr="00D875EF">
        <w:t>Data may not include private sector employees.</w:t>
      </w:r>
    </w:p>
    <w:p w14:paraId="65DE897C" w14:textId="6D7BD74D" w:rsidR="00D875EF" w:rsidRPr="00D875EF" w:rsidRDefault="00D875EF" w:rsidP="00584EC6">
      <w:pPr>
        <w:pStyle w:val="BodyText"/>
        <w:numPr>
          <w:ilvl w:val="0"/>
          <w:numId w:val="38"/>
        </w:numPr>
      </w:pPr>
      <w:r w:rsidRPr="00D875EF">
        <w:t>Medical physicist data is</w:t>
      </w:r>
      <w:r w:rsidR="005700A1">
        <w:t xml:space="preserve"> often</w:t>
      </w:r>
      <w:r w:rsidRPr="00D875EF">
        <w:t xml:space="preserve"> not broken into subspecialties (particularly between DIMP Radiology and DIMP Nuclear Medicine).</w:t>
      </w:r>
    </w:p>
    <w:p w14:paraId="254D5588" w14:textId="77777777" w:rsidR="00D875EF" w:rsidRPr="00D875EF" w:rsidRDefault="00D875EF" w:rsidP="00584EC6">
      <w:pPr>
        <w:pStyle w:val="BodyText"/>
        <w:numPr>
          <w:ilvl w:val="0"/>
          <w:numId w:val="38"/>
        </w:numPr>
      </w:pPr>
      <w:r w:rsidRPr="00D875EF">
        <w:t>Data does not specify if an employed medical physicist is considered ‘qualified’.</w:t>
      </w:r>
    </w:p>
    <w:p w14:paraId="1AE8D9FD" w14:textId="32BA4EB7" w:rsidR="00601EF7" w:rsidRPr="00601EF7" w:rsidRDefault="00D875EF" w:rsidP="00601EF7">
      <w:pPr>
        <w:pStyle w:val="BodyText"/>
      </w:pPr>
      <w:r w:rsidRPr="00D875EF">
        <w:t xml:space="preserve">With these limitations at the forefront, </w:t>
      </w:r>
      <w:r w:rsidR="002C62D5">
        <w:t>ACPSEM</w:t>
      </w:r>
      <w:r w:rsidRPr="00D875EF">
        <w:t xml:space="preserve">’s membership data provides the most reliable data source for the medical physicist and </w:t>
      </w:r>
      <w:r w:rsidR="00A51015">
        <w:t>RPS</w:t>
      </w:r>
      <w:r w:rsidRPr="00D875EF">
        <w:t xml:space="preserve"> workforce, however this data is indicative only. </w:t>
      </w:r>
      <w:r w:rsidR="002C62D5">
        <w:t>ACPSEM</w:t>
      </w:r>
      <w:r w:rsidRPr="00D875EF">
        <w:t xml:space="preserve"> currently has 964 members, the majority of whom are listed on the ACPSEM Register as Qualified Medical Physics Specialists. </w:t>
      </w:r>
      <w:r w:rsidR="00651CDC">
        <w:fldChar w:fldCharType="begin" w:fldLock="1"/>
      </w:r>
      <w:r w:rsidR="00651CDC">
        <w:instrText xml:space="preserve"> REF _Ref181623773 \h  \* MERGEFORMAT </w:instrText>
      </w:r>
      <w:r w:rsidR="00651CDC">
        <w:fldChar w:fldCharType="separate"/>
      </w:r>
      <w:r w:rsidR="00D35A75" w:rsidRPr="004214EC">
        <w:t xml:space="preserve">Table </w:t>
      </w:r>
      <w:r w:rsidR="00D35A75" w:rsidRPr="00D35A75">
        <w:t>6</w:t>
      </w:r>
      <w:r w:rsidR="00651CDC">
        <w:fldChar w:fldCharType="end"/>
      </w:r>
      <w:r w:rsidR="00651CDC">
        <w:t xml:space="preserve"> </w:t>
      </w:r>
      <w:r w:rsidRPr="00D875EF">
        <w:t xml:space="preserve">shows the most recent (March 2024) </w:t>
      </w:r>
      <w:r w:rsidR="00A65024">
        <w:t>data from</w:t>
      </w:r>
      <w:r w:rsidRPr="00D875EF">
        <w:t xml:space="preserve"> the ACPEM Register.</w:t>
      </w:r>
    </w:p>
    <w:p w14:paraId="7BC52DF0" w14:textId="77777777" w:rsidR="00A06B1B" w:rsidRDefault="00A06B1B">
      <w:pPr>
        <w:spacing w:before="0" w:after="160" w:line="259" w:lineRule="auto"/>
        <w:rPr>
          <w:rFonts w:eastAsia="Times New Roman" w:cs="Times New Roman"/>
          <w:bCs/>
          <w:color w:val="00338D" w:themeColor="accent1"/>
          <w:szCs w:val="20"/>
          <w:lang w:eastAsia="en-AU"/>
        </w:rPr>
      </w:pPr>
      <w:bookmarkStart w:id="106" w:name="_Ref181623773"/>
      <w:r>
        <w:br w:type="page"/>
      </w:r>
    </w:p>
    <w:p w14:paraId="34AD685F" w14:textId="44CCB193" w:rsidR="00601EF7" w:rsidRDefault="00601EF7" w:rsidP="004214EC">
      <w:pPr>
        <w:pStyle w:val="Caption"/>
      </w:pPr>
      <w:r w:rsidRPr="004214EC">
        <w:t xml:space="preserve">Table </w:t>
      </w:r>
      <w:r w:rsidRPr="004214EC">
        <w:fldChar w:fldCharType="begin"/>
      </w:r>
      <w:r w:rsidRPr="00194457">
        <w:instrText xml:space="preserve"> SEQ Table \* ARABIC </w:instrText>
      </w:r>
      <w:r w:rsidRPr="004214EC">
        <w:fldChar w:fldCharType="separate"/>
      </w:r>
      <w:r w:rsidR="005F7EBC">
        <w:rPr>
          <w:noProof/>
        </w:rPr>
        <w:t>6</w:t>
      </w:r>
      <w:r w:rsidRPr="004214EC">
        <w:fldChar w:fldCharType="end"/>
      </w:r>
      <w:bookmarkEnd w:id="106"/>
      <w:r w:rsidRPr="004214EC">
        <w:t xml:space="preserve">: Estimated medical physicist and </w:t>
      </w:r>
      <w:r w:rsidR="00A65024">
        <w:t>RPS</w:t>
      </w:r>
      <w:r w:rsidRPr="004214EC">
        <w:t xml:space="preserve"> workforce numbers based on ACPSEM Registry data from March 2024.</w:t>
      </w:r>
    </w:p>
    <w:tbl>
      <w:tblPr>
        <w:tblStyle w:val="GridTable1Light-Accent1"/>
        <w:tblW w:w="0" w:type="auto"/>
        <w:tblLook w:val="04A0" w:firstRow="1" w:lastRow="0" w:firstColumn="1" w:lastColumn="0" w:noHBand="0" w:noVBand="1"/>
      </w:tblPr>
      <w:tblGrid>
        <w:gridCol w:w="3107"/>
        <w:gridCol w:w="2368"/>
        <w:gridCol w:w="2196"/>
        <w:gridCol w:w="1957"/>
      </w:tblGrid>
      <w:tr w:rsidR="00E964FA" w:rsidRPr="00601EF7" w14:paraId="63CFC43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Borders>
              <w:top w:val="nil"/>
              <w:left w:val="nil"/>
            </w:tcBorders>
            <w:shd w:val="clear" w:color="auto" w:fill="F1F4FE"/>
          </w:tcPr>
          <w:p w14:paraId="1E8F7B1A" w14:textId="784028D7" w:rsidR="00E964FA" w:rsidRPr="00E964FA" w:rsidRDefault="00E964FA" w:rsidP="00194457">
            <w:pPr>
              <w:spacing w:before="100" w:after="100"/>
              <w:rPr>
                <w:rFonts w:eastAsia="Aptos" w:cs="Arial"/>
              </w:rPr>
            </w:pPr>
            <w:r w:rsidRPr="00E964FA">
              <w:rPr>
                <w:rFonts w:eastAsia="Aptos" w:cs="Arial"/>
              </w:rPr>
              <w:t>Discipline</w:t>
            </w:r>
          </w:p>
        </w:tc>
        <w:tc>
          <w:tcPr>
            <w:tcW w:w="2368" w:type="dxa"/>
            <w:tcBorders>
              <w:top w:val="nil"/>
            </w:tcBorders>
          </w:tcPr>
          <w:p w14:paraId="01725BB5" w14:textId="4EC65F01" w:rsidR="00E964FA" w:rsidRPr="00E964FA" w:rsidRDefault="00E964FA" w:rsidP="00194457">
            <w:pPr>
              <w:spacing w:before="100" w:after="100"/>
              <w:cnfStyle w:val="100000000000" w:firstRow="1" w:lastRow="0" w:firstColumn="0" w:lastColumn="0" w:oddVBand="0" w:evenVBand="0" w:oddHBand="0" w:evenHBand="0" w:firstRowFirstColumn="0" w:firstRowLastColumn="0" w:lastRowFirstColumn="0" w:lastRowLastColumn="0"/>
              <w:rPr>
                <w:rFonts w:eastAsia="Aptos" w:cs="Arial"/>
              </w:rPr>
            </w:pPr>
            <w:r w:rsidRPr="00E964FA">
              <w:rPr>
                <w:rFonts w:eastAsia="Aptos" w:cs="Arial"/>
              </w:rPr>
              <w:t>Estimated number of QMPs</w:t>
            </w:r>
          </w:p>
        </w:tc>
        <w:tc>
          <w:tcPr>
            <w:tcW w:w="2196" w:type="dxa"/>
            <w:tcBorders>
              <w:top w:val="nil"/>
            </w:tcBorders>
          </w:tcPr>
          <w:p w14:paraId="1B34D844" w14:textId="0A77E1AA" w:rsidR="00E964FA" w:rsidRPr="00E964FA" w:rsidRDefault="00E964FA" w:rsidP="00194457">
            <w:pPr>
              <w:spacing w:before="100" w:after="100"/>
              <w:cnfStyle w:val="100000000000" w:firstRow="1" w:lastRow="0" w:firstColumn="0" w:lastColumn="0" w:oddVBand="0" w:evenVBand="0" w:oddHBand="0" w:evenHBand="0" w:firstRowFirstColumn="0" w:firstRowLastColumn="0" w:lastRowFirstColumn="0" w:lastRowLastColumn="0"/>
              <w:rPr>
                <w:rFonts w:eastAsia="Aptos" w:cs="Arial"/>
              </w:rPr>
            </w:pPr>
            <w:r w:rsidRPr="00E964FA">
              <w:rPr>
                <w:rFonts w:eastAsia="Aptos" w:cs="Arial"/>
              </w:rPr>
              <w:t>Estimated number of TEAP Registrars</w:t>
            </w:r>
          </w:p>
        </w:tc>
        <w:tc>
          <w:tcPr>
            <w:tcW w:w="1957" w:type="dxa"/>
            <w:tcBorders>
              <w:top w:val="nil"/>
              <w:right w:val="nil"/>
            </w:tcBorders>
          </w:tcPr>
          <w:p w14:paraId="5559744E" w14:textId="39214584" w:rsidR="00E964FA" w:rsidRPr="00E964FA" w:rsidRDefault="00E964FA" w:rsidP="00194457">
            <w:pPr>
              <w:spacing w:before="100" w:after="100"/>
              <w:cnfStyle w:val="100000000000" w:firstRow="1" w:lastRow="0" w:firstColumn="0" w:lastColumn="0" w:oddVBand="0" w:evenVBand="0" w:oddHBand="0" w:evenHBand="0" w:firstRowFirstColumn="0" w:firstRowLastColumn="0" w:lastRowFirstColumn="0" w:lastRowLastColumn="0"/>
              <w:rPr>
                <w:rFonts w:eastAsia="Aptos" w:cs="Arial"/>
              </w:rPr>
            </w:pPr>
            <w:r w:rsidRPr="00E964FA">
              <w:rPr>
                <w:rFonts w:eastAsia="Aptos" w:cs="Arial"/>
              </w:rPr>
              <w:t>Total</w:t>
            </w:r>
          </w:p>
        </w:tc>
      </w:tr>
      <w:tr w:rsidR="00E964FA" w:rsidRPr="00601EF7" w14:paraId="5E72CCED" w14:textId="77777777" w:rsidTr="00F14EE2">
        <w:trPr>
          <w:trHeight w:val="283"/>
        </w:trPr>
        <w:tc>
          <w:tcPr>
            <w:cnfStyle w:val="001000000000" w:firstRow="0" w:lastRow="0" w:firstColumn="1" w:lastColumn="0" w:oddVBand="0" w:evenVBand="0" w:oddHBand="0" w:evenHBand="0" w:firstRowFirstColumn="0" w:firstRowLastColumn="0" w:lastRowFirstColumn="0" w:lastRowLastColumn="0"/>
            <w:tcW w:w="3107" w:type="dxa"/>
            <w:tcBorders>
              <w:left w:val="nil"/>
            </w:tcBorders>
            <w:shd w:val="clear" w:color="auto" w:fill="F1F4FE"/>
          </w:tcPr>
          <w:p w14:paraId="34A84FE6" w14:textId="31E81F58" w:rsidR="00E964FA" w:rsidRPr="00601EF7" w:rsidRDefault="00E964FA" w:rsidP="00194457">
            <w:pPr>
              <w:spacing w:before="100" w:after="100"/>
              <w:rPr>
                <w:rFonts w:eastAsia="Aptos" w:cs="Arial"/>
              </w:rPr>
            </w:pPr>
            <w:r w:rsidRPr="00601EF7">
              <w:rPr>
                <w:rFonts w:eastAsia="Aptos" w:cs="Arial"/>
              </w:rPr>
              <w:t>Radiation oncology</w:t>
            </w:r>
          </w:p>
        </w:tc>
        <w:tc>
          <w:tcPr>
            <w:tcW w:w="2368" w:type="dxa"/>
          </w:tcPr>
          <w:p w14:paraId="380DE812" w14:textId="3107477D"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436</w:t>
            </w:r>
          </w:p>
        </w:tc>
        <w:tc>
          <w:tcPr>
            <w:tcW w:w="2196" w:type="dxa"/>
          </w:tcPr>
          <w:p w14:paraId="088CD941" w14:textId="7F4E5C0D"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70</w:t>
            </w:r>
          </w:p>
        </w:tc>
        <w:tc>
          <w:tcPr>
            <w:tcW w:w="1957" w:type="dxa"/>
            <w:tcBorders>
              <w:right w:val="nil"/>
            </w:tcBorders>
          </w:tcPr>
          <w:p w14:paraId="1E773682" w14:textId="7C2E5029"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506</w:t>
            </w:r>
          </w:p>
        </w:tc>
      </w:tr>
      <w:tr w:rsidR="00E964FA" w:rsidRPr="00601EF7" w14:paraId="4B82705D" w14:textId="77777777" w:rsidTr="00F14EE2">
        <w:trPr>
          <w:trHeight w:val="283"/>
        </w:trPr>
        <w:tc>
          <w:tcPr>
            <w:cnfStyle w:val="001000000000" w:firstRow="0" w:lastRow="0" w:firstColumn="1" w:lastColumn="0" w:oddVBand="0" w:evenVBand="0" w:oddHBand="0" w:evenHBand="0" w:firstRowFirstColumn="0" w:firstRowLastColumn="0" w:lastRowFirstColumn="0" w:lastRowLastColumn="0"/>
            <w:tcW w:w="3107" w:type="dxa"/>
            <w:tcBorders>
              <w:left w:val="nil"/>
            </w:tcBorders>
            <w:shd w:val="clear" w:color="auto" w:fill="F1F4FE"/>
          </w:tcPr>
          <w:p w14:paraId="752C86AC" w14:textId="17C63566" w:rsidR="00E964FA" w:rsidRPr="00601EF7" w:rsidRDefault="00E964FA" w:rsidP="00194457">
            <w:pPr>
              <w:spacing w:before="100" w:after="100"/>
              <w:rPr>
                <w:rFonts w:eastAsia="Aptos" w:cs="Arial"/>
              </w:rPr>
            </w:pPr>
            <w:r w:rsidRPr="00601EF7">
              <w:rPr>
                <w:rFonts w:eastAsia="Aptos" w:cs="Arial"/>
              </w:rPr>
              <w:t>Radiology</w:t>
            </w:r>
          </w:p>
        </w:tc>
        <w:tc>
          <w:tcPr>
            <w:tcW w:w="2368" w:type="dxa"/>
          </w:tcPr>
          <w:p w14:paraId="483767E0" w14:textId="29FB5150"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53</w:t>
            </w:r>
          </w:p>
        </w:tc>
        <w:tc>
          <w:tcPr>
            <w:tcW w:w="2196" w:type="dxa"/>
          </w:tcPr>
          <w:p w14:paraId="1098CBBA" w14:textId="296B39F0"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w:t>
            </w:r>
          </w:p>
        </w:tc>
        <w:tc>
          <w:tcPr>
            <w:tcW w:w="1957" w:type="dxa"/>
            <w:tcBorders>
              <w:right w:val="nil"/>
            </w:tcBorders>
          </w:tcPr>
          <w:p w14:paraId="50CC5FC2" w14:textId="119A77CB"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53</w:t>
            </w:r>
          </w:p>
        </w:tc>
      </w:tr>
      <w:tr w:rsidR="00E964FA" w:rsidRPr="00601EF7" w14:paraId="3E8227C2" w14:textId="77777777" w:rsidTr="00F14EE2">
        <w:trPr>
          <w:trHeight w:val="283"/>
        </w:trPr>
        <w:tc>
          <w:tcPr>
            <w:cnfStyle w:val="001000000000" w:firstRow="0" w:lastRow="0" w:firstColumn="1" w:lastColumn="0" w:oddVBand="0" w:evenVBand="0" w:oddHBand="0" w:evenHBand="0" w:firstRowFirstColumn="0" w:firstRowLastColumn="0" w:lastRowFirstColumn="0" w:lastRowLastColumn="0"/>
            <w:tcW w:w="3107" w:type="dxa"/>
            <w:tcBorders>
              <w:left w:val="nil"/>
            </w:tcBorders>
            <w:shd w:val="clear" w:color="auto" w:fill="F1F4FE"/>
          </w:tcPr>
          <w:p w14:paraId="661D8649" w14:textId="6DF264C9" w:rsidR="00E964FA" w:rsidRPr="00601EF7" w:rsidRDefault="00E964FA" w:rsidP="00194457">
            <w:pPr>
              <w:spacing w:before="100" w:after="100"/>
              <w:rPr>
                <w:rFonts w:eastAsia="Aptos" w:cs="Arial"/>
              </w:rPr>
            </w:pPr>
            <w:r w:rsidRPr="00601EF7">
              <w:rPr>
                <w:rFonts w:eastAsia="Aptos" w:cs="Arial"/>
              </w:rPr>
              <w:t>Nuclear Medicine</w:t>
            </w:r>
          </w:p>
        </w:tc>
        <w:tc>
          <w:tcPr>
            <w:tcW w:w="2368" w:type="dxa"/>
          </w:tcPr>
          <w:p w14:paraId="15B58AF2" w14:textId="07115C26"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46</w:t>
            </w:r>
          </w:p>
        </w:tc>
        <w:tc>
          <w:tcPr>
            <w:tcW w:w="2196" w:type="dxa"/>
          </w:tcPr>
          <w:p w14:paraId="70A01305" w14:textId="4008CB49"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w:t>
            </w:r>
          </w:p>
        </w:tc>
        <w:tc>
          <w:tcPr>
            <w:tcW w:w="1957" w:type="dxa"/>
            <w:tcBorders>
              <w:right w:val="nil"/>
            </w:tcBorders>
          </w:tcPr>
          <w:p w14:paraId="48068DFE" w14:textId="2C6B932D"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46</w:t>
            </w:r>
          </w:p>
        </w:tc>
      </w:tr>
      <w:tr w:rsidR="00E964FA" w:rsidRPr="00601EF7" w14:paraId="111FB6CC" w14:textId="77777777" w:rsidTr="00F14EE2">
        <w:trPr>
          <w:trHeight w:val="283"/>
        </w:trPr>
        <w:tc>
          <w:tcPr>
            <w:cnfStyle w:val="001000000000" w:firstRow="0" w:lastRow="0" w:firstColumn="1" w:lastColumn="0" w:oddVBand="0" w:evenVBand="0" w:oddHBand="0" w:evenHBand="0" w:firstRowFirstColumn="0" w:firstRowLastColumn="0" w:lastRowFirstColumn="0" w:lastRowLastColumn="0"/>
            <w:tcW w:w="3107" w:type="dxa"/>
            <w:tcBorders>
              <w:left w:val="nil"/>
            </w:tcBorders>
            <w:shd w:val="clear" w:color="auto" w:fill="F1F4FE"/>
          </w:tcPr>
          <w:p w14:paraId="223C1931" w14:textId="35F9EF27" w:rsidR="00E964FA" w:rsidRPr="00601EF7" w:rsidRDefault="00E964FA" w:rsidP="00194457">
            <w:pPr>
              <w:spacing w:before="100" w:after="100"/>
              <w:rPr>
                <w:rFonts w:eastAsia="Aptos" w:cs="Arial"/>
              </w:rPr>
            </w:pPr>
            <w:r w:rsidRPr="00601EF7">
              <w:rPr>
                <w:rFonts w:eastAsia="Aptos" w:cs="Arial"/>
              </w:rPr>
              <w:t>Radiology and Nuclear Medicine</w:t>
            </w:r>
          </w:p>
        </w:tc>
        <w:tc>
          <w:tcPr>
            <w:tcW w:w="2368" w:type="dxa"/>
            <w:vAlign w:val="center"/>
          </w:tcPr>
          <w:p w14:paraId="769F2CDD" w14:textId="505881C9"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4</w:t>
            </w:r>
          </w:p>
        </w:tc>
        <w:tc>
          <w:tcPr>
            <w:tcW w:w="2196" w:type="dxa"/>
            <w:vAlign w:val="center"/>
          </w:tcPr>
          <w:p w14:paraId="5388FFBD" w14:textId="6E77D4F5"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38</w:t>
            </w:r>
          </w:p>
        </w:tc>
        <w:tc>
          <w:tcPr>
            <w:tcW w:w="1957" w:type="dxa"/>
            <w:tcBorders>
              <w:right w:val="nil"/>
            </w:tcBorders>
            <w:vAlign w:val="center"/>
          </w:tcPr>
          <w:p w14:paraId="49C7CD67" w14:textId="0631AC26"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42</w:t>
            </w:r>
          </w:p>
        </w:tc>
      </w:tr>
      <w:tr w:rsidR="00E964FA" w:rsidRPr="00601EF7" w14:paraId="1029476D" w14:textId="77777777" w:rsidTr="00F14EE2">
        <w:trPr>
          <w:trHeight w:val="283"/>
        </w:trPr>
        <w:tc>
          <w:tcPr>
            <w:cnfStyle w:val="001000000000" w:firstRow="0" w:lastRow="0" w:firstColumn="1" w:lastColumn="0" w:oddVBand="0" w:evenVBand="0" w:oddHBand="0" w:evenHBand="0" w:firstRowFirstColumn="0" w:firstRowLastColumn="0" w:lastRowFirstColumn="0" w:lastRowLastColumn="0"/>
            <w:tcW w:w="3107" w:type="dxa"/>
            <w:tcBorders>
              <w:left w:val="nil"/>
            </w:tcBorders>
            <w:shd w:val="clear" w:color="auto" w:fill="F1F4FE"/>
          </w:tcPr>
          <w:p w14:paraId="08B46370" w14:textId="3AA5EC12" w:rsidR="00E964FA" w:rsidRPr="00601EF7" w:rsidRDefault="00E964FA" w:rsidP="00194457">
            <w:pPr>
              <w:spacing w:before="100" w:after="100"/>
              <w:rPr>
                <w:rFonts w:eastAsia="Aptos" w:cs="Arial"/>
              </w:rPr>
            </w:pPr>
            <w:r w:rsidRPr="00601EF7">
              <w:rPr>
                <w:rFonts w:eastAsia="Aptos" w:cs="Arial"/>
              </w:rPr>
              <w:t>RPS</w:t>
            </w:r>
          </w:p>
        </w:tc>
        <w:tc>
          <w:tcPr>
            <w:tcW w:w="2368" w:type="dxa"/>
          </w:tcPr>
          <w:p w14:paraId="0B57836D" w14:textId="0A5E4635"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22</w:t>
            </w:r>
          </w:p>
        </w:tc>
        <w:tc>
          <w:tcPr>
            <w:tcW w:w="2196" w:type="dxa"/>
          </w:tcPr>
          <w:p w14:paraId="3759A7DE" w14:textId="5DB826A9"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13</w:t>
            </w:r>
          </w:p>
        </w:tc>
        <w:tc>
          <w:tcPr>
            <w:tcW w:w="1957" w:type="dxa"/>
            <w:tcBorders>
              <w:right w:val="nil"/>
            </w:tcBorders>
          </w:tcPr>
          <w:p w14:paraId="0589BD21" w14:textId="7CAFFF34"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pPr>
            <w:r w:rsidRPr="00E964FA">
              <w:t>35</w:t>
            </w:r>
          </w:p>
        </w:tc>
      </w:tr>
      <w:tr w:rsidR="00E964FA" w:rsidRPr="00601EF7" w14:paraId="1F8E6C0B" w14:textId="77777777" w:rsidTr="00F14EE2">
        <w:trPr>
          <w:trHeight w:val="283"/>
        </w:trPr>
        <w:tc>
          <w:tcPr>
            <w:cnfStyle w:val="001000000000" w:firstRow="0" w:lastRow="0" w:firstColumn="1" w:lastColumn="0" w:oddVBand="0" w:evenVBand="0" w:oddHBand="0" w:evenHBand="0" w:firstRowFirstColumn="0" w:firstRowLastColumn="0" w:lastRowFirstColumn="0" w:lastRowLastColumn="0"/>
            <w:tcW w:w="3107" w:type="dxa"/>
            <w:tcBorders>
              <w:left w:val="nil"/>
              <w:bottom w:val="nil"/>
            </w:tcBorders>
            <w:shd w:val="clear" w:color="auto" w:fill="F2F2F2" w:themeFill="background1" w:themeFillShade="F2"/>
          </w:tcPr>
          <w:p w14:paraId="1AA5C910" w14:textId="1AD40744" w:rsidR="00E964FA" w:rsidRPr="00601EF7" w:rsidRDefault="00E964FA" w:rsidP="00194457">
            <w:pPr>
              <w:spacing w:before="100" w:after="100"/>
              <w:rPr>
                <w:rFonts w:eastAsia="Aptos" w:cs="Arial"/>
              </w:rPr>
            </w:pPr>
            <w:r w:rsidRPr="00601EF7">
              <w:rPr>
                <w:rFonts w:eastAsia="Aptos" w:cs="Arial"/>
              </w:rPr>
              <w:t>Total</w:t>
            </w:r>
          </w:p>
        </w:tc>
        <w:tc>
          <w:tcPr>
            <w:tcW w:w="2368" w:type="dxa"/>
            <w:tcBorders>
              <w:bottom w:val="nil"/>
            </w:tcBorders>
            <w:shd w:val="clear" w:color="auto" w:fill="F2F2F2" w:themeFill="background1" w:themeFillShade="F2"/>
          </w:tcPr>
          <w:p w14:paraId="651F2195" w14:textId="53277E63"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rPr>
                <w:b/>
              </w:rPr>
            </w:pPr>
            <w:r w:rsidRPr="00E964FA">
              <w:rPr>
                <w:b/>
              </w:rPr>
              <w:t>561</w:t>
            </w:r>
          </w:p>
        </w:tc>
        <w:tc>
          <w:tcPr>
            <w:tcW w:w="2196" w:type="dxa"/>
            <w:tcBorders>
              <w:bottom w:val="nil"/>
            </w:tcBorders>
            <w:shd w:val="clear" w:color="auto" w:fill="F2F2F2" w:themeFill="background1" w:themeFillShade="F2"/>
          </w:tcPr>
          <w:p w14:paraId="765848DC" w14:textId="2D288F22"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rPr>
                <w:b/>
              </w:rPr>
            </w:pPr>
            <w:r w:rsidRPr="00E964FA">
              <w:rPr>
                <w:b/>
              </w:rPr>
              <w:t>121</w:t>
            </w:r>
          </w:p>
        </w:tc>
        <w:tc>
          <w:tcPr>
            <w:tcW w:w="1957" w:type="dxa"/>
            <w:tcBorders>
              <w:bottom w:val="nil"/>
              <w:right w:val="nil"/>
            </w:tcBorders>
            <w:shd w:val="clear" w:color="auto" w:fill="F2F2F2" w:themeFill="background1" w:themeFillShade="F2"/>
          </w:tcPr>
          <w:p w14:paraId="33F02A2A" w14:textId="0807C5CD" w:rsidR="00E964FA" w:rsidRPr="00E964FA" w:rsidRDefault="00E964FA" w:rsidP="00194457">
            <w:pPr>
              <w:spacing w:before="100" w:after="100"/>
              <w:jc w:val="center"/>
              <w:cnfStyle w:val="000000000000" w:firstRow="0" w:lastRow="0" w:firstColumn="0" w:lastColumn="0" w:oddVBand="0" w:evenVBand="0" w:oddHBand="0" w:evenHBand="0" w:firstRowFirstColumn="0" w:firstRowLastColumn="0" w:lastRowFirstColumn="0" w:lastRowLastColumn="0"/>
              <w:rPr>
                <w:b/>
              </w:rPr>
            </w:pPr>
            <w:r w:rsidRPr="00E964FA">
              <w:rPr>
                <w:b/>
              </w:rPr>
              <w:t>682</w:t>
            </w:r>
          </w:p>
        </w:tc>
      </w:tr>
    </w:tbl>
    <w:p w14:paraId="6A948C2D" w14:textId="17788162" w:rsidR="00601EF7" w:rsidRPr="004214EC" w:rsidRDefault="00F14EE2" w:rsidP="00194457">
      <w:pPr>
        <w:pStyle w:val="Caption"/>
        <w:spacing w:before="0" w:after="0"/>
      </w:pPr>
      <w:r>
        <w:t>S</w:t>
      </w:r>
      <w:r w:rsidR="00601EF7" w:rsidRPr="004214EC">
        <w:t>ource: ACPSEM, 2024.</w:t>
      </w:r>
    </w:p>
    <w:p w14:paraId="06CB9A6D" w14:textId="77777777" w:rsidR="00A06B1B" w:rsidRDefault="00A06B1B" w:rsidP="00A06B1B">
      <w:pPr>
        <w:spacing w:before="0" w:after="160" w:line="259" w:lineRule="auto"/>
        <w:rPr>
          <w:iCs/>
          <w:lang w:val="en-GB"/>
        </w:rPr>
      </w:pPr>
    </w:p>
    <w:p w14:paraId="7EACF0EA" w14:textId="5200E12F" w:rsidR="00D875EF" w:rsidRPr="00D875EF" w:rsidRDefault="00D875EF" w:rsidP="00A06B1B">
      <w:pPr>
        <w:spacing w:before="0" w:after="160" w:line="259" w:lineRule="auto"/>
        <w:rPr>
          <w:iCs/>
          <w:lang w:val="en-GB"/>
        </w:rPr>
      </w:pPr>
      <w:r w:rsidRPr="00D875EF">
        <w:rPr>
          <w:iCs/>
          <w:lang w:val="en-GB"/>
        </w:rPr>
        <w:t>Of the remaining members, many are not on the ACPSEM QMP register but may hold other relevant training certifications (but do not qualify for full QMP status), such as radiation safety, "MRI Expert", or are medical engineers.</w:t>
      </w:r>
    </w:p>
    <w:p w14:paraId="4BA3361F" w14:textId="792D7CB4" w:rsidR="00D875EF" w:rsidRPr="00D875EF" w:rsidRDefault="002E2756" w:rsidP="00D875EF">
      <w:pPr>
        <w:pStyle w:val="BodyText"/>
        <w:rPr>
          <w:iCs/>
          <w:lang w:val="en-GB"/>
        </w:rPr>
      </w:pPr>
      <w:r>
        <w:rPr>
          <w:iCs/>
          <w:lang w:val="en-GB"/>
        </w:rPr>
        <w:t>I</w:t>
      </w:r>
      <w:r w:rsidR="00D875EF" w:rsidRPr="00D875EF">
        <w:rPr>
          <w:iCs/>
          <w:lang w:val="en-GB"/>
        </w:rPr>
        <w:t xml:space="preserve">n line with international best practice outlined above, </w:t>
      </w:r>
      <w:r w:rsidR="002C62D5">
        <w:rPr>
          <w:iCs/>
          <w:lang w:val="en-GB"/>
        </w:rPr>
        <w:t>ACPSEM</w:t>
      </w:r>
      <w:r w:rsidR="00D875EF" w:rsidRPr="00D875EF">
        <w:rPr>
          <w:iCs/>
          <w:lang w:val="en-GB"/>
        </w:rPr>
        <w:t xml:space="preserve"> receives funding under the MPS Program to develop two workforce models, one each for DIMP and ROMP, to estimate workforce supply relative to need. The analysis below combines the outputs of these models with </w:t>
      </w:r>
      <w:r w:rsidR="002C62D5">
        <w:t>ACPSEM</w:t>
      </w:r>
      <w:r w:rsidR="00D875EF" w:rsidRPr="00D875EF">
        <w:t xml:space="preserve">’s membership data to provide </w:t>
      </w:r>
      <w:r w:rsidR="00D875EF" w:rsidRPr="00D875EF">
        <w:rPr>
          <w:iCs/>
          <w:lang w:val="en-GB"/>
        </w:rPr>
        <w:t>the most complete view of the prevalence and extent of workforce shortages over time across the disciplines.  </w:t>
      </w:r>
    </w:p>
    <w:p w14:paraId="4F601981" w14:textId="77777777" w:rsidR="00D875EF" w:rsidRPr="00DC27F5" w:rsidRDefault="00D875EF" w:rsidP="00D875EF">
      <w:pPr>
        <w:pStyle w:val="BodyText"/>
        <w:rPr>
          <w:rStyle w:val="Emphasis"/>
        </w:rPr>
      </w:pPr>
      <w:r w:rsidRPr="00DC27F5">
        <w:rPr>
          <w:rStyle w:val="Emphasis"/>
        </w:rPr>
        <w:t>DIMPs</w:t>
      </w:r>
    </w:p>
    <w:p w14:paraId="34BF4653" w14:textId="5D0E8FE5" w:rsidR="00D875EF" w:rsidRPr="00D875EF" w:rsidRDefault="00D875EF" w:rsidP="00D875EF">
      <w:pPr>
        <w:pStyle w:val="BodyText"/>
      </w:pPr>
      <w:r w:rsidRPr="00D875EF">
        <w:t>The DIMP workforce has grown over the past decade, with a census undertaken by ACPESM as part of the development of a DIMP workforce model identif</w:t>
      </w:r>
      <w:r w:rsidR="00685B6A">
        <w:t>ying</w:t>
      </w:r>
      <w:r w:rsidRPr="00D875EF">
        <w:t xml:space="preserve"> approximately 143 DIMP FTE across Australia in 2020, an increase from the previous estimate of 112 DIMP FTE in 2012 made by Howell Round.</w:t>
      </w:r>
      <w:bookmarkStart w:id="107" w:name="_Ref181791652"/>
      <w:r w:rsidR="001D1A3C">
        <w:rPr>
          <w:rFonts w:ascii="ZWAdobeF" w:hAnsi="ZWAdobeF" w:cs="ZWAdobeF"/>
          <w:sz w:val="2"/>
          <w:szCs w:val="2"/>
        </w:rPr>
        <w:t>31F</w:t>
      </w:r>
      <w:r w:rsidR="005F7EBC">
        <w:rPr>
          <w:rFonts w:ascii="ZWAdobeF" w:hAnsi="ZWAdobeF" w:cs="ZWAdobeF"/>
          <w:sz w:val="2"/>
          <w:szCs w:val="2"/>
        </w:rPr>
        <w:t>39F</w:t>
      </w:r>
      <w:r w:rsidRPr="00D875EF">
        <w:rPr>
          <w:vertAlign w:val="superscript"/>
        </w:rPr>
        <w:footnoteReference w:id="41"/>
      </w:r>
      <w:bookmarkEnd w:id="107"/>
      <w:r w:rsidRPr="00D875EF">
        <w:t xml:space="preserve"> </w:t>
      </w:r>
    </w:p>
    <w:p w14:paraId="28F9BD8A" w14:textId="12B32D65" w:rsidR="00D875EF" w:rsidRPr="00D875EF" w:rsidRDefault="00D875EF" w:rsidP="00D875EF">
      <w:pPr>
        <w:pStyle w:val="BodyText"/>
        <w:rPr>
          <w:iCs/>
          <w:lang w:val="en-GB"/>
        </w:rPr>
      </w:pPr>
      <w:r w:rsidRPr="00D875EF">
        <w:rPr>
          <w:iCs/>
          <w:lang w:val="en-GB"/>
        </w:rPr>
        <w:t xml:space="preserve">The most recent ACPSEM register numbers for DIMP radiology suggest that there are 53 Qualified Medical Physics Specialists in radiology, with a further 4 </w:t>
      </w:r>
      <w:proofErr w:type="gramStart"/>
      <w:r w:rsidRPr="00D875EF">
        <w:rPr>
          <w:iCs/>
          <w:lang w:val="en-GB"/>
        </w:rPr>
        <w:t>dual</w:t>
      </w:r>
      <w:proofErr w:type="gramEnd"/>
      <w:r w:rsidRPr="00D875EF">
        <w:rPr>
          <w:iCs/>
          <w:lang w:val="en-GB"/>
        </w:rPr>
        <w:t xml:space="preserve"> certified in radiology and nuclear medicine. To illustrate the gap between ACPSEM certified and the broader DIMP workforce, a 2020 survey of DIMPs found that </w:t>
      </w:r>
      <w:r w:rsidRPr="00DC27F5">
        <w:rPr>
          <w:lang w:val="en-GB"/>
        </w:rPr>
        <w:t>27% of respondents were not registered</w:t>
      </w:r>
      <w:r w:rsidR="005F7EBC">
        <w:rPr>
          <w:rFonts w:ascii="ZWAdobeF" w:hAnsi="ZWAdobeF" w:cs="ZWAdobeF"/>
          <w:sz w:val="2"/>
          <w:szCs w:val="2"/>
          <w:lang w:val="en-GB"/>
        </w:rPr>
        <w:t>40F</w:t>
      </w:r>
      <w:r w:rsidR="00EC6DE9">
        <w:rPr>
          <w:rStyle w:val="FootnoteReference"/>
          <w:lang w:val="en-GB"/>
        </w:rPr>
        <w:footnoteReference w:id="42"/>
      </w:r>
      <w:r w:rsidRPr="00D875EF">
        <w:rPr>
          <w:iCs/>
          <w:lang w:val="en-GB"/>
        </w:rPr>
        <w:t xml:space="preserve"> (i.e. these DIMPs were on the ACPSEM register as a Certified Medical Physics Specialist).  It can therefore be estimated that there are approximately 78 DIMPs (radiology) in Australia, of whom only 57 are credentialed as qualified. </w:t>
      </w:r>
    </w:p>
    <w:p w14:paraId="0FE91361" w14:textId="6058C512" w:rsidR="00D875EF" w:rsidRPr="00D875EF" w:rsidRDefault="00D875EF" w:rsidP="00D875EF">
      <w:pPr>
        <w:pStyle w:val="BodyText"/>
      </w:pPr>
      <w:r w:rsidRPr="00D875EF">
        <w:t xml:space="preserve">However, shortages persist, </w:t>
      </w:r>
      <w:r w:rsidR="00CC1A69">
        <w:t>with</w:t>
      </w:r>
      <w:r w:rsidRPr="00D875EF">
        <w:t xml:space="preserve"> the ACPSEM DIMP Workforce model suggest</w:t>
      </w:r>
      <w:r w:rsidR="00891EEF">
        <w:t>ing</w:t>
      </w:r>
      <w:r w:rsidRPr="00D875EF">
        <w:t xml:space="preserve"> that there will be a demand for 67.2 additional DIMP FTE over ten years at a national level to meet a best practice workforce scenario.</w:t>
      </w:r>
    </w:p>
    <w:p w14:paraId="7B992536" w14:textId="77777777" w:rsidR="00D875EF" w:rsidRPr="00DC27F5" w:rsidRDefault="00D875EF" w:rsidP="007D40AA">
      <w:pPr>
        <w:pStyle w:val="BodyText"/>
        <w:rPr>
          <w:rStyle w:val="Emphasis"/>
        </w:rPr>
      </w:pPr>
      <w:r w:rsidRPr="00DC27F5">
        <w:rPr>
          <w:rStyle w:val="Emphasis"/>
        </w:rPr>
        <w:t>RPS</w:t>
      </w:r>
    </w:p>
    <w:p w14:paraId="3D357291" w14:textId="7EE13010" w:rsidR="00D875EF" w:rsidRPr="00D875EF" w:rsidRDefault="00D875EF" w:rsidP="00D875EF">
      <w:pPr>
        <w:pStyle w:val="BodyText"/>
      </w:pPr>
      <w:r w:rsidRPr="00D875EF">
        <w:t>Data on the RPS workforce</w:t>
      </w:r>
      <w:r w:rsidR="009A3452" w:rsidRPr="009A3452">
        <w:t xml:space="preserve"> </w:t>
      </w:r>
      <w:r w:rsidR="009A3452" w:rsidRPr="00D875EF">
        <w:t>is limited</w:t>
      </w:r>
      <w:r w:rsidRPr="00D875EF">
        <w:t>, however Workforce Modelling completed by NSW Health in 2014 found that there were approximately 70 individuals working as RPSs in either the public or private sector nationally. The research also found that 42% of the workforce was intending to retire in the next five to ten years.</w:t>
      </w:r>
      <w:r w:rsidR="001D1A3C">
        <w:rPr>
          <w:rFonts w:ascii="ZWAdobeF" w:hAnsi="ZWAdobeF" w:cs="ZWAdobeF"/>
          <w:sz w:val="2"/>
          <w:szCs w:val="2"/>
        </w:rPr>
        <w:t>32F</w:t>
      </w:r>
      <w:r w:rsidR="005F7EBC">
        <w:rPr>
          <w:rFonts w:ascii="ZWAdobeF" w:hAnsi="ZWAdobeF" w:cs="ZWAdobeF"/>
          <w:sz w:val="2"/>
          <w:szCs w:val="2"/>
        </w:rPr>
        <w:t>41F</w:t>
      </w:r>
      <w:r w:rsidRPr="00D875EF">
        <w:rPr>
          <w:vertAlign w:val="superscript"/>
        </w:rPr>
        <w:footnoteReference w:id="43"/>
      </w:r>
      <w:r w:rsidRPr="00D875EF">
        <w:t xml:space="preserve"> </w:t>
      </w:r>
      <w:r w:rsidR="00D003E8">
        <w:t xml:space="preserve"> </w:t>
      </w:r>
    </w:p>
    <w:p w14:paraId="4678F885" w14:textId="1FFDD4BE" w:rsidR="00D875EF" w:rsidRPr="00D875EF" w:rsidRDefault="002C62D5" w:rsidP="00D875EF">
      <w:pPr>
        <w:pStyle w:val="BodyText"/>
      </w:pPr>
      <w:r>
        <w:t>ACPSEM</w:t>
      </w:r>
      <w:r w:rsidR="00D875EF" w:rsidRPr="00D875EF">
        <w:t xml:space="preserve"> has advised that it is not feasible to develop an RPS workforce model given a lack of clinician agreement on guidelines, standards, and roles and responsibilities of RPSs. </w:t>
      </w:r>
      <w:r>
        <w:t>ACPSEM</w:t>
      </w:r>
      <w:r w:rsidR="00D875EF" w:rsidRPr="00D875EF">
        <w:t xml:space="preserve"> is continuing its work on developing </w:t>
      </w:r>
      <w:r w:rsidR="0039721B">
        <w:t xml:space="preserve">a </w:t>
      </w:r>
      <w:r w:rsidR="00D875EF" w:rsidRPr="00D875EF">
        <w:t>Scope of Practic</w:t>
      </w:r>
      <w:r w:rsidR="0039721B">
        <w:t>e</w:t>
      </w:r>
      <w:r w:rsidR="00D875EF" w:rsidRPr="00D875EF">
        <w:t xml:space="preserve"> for RPSs.</w:t>
      </w:r>
      <w:r w:rsidR="001D1A3C">
        <w:rPr>
          <w:rFonts w:ascii="ZWAdobeF" w:hAnsi="ZWAdobeF" w:cs="ZWAdobeF"/>
          <w:sz w:val="2"/>
          <w:szCs w:val="2"/>
        </w:rPr>
        <w:t>33F</w:t>
      </w:r>
      <w:r w:rsidR="005F7EBC">
        <w:rPr>
          <w:rFonts w:ascii="ZWAdobeF" w:hAnsi="ZWAdobeF" w:cs="ZWAdobeF"/>
          <w:sz w:val="2"/>
          <w:szCs w:val="2"/>
        </w:rPr>
        <w:t>42F</w:t>
      </w:r>
      <w:r w:rsidR="00D875EF" w:rsidRPr="00D875EF">
        <w:rPr>
          <w:vertAlign w:val="superscript"/>
        </w:rPr>
        <w:footnoteReference w:id="44"/>
      </w:r>
    </w:p>
    <w:p w14:paraId="29E2E9F9" w14:textId="77777777" w:rsidR="00D875EF" w:rsidRPr="00DC27F5" w:rsidRDefault="00D875EF" w:rsidP="00D875EF">
      <w:pPr>
        <w:pStyle w:val="BodyText"/>
        <w:rPr>
          <w:rStyle w:val="Emphasis"/>
        </w:rPr>
      </w:pPr>
      <w:r w:rsidRPr="00DC27F5">
        <w:rPr>
          <w:rStyle w:val="Emphasis"/>
        </w:rPr>
        <w:t>ROMPs</w:t>
      </w:r>
    </w:p>
    <w:p w14:paraId="0136BF44" w14:textId="4977419D" w:rsidR="00D875EF" w:rsidRPr="00D875EF" w:rsidRDefault="00D875EF" w:rsidP="00D875EF">
      <w:pPr>
        <w:pStyle w:val="BodyText"/>
      </w:pPr>
      <w:r w:rsidRPr="00D875EF">
        <w:rPr>
          <w:lang w:val="en-GB"/>
        </w:rPr>
        <w:t xml:space="preserve">Historically, shortages in the ROMP workforce have </w:t>
      </w:r>
      <w:r w:rsidR="0048592E">
        <w:rPr>
          <w:lang w:val="en-GB"/>
        </w:rPr>
        <w:t>existed</w:t>
      </w:r>
      <w:r w:rsidRPr="00D875EF">
        <w:rPr>
          <w:lang w:val="en-GB"/>
        </w:rPr>
        <w:t xml:space="preserve"> in Australia. In 2012, the Allen Report </w:t>
      </w:r>
      <w:r w:rsidRPr="00D875EF">
        <w:t>indicated that there would need to be 345 and 389 ROMP FTE by 2017 and 2022</w:t>
      </w:r>
      <w:r w:rsidR="001C1EC7">
        <w:t xml:space="preserve"> respectively</w:t>
      </w:r>
      <w:r w:rsidRPr="00D875EF">
        <w:t xml:space="preserve"> in Australia alone.</w:t>
      </w:r>
      <w:r w:rsidR="001D1A3C">
        <w:rPr>
          <w:rFonts w:ascii="ZWAdobeF" w:hAnsi="ZWAdobeF" w:cs="ZWAdobeF"/>
          <w:sz w:val="2"/>
          <w:szCs w:val="2"/>
        </w:rPr>
        <w:t>34F</w:t>
      </w:r>
      <w:r w:rsidR="005F7EBC">
        <w:rPr>
          <w:rFonts w:ascii="ZWAdobeF" w:hAnsi="ZWAdobeF" w:cs="ZWAdobeF"/>
          <w:sz w:val="2"/>
          <w:szCs w:val="2"/>
        </w:rPr>
        <w:t>43F</w:t>
      </w:r>
      <w:r w:rsidRPr="00D875EF">
        <w:rPr>
          <w:vertAlign w:val="superscript"/>
        </w:rPr>
        <w:footnoteReference w:id="45"/>
      </w:r>
      <w:r w:rsidRPr="00D875EF">
        <w:t xml:space="preserve"> However, data from RANZCR showed there were 317 FTE ROMPs working in Australia (excluding trainees)</w:t>
      </w:r>
      <w:r w:rsidR="00650B19">
        <w:t xml:space="preserve"> in 2019</w:t>
      </w:r>
      <w:r w:rsidRPr="00D875EF">
        <w:t>, equating to an estimated shortage of 28 ROMP FTE relative to the Allen Report’s 2017 target</w:t>
      </w:r>
      <w:bookmarkStart w:id="108" w:name="_Ref181348405"/>
      <w:r w:rsidRPr="00D875EF">
        <w:t>.</w:t>
      </w:r>
      <w:bookmarkStart w:id="109" w:name="_Ref181717873"/>
      <w:r w:rsidR="001D1A3C">
        <w:rPr>
          <w:rFonts w:ascii="ZWAdobeF" w:hAnsi="ZWAdobeF" w:cs="ZWAdobeF"/>
          <w:sz w:val="2"/>
          <w:szCs w:val="2"/>
        </w:rPr>
        <w:t>35F</w:t>
      </w:r>
      <w:r w:rsidR="005F7EBC">
        <w:rPr>
          <w:rFonts w:ascii="ZWAdobeF" w:hAnsi="ZWAdobeF" w:cs="ZWAdobeF"/>
          <w:sz w:val="2"/>
          <w:szCs w:val="2"/>
        </w:rPr>
        <w:t>44F</w:t>
      </w:r>
      <w:r w:rsidRPr="00D875EF">
        <w:rPr>
          <w:vertAlign w:val="superscript"/>
        </w:rPr>
        <w:footnoteReference w:id="46"/>
      </w:r>
      <w:bookmarkEnd w:id="108"/>
      <w:bookmarkEnd w:id="109"/>
      <w:r w:rsidRPr="00D875EF">
        <w:t xml:space="preserve"> This shortage estimation aligns with </w:t>
      </w:r>
      <w:proofErr w:type="spellStart"/>
      <w:r w:rsidRPr="00D875EF">
        <w:t>Venndelta’s</w:t>
      </w:r>
      <w:proofErr w:type="spellEnd"/>
      <w:r w:rsidRPr="00D875EF">
        <w:t xml:space="preserve"> ROMP Workforce Projections Model, developed in 2021 as part of the MPS Program, which estimated a shortage of 50 ROMP FTE across Australia and New Zealand in 2020.</w:t>
      </w:r>
    </w:p>
    <w:p w14:paraId="2C5443F5" w14:textId="6A1058A8" w:rsidR="00D875EF" w:rsidRPr="00D875EF" w:rsidRDefault="00D875EF" w:rsidP="00D875EF">
      <w:pPr>
        <w:pStyle w:val="BodyText"/>
        <w:rPr>
          <w:vertAlign w:val="superscript"/>
          <w:lang w:val="en-GB"/>
        </w:rPr>
      </w:pPr>
      <w:r w:rsidRPr="00D875EF">
        <w:rPr>
          <w:lang w:val="en-GB"/>
        </w:rPr>
        <w:t>At present, the ACPSEM register lists 436 ROMPs who are Qualified Medical Physics Specialists in March 2024, an increase from 352 ROMPs registered in 2020/2021.</w:t>
      </w:r>
      <w:bookmarkStart w:id="110" w:name="_Ref181369886"/>
      <w:r w:rsidR="001D1A3C">
        <w:rPr>
          <w:rFonts w:ascii="ZWAdobeF" w:hAnsi="ZWAdobeF" w:cs="ZWAdobeF"/>
          <w:sz w:val="2"/>
          <w:szCs w:val="2"/>
          <w:lang w:val="en-GB"/>
        </w:rPr>
        <w:t>36F</w:t>
      </w:r>
      <w:bookmarkStart w:id="111" w:name="_Ref184388845"/>
      <w:r w:rsidR="005F7EBC">
        <w:rPr>
          <w:rFonts w:ascii="ZWAdobeF" w:hAnsi="ZWAdobeF" w:cs="ZWAdobeF"/>
          <w:sz w:val="2"/>
          <w:szCs w:val="2"/>
          <w:lang w:val="en-GB"/>
        </w:rPr>
        <w:t>45F</w:t>
      </w:r>
      <w:r w:rsidRPr="00D875EF">
        <w:rPr>
          <w:vertAlign w:val="superscript"/>
          <w:lang w:val="en-GB"/>
        </w:rPr>
        <w:footnoteReference w:id="47"/>
      </w:r>
      <w:bookmarkEnd w:id="110"/>
      <w:bookmarkEnd w:id="111"/>
      <w:r w:rsidRPr="00D875EF">
        <w:rPr>
          <w:lang w:val="en-GB"/>
        </w:rPr>
        <w:t xml:space="preserve"> However, beyond this cohort, evidence suggests that a significant proportion of those working in ROMP roles are not qualified to the same extent as QMP</w:t>
      </w:r>
      <w:r w:rsidR="00981E31">
        <w:rPr>
          <w:lang w:val="en-GB"/>
        </w:rPr>
        <w:t>s</w:t>
      </w:r>
      <w:r w:rsidRPr="00D875EF">
        <w:rPr>
          <w:lang w:val="en-GB"/>
        </w:rPr>
        <w:t>. RANZCR data from the 2020 Radiation Oncology Facilities Survey</w:t>
      </w:r>
      <w:r w:rsidR="00543107" w:rsidRPr="00543107">
        <w:rPr>
          <w:vertAlign w:val="superscript"/>
          <w:lang w:val="en-GB"/>
        </w:rPr>
        <w:fldChar w:fldCharType="begin"/>
      </w:r>
      <w:r w:rsidR="00543107" w:rsidRPr="00543107">
        <w:rPr>
          <w:vertAlign w:val="superscript"/>
          <w:lang w:val="en-GB"/>
        </w:rPr>
        <w:instrText xml:space="preserve"> NOTEREF _Ref184392356 \h  \* MERGEFORMAT </w:instrText>
      </w:r>
      <w:r w:rsidR="00543107" w:rsidRPr="00543107">
        <w:rPr>
          <w:vertAlign w:val="superscript"/>
          <w:lang w:val="en-GB"/>
        </w:rPr>
      </w:r>
      <w:r w:rsidR="00543107" w:rsidRPr="00543107">
        <w:rPr>
          <w:vertAlign w:val="superscript"/>
          <w:lang w:val="en-GB"/>
        </w:rPr>
        <w:fldChar w:fldCharType="separate"/>
      </w:r>
      <w:r w:rsidR="005F7EBC">
        <w:rPr>
          <w:vertAlign w:val="superscript"/>
          <w:lang w:val="en-GB"/>
        </w:rPr>
        <w:t>37</w:t>
      </w:r>
      <w:r w:rsidR="00543107" w:rsidRPr="00543107">
        <w:rPr>
          <w:vertAlign w:val="superscript"/>
          <w:lang w:val="en-GB"/>
        </w:rPr>
        <w:fldChar w:fldCharType="end"/>
      </w:r>
      <w:r w:rsidRPr="00D875EF">
        <w:rPr>
          <w:lang w:val="en-GB"/>
        </w:rPr>
        <w:t xml:space="preserve"> indicates that 13.5% of the workforce listed as "ROMPs" were "non-accredited". Other than employer-specific requirements for role descriptions, there is no way of controlling the qualifications, experience and practical training of this segment of the workforce. It can be estimated that there may be 68 non-credentialled ROMPs working in Australia, bringing the total workforce up to approximately 504 workers. In 2021, it was estimated that 33 ROMPs will retire over the 5 years to 2026, and 23 will retire in 2027 – 2032.</w:t>
      </w:r>
      <w:r w:rsidR="00953CBB" w:rsidRPr="00DC27F5">
        <w:rPr>
          <w:vertAlign w:val="superscript"/>
          <w:lang w:val="en-GB"/>
        </w:rPr>
        <w:fldChar w:fldCharType="begin"/>
      </w:r>
      <w:r w:rsidR="00953CBB" w:rsidRPr="00DC27F5">
        <w:rPr>
          <w:vertAlign w:val="superscript"/>
          <w:lang w:val="en-GB"/>
        </w:rPr>
        <w:instrText xml:space="preserve"> NOTEREF _Ref182580037 \h </w:instrText>
      </w:r>
      <w:r w:rsidR="00953CBB">
        <w:rPr>
          <w:vertAlign w:val="superscript"/>
          <w:lang w:val="en-GB"/>
        </w:rPr>
        <w:instrText xml:space="preserve"> \* MERGEFORMAT </w:instrText>
      </w:r>
      <w:r w:rsidR="00953CBB" w:rsidRPr="00DC27F5">
        <w:rPr>
          <w:vertAlign w:val="superscript"/>
          <w:lang w:val="en-GB"/>
        </w:rPr>
      </w:r>
      <w:r w:rsidR="00953CBB" w:rsidRPr="00DC27F5">
        <w:rPr>
          <w:vertAlign w:val="superscript"/>
          <w:lang w:val="en-GB"/>
        </w:rPr>
        <w:fldChar w:fldCharType="separate"/>
      </w:r>
      <w:r w:rsidR="005F7EBC">
        <w:rPr>
          <w:vertAlign w:val="superscript"/>
          <w:lang w:val="en-GB"/>
        </w:rPr>
        <w:t>47</w:t>
      </w:r>
      <w:r w:rsidR="00953CBB" w:rsidRPr="00DC27F5">
        <w:rPr>
          <w:vertAlign w:val="superscript"/>
          <w:lang w:val="en-GB"/>
        </w:rPr>
        <w:fldChar w:fldCharType="end"/>
      </w:r>
      <w:r w:rsidR="00953CBB" w:rsidRPr="00953CBB" w:rsidDel="00953CBB">
        <w:rPr>
          <w:vertAlign w:val="superscript"/>
          <w:lang w:val="en-GB"/>
        </w:rPr>
        <w:t xml:space="preserve"> </w:t>
      </w:r>
    </w:p>
    <w:p w14:paraId="37BFE6F2" w14:textId="1815F719" w:rsidR="00D875EF" w:rsidRPr="00D875EF" w:rsidRDefault="00D875EF" w:rsidP="00D875EF">
      <w:pPr>
        <w:pStyle w:val="BodyText"/>
      </w:pPr>
      <w:proofErr w:type="spellStart"/>
      <w:r w:rsidRPr="00D875EF">
        <w:t>Venndelta’s</w:t>
      </w:r>
      <w:proofErr w:type="spellEnd"/>
      <w:r w:rsidRPr="00D875EF">
        <w:t xml:space="preserve"> workforce model projects that the shortage of ROMPs across Australia and New Zealand will </w:t>
      </w:r>
      <w:r w:rsidR="006C3EF2">
        <w:t>fall</w:t>
      </w:r>
      <w:r w:rsidRPr="00D875EF">
        <w:t xml:space="preserve"> to 12.2 FTE in 2025 when there will be an estimated 517 ROMP FTE across both countries. Importantly, the model projects that the ROMP shortage will close in 2030, with 617 ROMP FTE equating to an excess of 38.7 FTE across Australia and New Zealand.</w:t>
      </w:r>
      <w:bookmarkStart w:id="112" w:name="_Ref182580037"/>
      <w:r w:rsidR="001D1A3C">
        <w:rPr>
          <w:rFonts w:ascii="ZWAdobeF" w:hAnsi="ZWAdobeF" w:cs="ZWAdobeF"/>
          <w:sz w:val="2"/>
          <w:szCs w:val="2"/>
        </w:rPr>
        <w:t>37F</w:t>
      </w:r>
      <w:r w:rsidR="005F7EBC">
        <w:rPr>
          <w:rFonts w:ascii="ZWAdobeF" w:hAnsi="ZWAdobeF" w:cs="ZWAdobeF"/>
          <w:sz w:val="2"/>
          <w:szCs w:val="2"/>
        </w:rPr>
        <w:t>46F</w:t>
      </w:r>
      <w:r w:rsidRPr="00D875EF">
        <w:rPr>
          <w:vertAlign w:val="superscript"/>
        </w:rPr>
        <w:footnoteReference w:id="48"/>
      </w:r>
      <w:bookmarkEnd w:id="112"/>
      <w:r w:rsidRPr="00D875EF">
        <w:t xml:space="preserve"> </w:t>
      </w:r>
    </w:p>
    <w:p w14:paraId="580BA831" w14:textId="51F60657" w:rsidR="00D875EF" w:rsidRPr="00DC27F5" w:rsidRDefault="004D5D49" w:rsidP="00DC27F5">
      <w:pPr>
        <w:pStyle w:val="Heading5"/>
      </w:pPr>
      <w:r w:rsidRPr="00DC27F5">
        <w:t>Addressing workforce demand through TEAP</w:t>
      </w:r>
    </w:p>
    <w:p w14:paraId="1B4FB70B" w14:textId="1499D43A" w:rsidR="004D258C" w:rsidRDefault="00D875EF" w:rsidP="00EB2CBE">
      <w:pPr>
        <w:pStyle w:val="BodyText"/>
      </w:pPr>
      <w:r w:rsidRPr="00D875EF">
        <w:rPr>
          <w:iCs/>
        </w:rPr>
        <w:t xml:space="preserve">Clinical training programs such as TEAP are widely recognised </w:t>
      </w:r>
      <w:r w:rsidR="001C2FAD">
        <w:rPr>
          <w:iCs/>
        </w:rPr>
        <w:t xml:space="preserve">internationally </w:t>
      </w:r>
      <w:r w:rsidRPr="00D875EF">
        <w:rPr>
          <w:iCs/>
        </w:rPr>
        <w:t xml:space="preserve">as critical to developing and maintaining </w:t>
      </w:r>
      <w:r w:rsidR="009738AA">
        <w:rPr>
          <w:iCs/>
        </w:rPr>
        <w:t>a sufficient supply</w:t>
      </w:r>
      <w:r w:rsidRPr="00D875EF">
        <w:rPr>
          <w:iCs/>
        </w:rPr>
        <w:t xml:space="preserve"> of </w:t>
      </w:r>
      <w:r w:rsidR="00CE2C0F">
        <w:rPr>
          <w:iCs/>
        </w:rPr>
        <w:t>QMP</w:t>
      </w:r>
      <w:r w:rsidRPr="00D875EF">
        <w:rPr>
          <w:iCs/>
        </w:rPr>
        <w:t xml:space="preserve">s and </w:t>
      </w:r>
      <w:r w:rsidR="0043409D">
        <w:rPr>
          <w:iCs/>
        </w:rPr>
        <w:t>RPSs</w:t>
      </w:r>
      <w:r w:rsidRPr="00D875EF">
        <w:rPr>
          <w:iCs/>
        </w:rPr>
        <w:t>.</w:t>
      </w:r>
      <w:r w:rsidR="001D1A3C">
        <w:rPr>
          <w:rFonts w:ascii="ZWAdobeF" w:hAnsi="ZWAdobeF" w:cs="ZWAdobeF"/>
          <w:iCs/>
          <w:sz w:val="2"/>
          <w:szCs w:val="2"/>
        </w:rPr>
        <w:t>38F</w:t>
      </w:r>
      <w:r w:rsidR="005F7EBC">
        <w:rPr>
          <w:rFonts w:ascii="ZWAdobeF" w:hAnsi="ZWAdobeF" w:cs="ZWAdobeF"/>
          <w:iCs/>
          <w:sz w:val="2"/>
          <w:szCs w:val="2"/>
        </w:rPr>
        <w:t>47F</w:t>
      </w:r>
      <w:r w:rsidRPr="00D875EF">
        <w:rPr>
          <w:iCs/>
          <w:vertAlign w:val="superscript"/>
        </w:rPr>
        <w:footnoteReference w:id="49"/>
      </w:r>
      <w:r w:rsidRPr="00D875EF">
        <w:rPr>
          <w:iCs/>
          <w:vertAlign w:val="superscript"/>
        </w:rPr>
        <w:t xml:space="preserve">, </w:t>
      </w:r>
      <w:r w:rsidR="001D1A3C">
        <w:rPr>
          <w:rFonts w:ascii="ZWAdobeF" w:hAnsi="ZWAdobeF" w:cs="ZWAdobeF"/>
          <w:iCs/>
          <w:sz w:val="2"/>
          <w:szCs w:val="2"/>
        </w:rPr>
        <w:t>39F</w:t>
      </w:r>
      <w:r w:rsidR="005F7EBC">
        <w:rPr>
          <w:rFonts w:ascii="ZWAdobeF" w:hAnsi="ZWAdobeF" w:cs="ZWAdobeF"/>
          <w:iCs/>
          <w:sz w:val="2"/>
          <w:szCs w:val="2"/>
        </w:rPr>
        <w:t>48F</w:t>
      </w:r>
      <w:r w:rsidRPr="00D875EF">
        <w:rPr>
          <w:iCs/>
          <w:vertAlign w:val="superscript"/>
        </w:rPr>
        <w:footnoteReference w:id="50"/>
      </w:r>
      <w:r w:rsidRPr="00D875EF">
        <w:rPr>
          <w:iCs/>
          <w:vertAlign w:val="superscript"/>
        </w:rPr>
        <w:t xml:space="preserve">, </w:t>
      </w:r>
      <w:r w:rsidR="001D1A3C">
        <w:rPr>
          <w:rFonts w:ascii="ZWAdobeF" w:hAnsi="ZWAdobeF" w:cs="ZWAdobeF"/>
          <w:iCs/>
          <w:sz w:val="2"/>
          <w:szCs w:val="2"/>
        </w:rPr>
        <w:t>40F</w:t>
      </w:r>
      <w:r w:rsidR="005F7EBC">
        <w:rPr>
          <w:rFonts w:ascii="ZWAdobeF" w:hAnsi="ZWAdobeF" w:cs="ZWAdobeF"/>
          <w:iCs/>
          <w:sz w:val="2"/>
          <w:szCs w:val="2"/>
        </w:rPr>
        <w:t>49F</w:t>
      </w:r>
      <w:r w:rsidRPr="00D875EF">
        <w:rPr>
          <w:iCs/>
          <w:vertAlign w:val="superscript"/>
        </w:rPr>
        <w:footnoteReference w:id="51"/>
      </w:r>
      <w:r w:rsidRPr="00D875EF">
        <w:rPr>
          <w:iCs/>
          <w:vertAlign w:val="superscript"/>
        </w:rPr>
        <w:t xml:space="preserve">, </w:t>
      </w:r>
      <w:r w:rsidR="001D1A3C">
        <w:rPr>
          <w:rFonts w:ascii="ZWAdobeF" w:hAnsi="ZWAdobeF" w:cs="ZWAdobeF"/>
          <w:iCs/>
          <w:sz w:val="2"/>
          <w:szCs w:val="2"/>
        </w:rPr>
        <w:t>41F</w:t>
      </w:r>
      <w:r w:rsidR="005F7EBC">
        <w:rPr>
          <w:rFonts w:ascii="ZWAdobeF" w:hAnsi="ZWAdobeF" w:cs="ZWAdobeF"/>
          <w:iCs/>
          <w:sz w:val="2"/>
          <w:szCs w:val="2"/>
        </w:rPr>
        <w:t>50F</w:t>
      </w:r>
      <w:r w:rsidRPr="00D875EF">
        <w:rPr>
          <w:iCs/>
          <w:vertAlign w:val="superscript"/>
        </w:rPr>
        <w:footnoteReference w:id="52"/>
      </w:r>
      <w:r w:rsidR="0069477B">
        <w:rPr>
          <w:iCs/>
        </w:rPr>
        <w:t xml:space="preserve"> I</w:t>
      </w:r>
      <w:r w:rsidR="002733FF">
        <w:rPr>
          <w:iCs/>
        </w:rPr>
        <w:t>n consultation, s</w:t>
      </w:r>
      <w:r w:rsidR="0072692F">
        <w:rPr>
          <w:iCs/>
        </w:rPr>
        <w:t xml:space="preserve">takeholders </w:t>
      </w:r>
      <w:r w:rsidR="00EB2CBE">
        <w:rPr>
          <w:iCs/>
        </w:rPr>
        <w:t xml:space="preserve">similarly viewed TEAP as </w:t>
      </w:r>
      <w:r w:rsidR="00765673">
        <w:rPr>
          <w:iCs/>
        </w:rPr>
        <w:t xml:space="preserve">integral </w:t>
      </w:r>
      <w:r w:rsidR="0072692F">
        <w:rPr>
          <w:iCs/>
        </w:rPr>
        <w:t xml:space="preserve">to </w:t>
      </w:r>
      <w:r w:rsidR="008A1C7B">
        <w:rPr>
          <w:iCs/>
        </w:rPr>
        <w:t xml:space="preserve">building a </w:t>
      </w:r>
      <w:r w:rsidR="0072692F">
        <w:rPr>
          <w:iCs/>
        </w:rPr>
        <w:t>pipeline of quality medical physicists</w:t>
      </w:r>
      <w:r w:rsidR="002733FF">
        <w:rPr>
          <w:iCs/>
        </w:rPr>
        <w:t xml:space="preserve"> in Australia</w:t>
      </w:r>
      <w:r w:rsidR="0072692F">
        <w:rPr>
          <w:iCs/>
        </w:rPr>
        <w:t xml:space="preserve">. </w:t>
      </w:r>
      <w:r w:rsidR="002C62D5">
        <w:rPr>
          <w:iCs/>
        </w:rPr>
        <w:t>ACPSEM</w:t>
      </w:r>
      <w:r w:rsidRPr="00D875EF">
        <w:rPr>
          <w:iCs/>
        </w:rPr>
        <w:t xml:space="preserve"> has indicated that it is n</w:t>
      </w:r>
      <w:r w:rsidRPr="00D875EF">
        <w:t xml:space="preserve">ot possible to predict whether training pipeline numbers will meet workforce demand due to variables impacting jurisdictions’ prioritisation of medical physicist roles, and the outsourcing of basic medical physics functions to contractors. However, </w:t>
      </w:r>
      <w:r w:rsidR="002C62D5">
        <w:t>ACPSEM</w:t>
      </w:r>
      <w:r w:rsidRPr="00D875EF">
        <w:t xml:space="preserve">’s stance is that “TEAP positions fulfill a meaningful workforce shortage and as such, are critical to the current healthcare model”. This statement is informed by </w:t>
      </w:r>
      <w:r w:rsidR="002C62D5">
        <w:t>ACPSEM</w:t>
      </w:r>
      <w:r w:rsidRPr="00D875EF">
        <w:t xml:space="preserve">’s research, member feedback and anecdotal experiences. </w:t>
      </w:r>
    </w:p>
    <w:p w14:paraId="6E4C3AEA" w14:textId="0078EB1F" w:rsidR="00B72A30" w:rsidRDefault="00B72A30" w:rsidP="00EB2CBE">
      <w:pPr>
        <w:pStyle w:val="BodyText"/>
      </w:pPr>
      <w:r>
        <w:t xml:space="preserve">As detailed in Section </w:t>
      </w:r>
      <w:r>
        <w:fldChar w:fldCharType="begin" w:fldLock="1"/>
      </w:r>
      <w:r>
        <w:instrText xml:space="preserve"> REF _Ref181946599 \r \h </w:instrText>
      </w:r>
      <w:r>
        <w:fldChar w:fldCharType="separate"/>
      </w:r>
      <w:r>
        <w:rPr>
          <w:cs/>
        </w:rPr>
        <w:t>‎</w:t>
      </w:r>
      <w:r>
        <w:t>3.1.6</w:t>
      </w:r>
      <w:r>
        <w:fldChar w:fldCharType="end"/>
      </w:r>
      <w:r>
        <w:t xml:space="preserve">, the availability of </w:t>
      </w:r>
      <w:r w:rsidR="00F508EA">
        <w:t xml:space="preserve">TEAP training positions and </w:t>
      </w:r>
      <w:r>
        <w:t>employment positions</w:t>
      </w:r>
      <w:r w:rsidR="00F508EA">
        <w:t xml:space="preserve"> is impactin</w:t>
      </w:r>
      <w:r w:rsidR="00EA31E5">
        <w:t>g the ability of the MPS Program to create a robust workforce supply</w:t>
      </w:r>
      <w:r w:rsidR="007F60E6">
        <w:t>. Through consultation, many stakeholders noted the high supply of university graduates relative to the limited number of TEAP positions, and that permanent employment is not guaranteed following TEAP completion.</w:t>
      </w:r>
      <w:r w:rsidR="001614C0">
        <w:t xml:space="preserve"> The lack of employment positions available to TEAP graduates can be linked to several barriers faced by the workforce, including the high cost of employing medical physicists, prioritisation and funding of the workforce by jurisdictions, and a lack of broader recognition of the value of the workforce.</w:t>
      </w:r>
    </w:p>
    <w:p w14:paraId="5F6A9CB2" w14:textId="4FF520DD" w:rsidR="00EB52ED" w:rsidRPr="006E71A4" w:rsidRDefault="00413099" w:rsidP="006E71A4">
      <w:pPr>
        <w:pStyle w:val="Heading4"/>
      </w:pPr>
      <w:r>
        <w:t xml:space="preserve">Standardising and improving </w:t>
      </w:r>
      <w:r w:rsidR="00EB52ED" w:rsidRPr="00D001A9">
        <w:t>quality</w:t>
      </w:r>
      <w:r w:rsidR="00F01700">
        <w:t xml:space="preserve"> of medical physicist services</w:t>
      </w:r>
    </w:p>
    <w:p w14:paraId="1E5A1FA8" w14:textId="1D89F8DB" w:rsidR="002B41A1" w:rsidRPr="00647ABB" w:rsidRDefault="002B41A1" w:rsidP="00647ABB">
      <w:pPr>
        <w:spacing w:before="0" w:after="160" w:line="259" w:lineRule="auto"/>
        <w:rPr>
          <w:rFonts w:eastAsia="Calibri" w:cs="Arial"/>
          <w:szCs w:val="20"/>
          <w:vertAlign w:val="superscript"/>
        </w:rPr>
      </w:pPr>
      <w:r w:rsidRPr="00647ABB">
        <w:rPr>
          <w:rFonts w:eastAsia="Calibri" w:cs="Arial"/>
          <w:szCs w:val="20"/>
        </w:rPr>
        <w:t xml:space="preserve">The development of post-graduate educational and training programs is recognised internationally as critical to developing a </w:t>
      </w:r>
      <w:r w:rsidR="005D2575">
        <w:rPr>
          <w:rFonts w:eastAsia="Calibri" w:cs="Arial"/>
          <w:szCs w:val="20"/>
        </w:rPr>
        <w:t>Clinically</w:t>
      </w:r>
      <w:r w:rsidR="00A54E5C">
        <w:rPr>
          <w:rFonts w:eastAsia="Calibri" w:cs="Arial"/>
          <w:szCs w:val="20"/>
        </w:rPr>
        <w:t xml:space="preserve"> Qualified </w:t>
      </w:r>
      <w:r w:rsidR="005D2575">
        <w:rPr>
          <w:rFonts w:eastAsia="Calibri" w:cs="Arial"/>
          <w:szCs w:val="20"/>
        </w:rPr>
        <w:t>Medical Physicist (</w:t>
      </w:r>
      <w:r w:rsidRPr="00647ABB">
        <w:rPr>
          <w:rFonts w:eastAsia="Calibri" w:cs="Arial"/>
          <w:szCs w:val="20"/>
        </w:rPr>
        <w:t>CQMP</w:t>
      </w:r>
      <w:r w:rsidR="005D2575">
        <w:rPr>
          <w:rFonts w:eastAsia="Calibri" w:cs="Arial"/>
          <w:szCs w:val="20"/>
        </w:rPr>
        <w:t>)</w:t>
      </w:r>
      <w:r w:rsidRPr="00647ABB">
        <w:rPr>
          <w:rFonts w:eastAsia="Calibri" w:cs="Arial"/>
          <w:szCs w:val="20"/>
        </w:rPr>
        <w:t xml:space="preserve"> workforce, with important benefits for strengthening safety and quality in healthcare.</w:t>
      </w:r>
      <w:r w:rsidR="001D1A3C">
        <w:rPr>
          <w:rFonts w:ascii="ZWAdobeF" w:eastAsia="Calibri" w:hAnsi="ZWAdobeF" w:cs="ZWAdobeF"/>
          <w:sz w:val="2"/>
          <w:szCs w:val="2"/>
        </w:rPr>
        <w:t>42F</w:t>
      </w:r>
      <w:r w:rsidR="005F7EBC">
        <w:rPr>
          <w:rFonts w:ascii="ZWAdobeF" w:eastAsia="Calibri" w:hAnsi="ZWAdobeF" w:cs="ZWAdobeF"/>
          <w:sz w:val="2"/>
          <w:szCs w:val="2"/>
        </w:rPr>
        <w:t>51F</w:t>
      </w:r>
      <w:r w:rsidRPr="00251FFF">
        <w:rPr>
          <w:vertAlign w:val="superscript"/>
        </w:rPr>
        <w:footnoteReference w:id="53"/>
      </w:r>
      <w:r w:rsidRPr="00647ABB">
        <w:rPr>
          <w:rFonts w:eastAsia="Calibri" w:cs="Arial"/>
          <w:szCs w:val="20"/>
          <w:vertAlign w:val="superscript"/>
        </w:rPr>
        <w:t xml:space="preserve">, </w:t>
      </w:r>
      <w:r w:rsidR="001D1A3C">
        <w:rPr>
          <w:rFonts w:ascii="ZWAdobeF" w:eastAsia="Calibri" w:hAnsi="ZWAdobeF" w:cs="ZWAdobeF"/>
          <w:sz w:val="2"/>
          <w:szCs w:val="2"/>
        </w:rPr>
        <w:t>43F</w:t>
      </w:r>
      <w:r w:rsidR="005F7EBC">
        <w:rPr>
          <w:rFonts w:ascii="ZWAdobeF" w:eastAsia="Calibri" w:hAnsi="ZWAdobeF" w:cs="ZWAdobeF"/>
          <w:sz w:val="2"/>
          <w:szCs w:val="2"/>
        </w:rPr>
        <w:t>52F</w:t>
      </w:r>
      <w:r w:rsidRPr="00251FFF">
        <w:rPr>
          <w:vertAlign w:val="superscript"/>
        </w:rPr>
        <w:footnoteReference w:id="54"/>
      </w:r>
      <w:r w:rsidRPr="00647ABB">
        <w:rPr>
          <w:rFonts w:eastAsia="Calibri" w:cs="Arial"/>
          <w:szCs w:val="20"/>
          <w:vertAlign w:val="superscript"/>
        </w:rPr>
        <w:t xml:space="preserve">, </w:t>
      </w:r>
      <w:r w:rsidR="001D1A3C">
        <w:rPr>
          <w:rFonts w:ascii="ZWAdobeF" w:eastAsia="Calibri" w:hAnsi="ZWAdobeF" w:cs="ZWAdobeF"/>
          <w:sz w:val="2"/>
          <w:szCs w:val="2"/>
        </w:rPr>
        <w:t>44F</w:t>
      </w:r>
      <w:r w:rsidR="005F7EBC">
        <w:rPr>
          <w:rFonts w:ascii="ZWAdobeF" w:eastAsia="Calibri" w:hAnsi="ZWAdobeF" w:cs="ZWAdobeF"/>
          <w:sz w:val="2"/>
          <w:szCs w:val="2"/>
        </w:rPr>
        <w:t>53F</w:t>
      </w:r>
      <w:r w:rsidRPr="00251FFF">
        <w:rPr>
          <w:vertAlign w:val="superscript"/>
        </w:rPr>
        <w:footnoteReference w:id="55"/>
      </w:r>
      <w:r w:rsidRPr="00647ABB">
        <w:rPr>
          <w:rFonts w:eastAsia="Calibri" w:cs="Arial"/>
          <w:szCs w:val="20"/>
          <w:vertAlign w:val="superscript"/>
        </w:rPr>
        <w:t xml:space="preserve">, </w:t>
      </w:r>
      <w:r w:rsidR="001D1A3C">
        <w:rPr>
          <w:rFonts w:ascii="ZWAdobeF" w:eastAsia="Calibri" w:hAnsi="ZWAdobeF" w:cs="ZWAdobeF"/>
          <w:sz w:val="2"/>
          <w:szCs w:val="2"/>
        </w:rPr>
        <w:t>45F</w:t>
      </w:r>
      <w:r w:rsidR="005F7EBC">
        <w:rPr>
          <w:rFonts w:ascii="ZWAdobeF" w:eastAsia="Calibri" w:hAnsi="ZWAdobeF" w:cs="ZWAdobeF"/>
          <w:sz w:val="2"/>
          <w:szCs w:val="2"/>
        </w:rPr>
        <w:t>54F</w:t>
      </w:r>
      <w:r w:rsidRPr="00251FFF">
        <w:rPr>
          <w:vertAlign w:val="superscript"/>
        </w:rPr>
        <w:footnoteReference w:id="56"/>
      </w:r>
      <w:r w:rsidRPr="00647ABB">
        <w:rPr>
          <w:rFonts w:eastAsia="Calibri" w:cs="Arial"/>
          <w:szCs w:val="20"/>
          <w:vertAlign w:val="superscript"/>
        </w:rPr>
        <w:t xml:space="preserve"> </w:t>
      </w:r>
      <w:r w:rsidR="00842C26" w:rsidRPr="00647ABB">
        <w:rPr>
          <w:rFonts w:eastAsia="Calibri" w:cs="Arial"/>
          <w:szCs w:val="20"/>
          <w:vertAlign w:val="superscript"/>
        </w:rPr>
        <w:t xml:space="preserve"> </w:t>
      </w:r>
      <w:r w:rsidR="00E04097">
        <w:rPr>
          <w:rFonts w:eastAsia="Calibri" w:cs="Arial"/>
          <w:szCs w:val="20"/>
        </w:rPr>
        <w:t xml:space="preserve">Formalised training, as well as certification, </w:t>
      </w:r>
      <w:r w:rsidR="00613CAF">
        <w:rPr>
          <w:rFonts w:eastAsia="Calibri" w:cs="Arial"/>
          <w:szCs w:val="20"/>
        </w:rPr>
        <w:t xml:space="preserve">demonstrates adherence to </w:t>
      </w:r>
      <w:proofErr w:type="spellStart"/>
      <w:r w:rsidR="00613CAF">
        <w:rPr>
          <w:rFonts w:eastAsia="Calibri" w:cs="Arial"/>
          <w:szCs w:val="20"/>
        </w:rPr>
        <w:t>agreed</w:t>
      </w:r>
      <w:proofErr w:type="spellEnd"/>
      <w:r w:rsidR="00613CAF">
        <w:rPr>
          <w:rFonts w:eastAsia="Calibri" w:cs="Arial"/>
          <w:szCs w:val="20"/>
        </w:rPr>
        <w:t xml:space="preserve"> upon best practices</w:t>
      </w:r>
      <w:r w:rsidR="008B7FB4">
        <w:rPr>
          <w:rFonts w:eastAsia="Calibri" w:cs="Arial"/>
          <w:szCs w:val="20"/>
        </w:rPr>
        <w:t xml:space="preserve">, </w:t>
      </w:r>
      <w:r w:rsidR="00613CAF">
        <w:rPr>
          <w:rFonts w:eastAsia="Calibri" w:cs="Arial"/>
          <w:szCs w:val="20"/>
        </w:rPr>
        <w:t>a homog</w:t>
      </w:r>
      <w:r w:rsidR="008B7FB4">
        <w:rPr>
          <w:rFonts w:eastAsia="Calibri" w:cs="Arial"/>
          <w:szCs w:val="20"/>
        </w:rPr>
        <w:t>enous professional standard, and ensures quality, safety and credibility in the profession.</w:t>
      </w:r>
      <w:r w:rsidR="00D85DDD">
        <w:rPr>
          <w:vertAlign w:val="superscript"/>
        </w:rPr>
        <w:fldChar w:fldCharType="begin"/>
      </w:r>
      <w:r w:rsidR="00D85DDD">
        <w:rPr>
          <w:vertAlign w:val="superscript"/>
        </w:rPr>
        <w:instrText xml:space="preserve"> NOTEREF _Ref181781534 \h </w:instrText>
      </w:r>
      <w:r w:rsidR="00D85DDD">
        <w:rPr>
          <w:vertAlign w:val="superscript"/>
        </w:rPr>
      </w:r>
      <w:r w:rsidR="00D85DDD">
        <w:rPr>
          <w:vertAlign w:val="superscript"/>
        </w:rPr>
        <w:fldChar w:fldCharType="separate"/>
      </w:r>
      <w:r w:rsidR="005F7EBC">
        <w:rPr>
          <w:vertAlign w:val="superscript"/>
        </w:rPr>
        <w:t>30</w:t>
      </w:r>
      <w:r w:rsidR="00D85DDD">
        <w:rPr>
          <w:vertAlign w:val="superscript"/>
        </w:rPr>
        <w:fldChar w:fldCharType="end"/>
      </w:r>
      <w:r w:rsidR="00D85DDD">
        <w:rPr>
          <w:vertAlign w:val="superscript"/>
        </w:rPr>
        <w:t>,</w:t>
      </w:r>
      <w:r w:rsidR="008B7FB4">
        <w:rPr>
          <w:vertAlign w:val="superscript"/>
        </w:rPr>
        <w:t xml:space="preserve"> </w:t>
      </w:r>
      <w:r w:rsidR="001D1A3C">
        <w:rPr>
          <w:rFonts w:ascii="ZWAdobeF" w:hAnsi="ZWAdobeF" w:cs="ZWAdobeF"/>
          <w:sz w:val="2"/>
          <w:szCs w:val="2"/>
        </w:rPr>
        <w:t>46F</w:t>
      </w:r>
      <w:bookmarkStart w:id="113" w:name="_Ref184108694"/>
      <w:r w:rsidR="005F7EBC">
        <w:rPr>
          <w:rFonts w:ascii="ZWAdobeF" w:hAnsi="ZWAdobeF" w:cs="ZWAdobeF"/>
          <w:sz w:val="2"/>
          <w:szCs w:val="2"/>
        </w:rPr>
        <w:t>55F</w:t>
      </w:r>
      <w:r w:rsidR="00F6782F">
        <w:rPr>
          <w:rStyle w:val="FootnoteReference"/>
        </w:rPr>
        <w:footnoteReference w:id="57"/>
      </w:r>
      <w:bookmarkEnd w:id="113"/>
      <w:r w:rsidR="008B7FB4">
        <w:rPr>
          <w:vertAlign w:val="superscript"/>
        </w:rPr>
        <w:t xml:space="preserve"> </w:t>
      </w:r>
    </w:p>
    <w:p w14:paraId="2CB4B500" w14:textId="7613E702" w:rsidR="00CD5A64" w:rsidRDefault="00331216" w:rsidP="00CD5A64">
      <w:pPr>
        <w:pStyle w:val="BodyText"/>
      </w:pPr>
      <w:r>
        <w:rPr>
          <w:iCs/>
          <w:lang w:val="en-GB"/>
        </w:rPr>
        <w:t xml:space="preserve">According to </w:t>
      </w:r>
      <w:r w:rsidR="00B444A1">
        <w:rPr>
          <w:iCs/>
          <w:lang w:val="en-GB"/>
        </w:rPr>
        <w:t>international best practice,</w:t>
      </w:r>
      <w:r>
        <w:rPr>
          <w:iCs/>
          <w:lang w:val="en-GB"/>
        </w:rPr>
        <w:t xml:space="preserve"> medical physics training program</w:t>
      </w:r>
      <w:r w:rsidR="00685F70">
        <w:rPr>
          <w:iCs/>
          <w:lang w:val="en-GB"/>
        </w:rPr>
        <w:t>s</w:t>
      </w:r>
      <w:r>
        <w:rPr>
          <w:iCs/>
          <w:lang w:val="en-GB"/>
        </w:rPr>
        <w:t xml:space="preserve"> </w:t>
      </w:r>
      <w:r w:rsidR="00CD5A64">
        <w:t>should be structured and formal, and require adequate organisation, facilities, staff, patient resources, and education environments.</w:t>
      </w:r>
      <w:r w:rsidR="005F7EBC">
        <w:rPr>
          <w:rFonts w:ascii="ZWAdobeF" w:hAnsi="ZWAdobeF" w:cs="ZWAdobeF"/>
          <w:sz w:val="2"/>
          <w:szCs w:val="2"/>
        </w:rPr>
        <w:t>56F</w:t>
      </w:r>
      <w:r w:rsidR="00DA51B6">
        <w:rPr>
          <w:rStyle w:val="FootnoteReference"/>
        </w:rPr>
        <w:footnoteReference w:id="58"/>
      </w:r>
      <w:r w:rsidR="00CD5A64">
        <w:t xml:space="preserve"> </w:t>
      </w:r>
      <w:r w:rsidR="00BD15D7">
        <w:t>The</w:t>
      </w:r>
      <w:r w:rsidR="00B444A1">
        <w:t xml:space="preserve"> clinical training program </w:t>
      </w:r>
      <w:r w:rsidR="00BD15D7">
        <w:t xml:space="preserve">should be </w:t>
      </w:r>
      <w:r w:rsidR="00B444A1">
        <w:t>formally accredited by a professional body authorised by the government to ensure high quality and consistency of training.</w:t>
      </w:r>
      <w:r w:rsidR="00B444A1">
        <w:rPr>
          <w:rFonts w:ascii="ZWAdobeF" w:hAnsi="ZWAdobeF" w:cs="ZWAdobeF"/>
          <w:sz w:val="2"/>
          <w:szCs w:val="2"/>
        </w:rPr>
        <w:t>75F</w:t>
      </w:r>
      <w:r w:rsidR="005F7EBC">
        <w:rPr>
          <w:rFonts w:ascii="ZWAdobeF" w:hAnsi="ZWAdobeF" w:cs="ZWAdobeF"/>
          <w:sz w:val="2"/>
          <w:szCs w:val="2"/>
        </w:rPr>
        <w:t>57F</w:t>
      </w:r>
      <w:r w:rsidR="00B444A1">
        <w:rPr>
          <w:rStyle w:val="FootnoteReference"/>
        </w:rPr>
        <w:footnoteReference w:id="59"/>
      </w:r>
      <w:r w:rsidR="00BD15D7">
        <w:t xml:space="preserve"> </w:t>
      </w:r>
      <w:r w:rsidR="00CD5A64">
        <w:t>For the effective delivery of supervised clinical training, the IAEA outlines key conditions for clinical residency programmes, including:</w:t>
      </w:r>
      <w:r w:rsidR="00CD5A64">
        <w:rPr>
          <w:rFonts w:ascii="ZWAdobeF" w:hAnsi="ZWAdobeF" w:cs="ZWAdobeF"/>
          <w:sz w:val="2"/>
          <w:szCs w:val="2"/>
        </w:rPr>
        <w:t>73F</w:t>
      </w:r>
      <w:bookmarkStart w:id="114" w:name="_Ref184110490"/>
      <w:r w:rsidR="005F7EBC">
        <w:rPr>
          <w:rFonts w:ascii="ZWAdobeF" w:hAnsi="ZWAdobeF" w:cs="ZWAdobeF"/>
          <w:sz w:val="2"/>
          <w:szCs w:val="2"/>
        </w:rPr>
        <w:t>58F</w:t>
      </w:r>
      <w:r w:rsidR="00CD5A64">
        <w:rPr>
          <w:rStyle w:val="FootnoteReference"/>
        </w:rPr>
        <w:footnoteReference w:id="60"/>
      </w:r>
      <w:bookmarkEnd w:id="114"/>
    </w:p>
    <w:p w14:paraId="2B908A48" w14:textId="77777777" w:rsidR="00CD5A64" w:rsidRDefault="00CD5A64" w:rsidP="00584EC6">
      <w:pPr>
        <w:pStyle w:val="BodyText"/>
        <w:numPr>
          <w:ilvl w:val="0"/>
          <w:numId w:val="34"/>
        </w:numPr>
      </w:pPr>
      <w:r>
        <w:t xml:space="preserve">The training should be carried out in a </w:t>
      </w:r>
      <w:proofErr w:type="gramStart"/>
      <w:r>
        <w:t>hospital;</w:t>
      </w:r>
      <w:proofErr w:type="gramEnd"/>
    </w:p>
    <w:p w14:paraId="6315B85B" w14:textId="77777777" w:rsidR="00CD5A64" w:rsidRDefault="00CD5A64" w:rsidP="00584EC6">
      <w:pPr>
        <w:pStyle w:val="BodyText"/>
        <w:numPr>
          <w:ilvl w:val="0"/>
          <w:numId w:val="34"/>
        </w:numPr>
      </w:pPr>
      <w:r>
        <w:t xml:space="preserve">Trainees should be formally assessed on their knowledge and </w:t>
      </w:r>
      <w:proofErr w:type="gramStart"/>
      <w:r>
        <w:t>competencies;</w:t>
      </w:r>
      <w:proofErr w:type="gramEnd"/>
    </w:p>
    <w:p w14:paraId="534E70D8" w14:textId="77777777" w:rsidR="00CD5A64" w:rsidRDefault="00CD5A64" w:rsidP="00584EC6">
      <w:pPr>
        <w:pStyle w:val="BodyText"/>
        <w:numPr>
          <w:ilvl w:val="0"/>
          <w:numId w:val="34"/>
        </w:numPr>
      </w:pPr>
      <w:r>
        <w:t>Clinical training facilities should be equipped with a complete range of dosimetry and QC equipment; and</w:t>
      </w:r>
    </w:p>
    <w:p w14:paraId="034BFCFE" w14:textId="1A724E38" w:rsidR="00CD5A64" w:rsidRDefault="00CD5A64" w:rsidP="00584EC6">
      <w:pPr>
        <w:pStyle w:val="BodyText"/>
        <w:numPr>
          <w:ilvl w:val="0"/>
          <w:numId w:val="34"/>
        </w:numPr>
      </w:pPr>
      <w:r>
        <w:t xml:space="preserve">Residents should be provided with a </w:t>
      </w:r>
      <w:proofErr w:type="gramStart"/>
      <w:r>
        <w:t>Supervisor</w:t>
      </w:r>
      <w:proofErr w:type="gramEnd"/>
      <w:r>
        <w:t>, with the number of Trainees per Supervisor not to exceed two or three at any given time.</w:t>
      </w:r>
      <w:r w:rsidR="00341C20">
        <w:t xml:space="preserve"> According to the IAEA,</w:t>
      </w:r>
      <w:r w:rsidR="00AE3F02">
        <w:t xml:space="preserve"> Supervisors</w:t>
      </w:r>
      <w:r w:rsidR="00B74A4A">
        <w:t xml:space="preserve"> are senior CQMPs</w:t>
      </w:r>
      <w:r w:rsidR="00796D06">
        <w:t xml:space="preserve"> </w:t>
      </w:r>
      <w:r w:rsidR="00341C20">
        <w:t xml:space="preserve">whose responsibilities include facilitating </w:t>
      </w:r>
      <w:r w:rsidR="00796D06">
        <w:t>the training</w:t>
      </w:r>
      <w:r w:rsidR="006A6F8F">
        <w:t xml:space="preserve"> and assessment</w:t>
      </w:r>
      <w:r w:rsidR="00796D06">
        <w:t xml:space="preserve"> of Trainees</w:t>
      </w:r>
      <w:r w:rsidR="00341C20">
        <w:t>, regularly meeting with the Traine</w:t>
      </w:r>
      <w:r w:rsidR="006A6F8F">
        <w:t xml:space="preserve">e </w:t>
      </w:r>
      <w:r w:rsidR="00273356">
        <w:t xml:space="preserve">to </w:t>
      </w:r>
      <w:r w:rsidR="006A6F8F">
        <w:t xml:space="preserve">monitor their progress and </w:t>
      </w:r>
      <w:r w:rsidR="00273356">
        <w:t xml:space="preserve">provide </w:t>
      </w:r>
      <w:r w:rsidR="006A6F8F">
        <w:t xml:space="preserve">feedback, and </w:t>
      </w:r>
      <w:r w:rsidR="00796D06">
        <w:t>provid</w:t>
      </w:r>
      <w:r w:rsidR="006A6F8F">
        <w:t>ing</w:t>
      </w:r>
      <w:r w:rsidR="00796D06">
        <w:t xml:space="preserve"> individual support</w:t>
      </w:r>
      <w:r w:rsidR="00745A3A">
        <w:t>.</w:t>
      </w:r>
      <w:r w:rsidR="00E145C4">
        <w:t xml:space="preserve"> </w:t>
      </w:r>
    </w:p>
    <w:p w14:paraId="0D86AF64" w14:textId="6D6B3BE2" w:rsidR="00195B92" w:rsidRPr="00051CA4" w:rsidRDefault="007A0913" w:rsidP="00AF24A8">
      <w:pPr>
        <w:pStyle w:val="BodyText"/>
      </w:pPr>
      <w:r>
        <w:t>In line with best practice,</w:t>
      </w:r>
      <w:r w:rsidR="002C5FEE">
        <w:t xml:space="preserve"> and as discussed in Section </w:t>
      </w:r>
      <w:r w:rsidR="002C5FEE">
        <w:fldChar w:fldCharType="begin" w:fldLock="1"/>
      </w:r>
      <w:r w:rsidR="002C5FEE">
        <w:instrText xml:space="preserve"> REF _Ref182582028 \r \h </w:instrText>
      </w:r>
      <w:r w:rsidR="002C5FEE">
        <w:fldChar w:fldCharType="separate"/>
      </w:r>
      <w:r w:rsidR="00866C63">
        <w:t>3.1.1</w:t>
      </w:r>
      <w:r w:rsidR="002C5FEE">
        <w:fldChar w:fldCharType="end"/>
      </w:r>
      <w:r w:rsidR="002C5FEE">
        <w:t>,</w:t>
      </w:r>
      <w:r>
        <w:t xml:space="preserve"> the TEAP satisfies </w:t>
      </w:r>
      <w:r w:rsidR="00552848">
        <w:t>all</w:t>
      </w:r>
      <w:r>
        <w:t xml:space="preserve"> the above requirements.</w:t>
      </w:r>
      <w:r w:rsidR="00AF24A8">
        <w:t xml:space="preserve"> </w:t>
      </w:r>
      <w:r w:rsidR="00195B92">
        <w:rPr>
          <w:iCs/>
          <w:lang w:val="en-GB"/>
        </w:rPr>
        <w:t xml:space="preserve">The value of TEAP </w:t>
      </w:r>
      <w:r w:rsidR="004E098C">
        <w:rPr>
          <w:iCs/>
          <w:lang w:val="en-GB"/>
        </w:rPr>
        <w:t>in</w:t>
      </w:r>
      <w:r w:rsidR="00195B92">
        <w:rPr>
          <w:iCs/>
          <w:lang w:val="en-GB"/>
        </w:rPr>
        <w:t xml:space="preserve"> improving the quality of medical physicist services was a consistent theme in survey results. Approximately three-quarters (76%</w:t>
      </w:r>
      <w:r w:rsidR="00AA3BA5">
        <w:rPr>
          <w:iCs/>
          <w:lang w:val="en-GB"/>
        </w:rPr>
        <w:t>, 41 respondents</w:t>
      </w:r>
      <w:r w:rsidR="00195B92">
        <w:rPr>
          <w:iCs/>
          <w:lang w:val="en-GB"/>
        </w:rPr>
        <w:t>)</w:t>
      </w:r>
      <w:r w:rsidR="00195B92">
        <w:rPr>
          <w:bCs/>
          <w:szCs w:val="20"/>
          <w:lang w:val="en-GB"/>
        </w:rPr>
        <w:t xml:space="preserve"> </w:t>
      </w:r>
      <w:r w:rsidR="00195B92">
        <w:t xml:space="preserve">of surveyed </w:t>
      </w:r>
      <w:r w:rsidR="00DE50C5">
        <w:t>S</w:t>
      </w:r>
      <w:r w:rsidR="00195B92">
        <w:t>upervisors agree that TEAP is positively impacting the quality of services provided by professionals in their discipline in their region/facility</w:t>
      </w:r>
      <w:r w:rsidR="00C56D2A">
        <w:t xml:space="preserve"> (n=54)</w:t>
      </w:r>
      <w:r w:rsidR="00195B92">
        <w:t>, and 9</w:t>
      </w:r>
      <w:r w:rsidR="00061976">
        <w:t>1</w:t>
      </w:r>
      <w:r w:rsidR="00195B92">
        <w:t xml:space="preserve">% of surveyed trainees </w:t>
      </w:r>
      <w:r w:rsidR="00541733">
        <w:t>(53 respondents)</w:t>
      </w:r>
      <w:r w:rsidR="00195B92">
        <w:t xml:space="preserve"> agree that the training and education they are receiving through TEAP is having a positive impact on the quality of their work</w:t>
      </w:r>
      <w:r w:rsidR="00061976">
        <w:t xml:space="preserve"> (n=58)</w:t>
      </w:r>
      <w:r w:rsidR="00195B92">
        <w:t>.</w:t>
      </w:r>
      <w:r w:rsidR="00656985">
        <w:t xml:space="preserve"> </w:t>
      </w:r>
    </w:p>
    <w:p w14:paraId="742841B3" w14:textId="2E1CEB3F" w:rsidR="00960EA8" w:rsidRPr="00D001A9" w:rsidRDefault="00F90688" w:rsidP="00D001A9">
      <w:pPr>
        <w:pStyle w:val="BodyText"/>
        <w:rPr>
          <w:lang w:val="en-GB"/>
        </w:rPr>
      </w:pPr>
      <w:r>
        <w:rPr>
          <w:bCs/>
          <w:szCs w:val="20"/>
        </w:rPr>
        <w:t xml:space="preserve">According to </w:t>
      </w:r>
      <w:r w:rsidR="002C62D5">
        <w:rPr>
          <w:bCs/>
          <w:szCs w:val="20"/>
        </w:rPr>
        <w:t>ACPSEM</w:t>
      </w:r>
      <w:r>
        <w:rPr>
          <w:bCs/>
          <w:szCs w:val="20"/>
        </w:rPr>
        <w:t>, t</w:t>
      </w:r>
      <w:r w:rsidR="007C3203" w:rsidRPr="00DA5236">
        <w:rPr>
          <w:bCs/>
          <w:szCs w:val="20"/>
        </w:rPr>
        <w:t xml:space="preserve">he MPS </w:t>
      </w:r>
      <w:r w:rsidR="004E098C">
        <w:rPr>
          <w:bCs/>
          <w:szCs w:val="20"/>
        </w:rPr>
        <w:t>P</w:t>
      </w:r>
      <w:r w:rsidR="007C3203" w:rsidRPr="00DA5236">
        <w:rPr>
          <w:bCs/>
          <w:szCs w:val="20"/>
        </w:rPr>
        <w:t xml:space="preserve">rogram is integral for the continued </w:t>
      </w:r>
      <w:r w:rsidR="007C3203">
        <w:rPr>
          <w:bCs/>
          <w:szCs w:val="20"/>
        </w:rPr>
        <w:t xml:space="preserve">quality </w:t>
      </w:r>
      <w:r w:rsidR="007C3203" w:rsidRPr="00DA5236">
        <w:rPr>
          <w:bCs/>
          <w:szCs w:val="20"/>
        </w:rPr>
        <w:t xml:space="preserve">training of </w:t>
      </w:r>
      <w:r w:rsidR="009B71B4">
        <w:rPr>
          <w:bCs/>
          <w:szCs w:val="20"/>
        </w:rPr>
        <w:t>medical physicists</w:t>
      </w:r>
      <w:r w:rsidR="007C3203" w:rsidRPr="00DA5236">
        <w:rPr>
          <w:bCs/>
          <w:szCs w:val="20"/>
        </w:rPr>
        <w:t xml:space="preserve"> in Australia. </w:t>
      </w:r>
      <w:r w:rsidR="002C62D5">
        <w:rPr>
          <w:bCs/>
          <w:szCs w:val="20"/>
        </w:rPr>
        <w:t>ACPSEM</w:t>
      </w:r>
      <w:r>
        <w:rPr>
          <w:bCs/>
          <w:szCs w:val="20"/>
        </w:rPr>
        <w:t xml:space="preserve"> advises that the absence of </w:t>
      </w:r>
      <w:r w:rsidR="007C3203" w:rsidRPr="00DA5236">
        <w:rPr>
          <w:bCs/>
          <w:szCs w:val="20"/>
        </w:rPr>
        <w:t xml:space="preserve">these resources would </w:t>
      </w:r>
      <w:r>
        <w:rPr>
          <w:bCs/>
          <w:szCs w:val="20"/>
        </w:rPr>
        <w:t xml:space="preserve">lead to a </w:t>
      </w:r>
      <w:r w:rsidRPr="00CC0353">
        <w:rPr>
          <w:szCs w:val="20"/>
        </w:rPr>
        <w:t xml:space="preserve">rapid </w:t>
      </w:r>
      <w:r w:rsidR="007C3203" w:rsidRPr="00CC0353">
        <w:rPr>
          <w:szCs w:val="20"/>
        </w:rPr>
        <w:t>decline in the number of trainee</w:t>
      </w:r>
      <w:r w:rsidR="00401E8B" w:rsidRPr="00CC0353">
        <w:rPr>
          <w:szCs w:val="20"/>
        </w:rPr>
        <w:t>s</w:t>
      </w:r>
      <w:r w:rsidR="00401E8B">
        <w:rPr>
          <w:bCs/>
          <w:szCs w:val="20"/>
        </w:rPr>
        <w:t>, e</w:t>
      </w:r>
      <w:r w:rsidR="007C3203" w:rsidRPr="00DA5236">
        <w:rPr>
          <w:bCs/>
          <w:szCs w:val="20"/>
        </w:rPr>
        <w:t xml:space="preserve">specially for DIMPs where </w:t>
      </w:r>
      <w:r w:rsidR="00401E8B">
        <w:rPr>
          <w:bCs/>
          <w:szCs w:val="20"/>
        </w:rPr>
        <w:t xml:space="preserve">there is a </w:t>
      </w:r>
      <w:r w:rsidR="007C3203" w:rsidRPr="00DA5236">
        <w:rPr>
          <w:bCs/>
          <w:szCs w:val="20"/>
        </w:rPr>
        <w:t xml:space="preserve">lack of mandatory credentialling and minimum workforce numbers. </w:t>
      </w:r>
      <w:r w:rsidR="002C62D5">
        <w:rPr>
          <w:bCs/>
          <w:szCs w:val="20"/>
        </w:rPr>
        <w:t>ACPSEM</w:t>
      </w:r>
      <w:r w:rsidR="00782DF4">
        <w:rPr>
          <w:bCs/>
          <w:szCs w:val="20"/>
        </w:rPr>
        <w:t xml:space="preserve"> raised their concern that this </w:t>
      </w:r>
      <w:r w:rsidR="007C3203">
        <w:rPr>
          <w:bCs/>
          <w:szCs w:val="20"/>
        </w:rPr>
        <w:t xml:space="preserve">training deficit would see the rise of apprentice style training for new </w:t>
      </w:r>
      <w:r w:rsidR="00D84073">
        <w:rPr>
          <w:bCs/>
          <w:szCs w:val="20"/>
        </w:rPr>
        <w:t>medical physicist</w:t>
      </w:r>
      <w:r w:rsidR="007C3203">
        <w:rPr>
          <w:bCs/>
          <w:szCs w:val="20"/>
        </w:rPr>
        <w:t xml:space="preserve"> graduate hires, resulting in unstandardised education and variable quality and safety outcomes for the public</w:t>
      </w:r>
      <w:r w:rsidR="00D84073">
        <w:rPr>
          <w:bCs/>
          <w:szCs w:val="20"/>
        </w:rPr>
        <w:t>.</w:t>
      </w:r>
      <w:r w:rsidR="0097400F">
        <w:rPr>
          <w:bCs/>
          <w:szCs w:val="20"/>
        </w:rPr>
        <w:t xml:space="preserve"> </w:t>
      </w:r>
      <w:r w:rsidR="00060FA6">
        <w:rPr>
          <w:bCs/>
          <w:szCs w:val="20"/>
        </w:rPr>
        <w:t xml:space="preserve">An additional concern is the </w:t>
      </w:r>
      <w:r w:rsidR="00D765FB">
        <w:rPr>
          <w:bCs/>
          <w:szCs w:val="20"/>
        </w:rPr>
        <w:t xml:space="preserve">trend </w:t>
      </w:r>
      <w:r w:rsidR="00585DBE">
        <w:rPr>
          <w:bCs/>
          <w:szCs w:val="20"/>
        </w:rPr>
        <w:t>for facilities to outsource medical physicist functions to contractors</w:t>
      </w:r>
      <w:r w:rsidR="005D76EB">
        <w:rPr>
          <w:bCs/>
          <w:szCs w:val="20"/>
        </w:rPr>
        <w:t xml:space="preserve"> who do not have formal training as a medical physicist. </w:t>
      </w:r>
      <w:r w:rsidR="0097400F">
        <w:rPr>
          <w:bCs/>
          <w:szCs w:val="20"/>
        </w:rPr>
        <w:t xml:space="preserve">It is </w:t>
      </w:r>
      <w:r w:rsidR="002C62D5">
        <w:rPr>
          <w:bCs/>
          <w:szCs w:val="20"/>
        </w:rPr>
        <w:t>ACPSEM</w:t>
      </w:r>
      <w:r w:rsidR="0097400F">
        <w:rPr>
          <w:bCs/>
          <w:szCs w:val="20"/>
        </w:rPr>
        <w:t xml:space="preserve">’s view that </w:t>
      </w:r>
      <w:r w:rsidR="00D0398B" w:rsidRPr="0031498B">
        <w:rPr>
          <w:lang w:val="en-GB"/>
        </w:rPr>
        <w:t>c</w:t>
      </w:r>
      <w:r w:rsidR="00D0398B">
        <w:rPr>
          <w:iCs/>
          <w:lang w:val="en-GB"/>
        </w:rPr>
        <w:t>o</w:t>
      </w:r>
      <w:r w:rsidR="00D0398B" w:rsidRPr="0031498B">
        <w:rPr>
          <w:iCs/>
          <w:lang w:val="en-GB"/>
        </w:rPr>
        <w:t>mmensurate</w:t>
      </w:r>
      <w:r w:rsidR="006F2BAC" w:rsidRPr="0031498B">
        <w:rPr>
          <w:iCs/>
          <w:lang w:val="en-GB"/>
        </w:rPr>
        <w:t xml:space="preserve"> investment and regulation is required to ensure consistent standards of service are available and delivered, irrespective of remoteness classification or jurisdiction.</w:t>
      </w:r>
    </w:p>
    <w:p w14:paraId="2D20802F" w14:textId="36588D36" w:rsidR="006D36DE" w:rsidRPr="00D001A9" w:rsidRDefault="00413099" w:rsidP="006E71A4">
      <w:pPr>
        <w:pStyle w:val="Heading4"/>
      </w:pPr>
      <w:r>
        <w:t>Addressing demand in regional and remote areas</w:t>
      </w:r>
    </w:p>
    <w:p w14:paraId="68B5812E" w14:textId="511CBCA7" w:rsidR="00DD7B4B" w:rsidRDefault="00D158F7" w:rsidP="001B42DB">
      <w:pPr>
        <w:spacing w:before="180"/>
        <w:rPr>
          <w:rFonts w:eastAsia="Times New Roman" w:cs="Times New Roman"/>
          <w:szCs w:val="18"/>
          <w:lang w:eastAsia="en-AU"/>
        </w:rPr>
      </w:pPr>
      <w:r>
        <w:rPr>
          <w:rFonts w:eastAsia="Times New Roman" w:cs="Times New Roman"/>
          <w:szCs w:val="18"/>
          <w:lang w:eastAsia="en-AU"/>
        </w:rPr>
        <w:t>Attraction and retention of the medical imaging workforce is challenging in regional and remote areas</w:t>
      </w:r>
      <w:r w:rsidR="00B51BBC">
        <w:rPr>
          <w:rFonts w:eastAsia="Times New Roman" w:cs="Times New Roman"/>
          <w:szCs w:val="18"/>
          <w:lang w:eastAsia="en-AU"/>
        </w:rPr>
        <w:t>, and stakeholders frequently</w:t>
      </w:r>
      <w:r w:rsidR="001330DA">
        <w:rPr>
          <w:rFonts w:eastAsia="Times New Roman" w:cs="Times New Roman"/>
          <w:szCs w:val="18"/>
          <w:lang w:eastAsia="en-AU"/>
        </w:rPr>
        <w:t xml:space="preserve"> cited challenges with filling positions in regional centres</w:t>
      </w:r>
      <w:r w:rsidR="00E36C31">
        <w:rPr>
          <w:rFonts w:eastAsia="Times New Roman" w:cs="Times New Roman"/>
          <w:szCs w:val="18"/>
          <w:lang w:eastAsia="en-AU"/>
        </w:rPr>
        <w:t xml:space="preserve">. </w:t>
      </w:r>
      <w:r w:rsidR="00372426">
        <w:rPr>
          <w:rFonts w:eastAsia="Times New Roman" w:cs="Times New Roman"/>
          <w:szCs w:val="18"/>
          <w:lang w:eastAsia="en-AU"/>
        </w:rPr>
        <w:t>There are additional complexities to delivering medical physicist services in these areas</w:t>
      </w:r>
      <w:r w:rsidR="00442B14">
        <w:rPr>
          <w:rFonts w:eastAsia="Times New Roman" w:cs="Times New Roman"/>
          <w:szCs w:val="18"/>
          <w:lang w:eastAsia="en-AU"/>
        </w:rPr>
        <w:t xml:space="preserve">, with wider distances requiring more resources to cover facilities. </w:t>
      </w:r>
      <w:r w:rsidR="00D9724B">
        <w:rPr>
          <w:rFonts w:eastAsia="Times New Roman" w:cs="Times New Roman"/>
          <w:szCs w:val="18"/>
          <w:lang w:eastAsia="en-AU"/>
        </w:rPr>
        <w:t>Developing a workforce with the</w:t>
      </w:r>
      <w:r w:rsidR="001B42DB">
        <w:rPr>
          <w:rFonts w:eastAsia="Times New Roman" w:cs="Times New Roman"/>
          <w:szCs w:val="18"/>
          <w:lang w:eastAsia="en-AU"/>
        </w:rPr>
        <w:t xml:space="preserve"> necessary experience </w:t>
      </w:r>
      <w:r w:rsidR="003E1164">
        <w:rPr>
          <w:rFonts w:eastAsia="Times New Roman" w:cs="Times New Roman"/>
          <w:szCs w:val="18"/>
          <w:lang w:eastAsia="en-AU"/>
        </w:rPr>
        <w:t xml:space="preserve">with the specific nature of regional and remote healthcare context is </w:t>
      </w:r>
      <w:r w:rsidR="008B00BF">
        <w:rPr>
          <w:rFonts w:eastAsia="Times New Roman" w:cs="Times New Roman"/>
          <w:szCs w:val="18"/>
          <w:lang w:eastAsia="en-AU"/>
        </w:rPr>
        <w:t>an ongoing need for sustainable service development.</w:t>
      </w:r>
      <w:r w:rsidR="00620063" w:rsidRPr="00620063">
        <w:rPr>
          <w:rFonts w:eastAsia="Times New Roman" w:cs="Times New Roman"/>
          <w:szCs w:val="18"/>
          <w:vertAlign w:val="superscript"/>
          <w:lang w:eastAsia="en-AU"/>
        </w:rPr>
        <w:fldChar w:fldCharType="begin"/>
      </w:r>
      <w:r w:rsidR="00620063" w:rsidRPr="00620063">
        <w:rPr>
          <w:rFonts w:eastAsia="Times New Roman" w:cs="Times New Roman"/>
          <w:szCs w:val="18"/>
          <w:vertAlign w:val="superscript"/>
          <w:lang w:eastAsia="en-AU"/>
        </w:rPr>
        <w:instrText xml:space="preserve"> NOTEREF _Ref181774075 \h </w:instrText>
      </w:r>
      <w:r w:rsidR="00620063">
        <w:rPr>
          <w:rFonts w:eastAsia="Times New Roman" w:cs="Times New Roman"/>
          <w:szCs w:val="18"/>
          <w:vertAlign w:val="superscript"/>
          <w:lang w:eastAsia="en-AU"/>
        </w:rPr>
        <w:instrText xml:space="preserve"> \* MERGEFORMAT </w:instrText>
      </w:r>
      <w:r w:rsidR="00620063" w:rsidRPr="00620063">
        <w:rPr>
          <w:rFonts w:eastAsia="Times New Roman" w:cs="Times New Roman"/>
          <w:szCs w:val="18"/>
          <w:vertAlign w:val="superscript"/>
          <w:lang w:eastAsia="en-AU"/>
        </w:rPr>
      </w:r>
      <w:r w:rsidR="00620063" w:rsidRPr="00620063">
        <w:rPr>
          <w:rFonts w:eastAsia="Times New Roman" w:cs="Times New Roman"/>
          <w:szCs w:val="18"/>
          <w:vertAlign w:val="superscript"/>
          <w:lang w:eastAsia="en-AU"/>
        </w:rPr>
        <w:fldChar w:fldCharType="separate"/>
      </w:r>
      <w:r w:rsidR="005F7EBC">
        <w:rPr>
          <w:rFonts w:eastAsia="Times New Roman" w:cs="Times New Roman"/>
          <w:szCs w:val="18"/>
          <w:vertAlign w:val="superscript"/>
          <w:lang w:eastAsia="en-AU"/>
        </w:rPr>
        <w:t>32</w:t>
      </w:r>
      <w:r w:rsidR="00620063" w:rsidRPr="00620063">
        <w:rPr>
          <w:rFonts w:eastAsia="Times New Roman" w:cs="Times New Roman"/>
          <w:szCs w:val="18"/>
          <w:vertAlign w:val="superscript"/>
          <w:lang w:eastAsia="en-AU"/>
        </w:rPr>
        <w:fldChar w:fldCharType="end"/>
      </w:r>
    </w:p>
    <w:p w14:paraId="76FF87CB" w14:textId="10A28A59" w:rsidR="00557BFD" w:rsidRDefault="00E2205F" w:rsidP="00EA3F1C">
      <w:pPr>
        <w:spacing w:before="180"/>
        <w:rPr>
          <w:rFonts w:eastAsia="Times New Roman" w:cs="Times New Roman"/>
          <w:szCs w:val="18"/>
          <w:lang w:val="en-GB" w:eastAsia="en-AU"/>
        </w:rPr>
      </w:pPr>
      <w:r>
        <w:rPr>
          <w:rFonts w:eastAsia="Times New Roman" w:cs="Times New Roman"/>
          <w:szCs w:val="18"/>
          <w:lang w:eastAsia="en-AU"/>
        </w:rPr>
        <w:t>Data on the</w:t>
      </w:r>
      <w:r w:rsidR="00AA1605">
        <w:rPr>
          <w:rFonts w:eastAsia="Times New Roman" w:cs="Times New Roman"/>
          <w:szCs w:val="18"/>
          <w:lang w:eastAsia="en-AU"/>
        </w:rPr>
        <w:t xml:space="preserve"> current distribution of the medical physicist workforce, aside from the location of TEAP trainees, is not </w:t>
      </w:r>
      <w:r>
        <w:rPr>
          <w:rFonts w:eastAsia="Times New Roman" w:cs="Times New Roman"/>
          <w:szCs w:val="18"/>
          <w:lang w:eastAsia="en-AU"/>
        </w:rPr>
        <w:t>available</w:t>
      </w:r>
      <w:r w:rsidR="0086797B">
        <w:rPr>
          <w:rFonts w:eastAsia="Times New Roman" w:cs="Times New Roman"/>
          <w:szCs w:val="18"/>
          <w:lang w:eastAsia="en-AU"/>
        </w:rPr>
        <w:t xml:space="preserve"> as there is no national register of medical physicists. It is therefore challenging to understand </w:t>
      </w:r>
      <w:r w:rsidR="00D067DC">
        <w:rPr>
          <w:rFonts w:eastAsia="Times New Roman" w:cs="Times New Roman"/>
          <w:szCs w:val="18"/>
          <w:lang w:eastAsia="en-AU"/>
        </w:rPr>
        <w:t xml:space="preserve">the </w:t>
      </w:r>
      <w:r w:rsidR="00EA3F1C">
        <w:rPr>
          <w:rFonts w:eastAsia="Times New Roman" w:cs="Times New Roman"/>
          <w:szCs w:val="18"/>
          <w:lang w:eastAsia="en-AU"/>
        </w:rPr>
        <w:t>extent to which medical physicist supply is meeting demand in these regions. However,</w:t>
      </w:r>
      <w:r w:rsidR="00EA3F1C">
        <w:rPr>
          <w:rFonts w:eastAsia="Times New Roman" w:cs="Times New Roman"/>
          <w:szCs w:val="18"/>
          <w:lang w:val="en-GB" w:eastAsia="en-AU"/>
        </w:rPr>
        <w:t xml:space="preserve"> data from the </w:t>
      </w:r>
      <w:r w:rsidR="00A46AAE" w:rsidRPr="004549FD">
        <w:rPr>
          <w:rFonts w:eastAsia="Times New Roman" w:cs="Times New Roman"/>
          <w:szCs w:val="18"/>
          <w:lang w:val="en-GB" w:eastAsia="en-AU"/>
        </w:rPr>
        <w:t>RANZCR Facilities Survey highlights the growth in number of radiation therapy facilities and clinics has been more pronounced in metropolitan areas.</w:t>
      </w:r>
      <w:r w:rsidR="00E07B22" w:rsidRPr="00E07B22">
        <w:rPr>
          <w:rFonts w:eastAsia="Times New Roman" w:cs="Times New Roman"/>
          <w:szCs w:val="18"/>
          <w:vertAlign w:val="superscript"/>
          <w:lang w:val="en-GB" w:eastAsia="en-AU"/>
        </w:rPr>
        <w:fldChar w:fldCharType="begin"/>
      </w:r>
      <w:r w:rsidR="00E07B22" w:rsidRPr="00E07B22">
        <w:rPr>
          <w:rFonts w:eastAsia="Times New Roman" w:cs="Times New Roman"/>
          <w:szCs w:val="18"/>
          <w:vertAlign w:val="superscript"/>
          <w:lang w:val="en-GB" w:eastAsia="en-AU"/>
        </w:rPr>
        <w:instrText xml:space="preserve"> NOTEREF _Ref181776104 \h </w:instrText>
      </w:r>
      <w:r w:rsidR="00E07B22">
        <w:rPr>
          <w:rFonts w:eastAsia="Times New Roman" w:cs="Times New Roman"/>
          <w:szCs w:val="18"/>
          <w:vertAlign w:val="superscript"/>
          <w:lang w:val="en-GB" w:eastAsia="en-AU"/>
        </w:rPr>
        <w:instrText xml:space="preserve"> \* MERGEFORMAT </w:instrText>
      </w:r>
      <w:r w:rsidR="00E07B22" w:rsidRPr="00E07B22">
        <w:rPr>
          <w:rFonts w:eastAsia="Times New Roman" w:cs="Times New Roman"/>
          <w:szCs w:val="18"/>
          <w:vertAlign w:val="superscript"/>
          <w:lang w:val="en-GB" w:eastAsia="en-AU"/>
        </w:rPr>
      </w:r>
      <w:r w:rsidR="00E07B22" w:rsidRPr="00E07B22">
        <w:rPr>
          <w:rFonts w:eastAsia="Times New Roman" w:cs="Times New Roman"/>
          <w:szCs w:val="18"/>
          <w:vertAlign w:val="superscript"/>
          <w:lang w:val="en-GB" w:eastAsia="en-AU"/>
        </w:rPr>
        <w:fldChar w:fldCharType="separate"/>
      </w:r>
      <w:r w:rsidR="005F7EBC">
        <w:rPr>
          <w:rFonts w:eastAsia="Times New Roman" w:cs="Times New Roman"/>
          <w:szCs w:val="18"/>
          <w:vertAlign w:val="superscript"/>
          <w:lang w:val="en-GB" w:eastAsia="en-AU"/>
        </w:rPr>
        <w:t>37</w:t>
      </w:r>
      <w:r w:rsidR="00E07B22" w:rsidRPr="00E07B22">
        <w:rPr>
          <w:rFonts w:eastAsia="Times New Roman" w:cs="Times New Roman"/>
          <w:szCs w:val="18"/>
          <w:vertAlign w:val="superscript"/>
          <w:lang w:val="en-GB" w:eastAsia="en-AU"/>
        </w:rPr>
        <w:fldChar w:fldCharType="end"/>
      </w:r>
      <w:r w:rsidR="003059CF">
        <w:rPr>
          <w:rFonts w:eastAsia="Times New Roman" w:cs="Times New Roman"/>
          <w:szCs w:val="18"/>
          <w:lang w:val="en-GB" w:eastAsia="en-AU"/>
        </w:rPr>
        <w:t xml:space="preserve"> The proportion of </w:t>
      </w:r>
      <w:r w:rsidR="00B91769">
        <w:rPr>
          <w:rFonts w:eastAsia="Times New Roman" w:cs="Times New Roman"/>
          <w:szCs w:val="18"/>
          <w:lang w:val="en-GB" w:eastAsia="en-AU"/>
        </w:rPr>
        <w:t xml:space="preserve">radiation therapy </w:t>
      </w:r>
      <w:r w:rsidR="003059CF">
        <w:rPr>
          <w:rFonts w:eastAsia="Times New Roman" w:cs="Times New Roman"/>
          <w:szCs w:val="18"/>
          <w:lang w:val="en-GB" w:eastAsia="en-AU"/>
        </w:rPr>
        <w:t>treatment delivered in non-urban locations</w:t>
      </w:r>
      <w:r w:rsidR="00B91769">
        <w:rPr>
          <w:rFonts w:eastAsia="Times New Roman" w:cs="Times New Roman"/>
          <w:szCs w:val="18"/>
          <w:lang w:val="en-GB" w:eastAsia="en-AU"/>
        </w:rPr>
        <w:t xml:space="preserve"> </w:t>
      </w:r>
      <w:r w:rsidR="001C7F54">
        <w:rPr>
          <w:rFonts w:eastAsia="Times New Roman" w:cs="Times New Roman"/>
          <w:szCs w:val="18"/>
          <w:lang w:val="en-GB" w:eastAsia="en-AU"/>
        </w:rPr>
        <w:t xml:space="preserve">has increased from 16% in </w:t>
      </w:r>
      <w:r w:rsidR="00151CE7">
        <w:rPr>
          <w:rFonts w:eastAsia="Times New Roman" w:cs="Times New Roman"/>
          <w:szCs w:val="18"/>
          <w:lang w:val="en-GB" w:eastAsia="en-AU"/>
        </w:rPr>
        <w:t>2010 to 21% in 2020.</w:t>
      </w:r>
      <w:r w:rsidR="00BE20E8" w:rsidRPr="00DC27F5">
        <w:rPr>
          <w:rFonts w:eastAsia="Times New Roman" w:cs="Times New Roman"/>
          <w:szCs w:val="18"/>
          <w:vertAlign w:val="superscript"/>
          <w:lang w:val="en-GB" w:eastAsia="en-AU"/>
        </w:rPr>
        <w:fldChar w:fldCharType="begin"/>
      </w:r>
      <w:r w:rsidR="00BE20E8" w:rsidRPr="00DC27F5">
        <w:rPr>
          <w:rFonts w:eastAsia="Times New Roman" w:cs="Times New Roman"/>
          <w:szCs w:val="18"/>
          <w:vertAlign w:val="superscript"/>
          <w:lang w:val="en-GB" w:eastAsia="en-AU"/>
        </w:rPr>
        <w:instrText xml:space="preserve"> NOTEREF _Ref181776104 \h </w:instrText>
      </w:r>
      <w:r w:rsidR="00BE20E8">
        <w:rPr>
          <w:rFonts w:eastAsia="Times New Roman" w:cs="Times New Roman"/>
          <w:szCs w:val="18"/>
          <w:vertAlign w:val="superscript"/>
          <w:lang w:val="en-GB" w:eastAsia="en-AU"/>
        </w:rPr>
        <w:instrText xml:space="preserve"> \* MERGEFORMAT </w:instrText>
      </w:r>
      <w:r w:rsidR="00BE20E8" w:rsidRPr="00DC27F5">
        <w:rPr>
          <w:rFonts w:eastAsia="Times New Roman" w:cs="Times New Roman"/>
          <w:szCs w:val="18"/>
          <w:vertAlign w:val="superscript"/>
          <w:lang w:val="en-GB" w:eastAsia="en-AU"/>
        </w:rPr>
      </w:r>
      <w:r w:rsidR="00BE20E8" w:rsidRPr="00DC27F5">
        <w:rPr>
          <w:rFonts w:eastAsia="Times New Roman" w:cs="Times New Roman"/>
          <w:szCs w:val="18"/>
          <w:vertAlign w:val="superscript"/>
          <w:lang w:val="en-GB" w:eastAsia="en-AU"/>
        </w:rPr>
        <w:fldChar w:fldCharType="separate"/>
      </w:r>
      <w:r w:rsidR="005F7EBC">
        <w:rPr>
          <w:rFonts w:eastAsia="Times New Roman" w:cs="Times New Roman"/>
          <w:szCs w:val="18"/>
          <w:vertAlign w:val="superscript"/>
          <w:lang w:val="en-GB" w:eastAsia="en-AU"/>
        </w:rPr>
        <w:t>37</w:t>
      </w:r>
      <w:r w:rsidR="00BE20E8" w:rsidRPr="00DC27F5">
        <w:rPr>
          <w:rFonts w:eastAsia="Times New Roman" w:cs="Times New Roman"/>
          <w:szCs w:val="18"/>
          <w:vertAlign w:val="superscript"/>
          <w:lang w:val="en-GB" w:eastAsia="en-AU"/>
        </w:rPr>
        <w:fldChar w:fldCharType="end"/>
      </w:r>
      <w:r w:rsidR="00151CE7">
        <w:rPr>
          <w:rFonts w:eastAsia="Times New Roman" w:cs="Times New Roman"/>
          <w:szCs w:val="18"/>
          <w:lang w:val="en-GB" w:eastAsia="en-AU"/>
        </w:rPr>
        <w:t xml:space="preserve"> However,</w:t>
      </w:r>
      <w:r w:rsidR="00403166">
        <w:rPr>
          <w:rFonts w:eastAsia="Times New Roman" w:cs="Times New Roman"/>
          <w:szCs w:val="18"/>
          <w:lang w:val="en-GB" w:eastAsia="en-AU"/>
        </w:rPr>
        <w:t xml:space="preserve"> </w:t>
      </w:r>
      <w:r w:rsidR="00747735">
        <w:rPr>
          <w:rFonts w:eastAsia="Times New Roman" w:cs="Times New Roman"/>
          <w:szCs w:val="18"/>
          <w:lang w:val="en-GB" w:eastAsia="en-AU"/>
        </w:rPr>
        <w:t>with 30% of the Australian population living outside major urban MM1 locations, there are evidently gaps still in existence</w:t>
      </w:r>
      <w:r w:rsidR="00BE20E8">
        <w:rPr>
          <w:rFonts w:eastAsia="Times New Roman" w:cs="Times New Roman"/>
          <w:szCs w:val="18"/>
          <w:lang w:val="en-GB" w:eastAsia="en-AU"/>
        </w:rPr>
        <w:t>.</w:t>
      </w:r>
      <w:r w:rsidR="00B868AF" w:rsidRPr="00CD3546">
        <w:rPr>
          <w:rFonts w:eastAsia="Times New Roman" w:cs="Times New Roman"/>
          <w:szCs w:val="18"/>
          <w:vertAlign w:val="superscript"/>
          <w:lang w:val="en-GB" w:eastAsia="en-AU"/>
        </w:rPr>
        <w:fldChar w:fldCharType="begin"/>
      </w:r>
      <w:r w:rsidR="00B868AF" w:rsidRPr="00CD3546">
        <w:rPr>
          <w:rFonts w:eastAsia="Times New Roman" w:cs="Times New Roman"/>
          <w:szCs w:val="18"/>
          <w:vertAlign w:val="superscript"/>
          <w:lang w:val="en-GB" w:eastAsia="en-AU"/>
        </w:rPr>
        <w:instrText xml:space="preserve"> NOTEREF _Ref181776104 \h </w:instrText>
      </w:r>
      <w:r w:rsidR="00B868AF">
        <w:rPr>
          <w:rFonts w:eastAsia="Times New Roman" w:cs="Times New Roman"/>
          <w:szCs w:val="18"/>
          <w:vertAlign w:val="superscript"/>
          <w:lang w:val="en-GB" w:eastAsia="en-AU"/>
        </w:rPr>
        <w:instrText xml:space="preserve"> \* MERGEFORMAT </w:instrText>
      </w:r>
      <w:r w:rsidR="00B868AF" w:rsidRPr="00CD3546">
        <w:rPr>
          <w:rFonts w:eastAsia="Times New Roman" w:cs="Times New Roman"/>
          <w:szCs w:val="18"/>
          <w:vertAlign w:val="superscript"/>
          <w:lang w:val="en-GB" w:eastAsia="en-AU"/>
        </w:rPr>
      </w:r>
      <w:r w:rsidR="00B868AF" w:rsidRPr="00CD3546">
        <w:rPr>
          <w:rFonts w:eastAsia="Times New Roman" w:cs="Times New Roman"/>
          <w:szCs w:val="18"/>
          <w:vertAlign w:val="superscript"/>
          <w:lang w:val="en-GB" w:eastAsia="en-AU"/>
        </w:rPr>
        <w:fldChar w:fldCharType="separate"/>
      </w:r>
      <w:r w:rsidR="005F7EBC">
        <w:rPr>
          <w:rFonts w:eastAsia="Times New Roman" w:cs="Times New Roman"/>
          <w:szCs w:val="18"/>
          <w:vertAlign w:val="superscript"/>
          <w:lang w:val="en-GB" w:eastAsia="en-AU"/>
        </w:rPr>
        <w:t>37</w:t>
      </w:r>
      <w:r w:rsidR="00B868AF" w:rsidRPr="00CD3546">
        <w:rPr>
          <w:rFonts w:eastAsia="Times New Roman" w:cs="Times New Roman"/>
          <w:szCs w:val="18"/>
          <w:vertAlign w:val="superscript"/>
          <w:lang w:val="en-GB" w:eastAsia="en-AU"/>
        </w:rPr>
        <w:fldChar w:fldCharType="end"/>
      </w:r>
      <w:r w:rsidR="00BE20E8" w:rsidRPr="00747735" w:rsidDel="00BE20E8">
        <w:rPr>
          <w:rFonts w:eastAsia="Times New Roman" w:cs="Times New Roman"/>
          <w:szCs w:val="18"/>
          <w:vertAlign w:val="superscript"/>
          <w:lang w:val="en-GB" w:eastAsia="en-AU"/>
        </w:rPr>
        <w:t xml:space="preserve"> </w:t>
      </w:r>
    </w:p>
    <w:p w14:paraId="708D5152" w14:textId="764CE12E" w:rsidR="00CF5DE4" w:rsidRDefault="00CF5DE4" w:rsidP="00092D9E">
      <w:pPr>
        <w:pStyle w:val="BodyText"/>
      </w:pPr>
      <w:r>
        <w:t xml:space="preserve">The MPS Program </w:t>
      </w:r>
      <w:r w:rsidR="00864B22">
        <w:t>sits within the STP</w:t>
      </w:r>
      <w:r w:rsidR="00726F87">
        <w:t xml:space="preserve">, </w:t>
      </w:r>
      <w:r w:rsidR="001F5EEE">
        <w:t xml:space="preserve">which is focused on extending vocational training </w:t>
      </w:r>
      <w:r w:rsidR="005B073A">
        <w:t xml:space="preserve">into </w:t>
      </w:r>
      <w:r w:rsidR="00C669E6">
        <w:t>“expanded settings”, including regional, rural and remote communities and private health facilities.</w:t>
      </w:r>
      <w:r>
        <w:t xml:space="preserve"> </w:t>
      </w:r>
      <w:r w:rsidR="009D2F70">
        <w:t xml:space="preserve">An objective of the MPS Program is to “support training and innovation which encourage optimal distribution of the medical physicist and </w:t>
      </w:r>
      <w:r w:rsidR="0043409D">
        <w:t>RPS</w:t>
      </w:r>
      <w:r w:rsidR="009D2F70">
        <w:t xml:space="preserve"> workforce”.</w:t>
      </w:r>
    </w:p>
    <w:p w14:paraId="0324E3B6" w14:textId="0E400B07" w:rsidR="002240B7" w:rsidRDefault="00744B75" w:rsidP="00092D9E">
      <w:pPr>
        <w:pStyle w:val="BodyText"/>
      </w:pPr>
      <w:r>
        <w:t xml:space="preserve">To incentivise </w:t>
      </w:r>
      <w:r w:rsidR="0078566C">
        <w:t>TEAP training in regional facilities</w:t>
      </w:r>
      <w:r w:rsidR="000D3BFF">
        <w:t>, t</w:t>
      </w:r>
      <w:r w:rsidR="00B4760E">
        <w:t xml:space="preserve">he </w:t>
      </w:r>
      <w:r w:rsidR="00441656">
        <w:t>grant agreement</w:t>
      </w:r>
      <w:r w:rsidR="00B4760E">
        <w:t xml:space="preserve"> between ACPSEM and the Commonwealth stipulates that</w:t>
      </w:r>
      <w:r w:rsidR="00441656">
        <w:t xml:space="preserve"> w</w:t>
      </w:r>
      <w:r w:rsidR="005C1558">
        <w:t xml:space="preserve">here a trainee completes at least 50% of their training within MMM 2-7 facilities, an additional Regional Loading payment of </w:t>
      </w:r>
      <w:r w:rsidR="00CC5837">
        <w:t xml:space="preserve">$20,000 </w:t>
      </w:r>
      <w:r w:rsidR="005C1558">
        <w:t>(</w:t>
      </w:r>
      <w:r w:rsidR="00CE55CE">
        <w:t>Goods and Services Tax (</w:t>
      </w:r>
      <w:r w:rsidR="005C1558">
        <w:t>GST</w:t>
      </w:r>
      <w:r w:rsidR="00CE55CE">
        <w:t>)</w:t>
      </w:r>
      <w:r w:rsidR="005C1558">
        <w:t xml:space="preserve"> exclusive) </w:t>
      </w:r>
      <w:r w:rsidR="00CC5837">
        <w:t xml:space="preserve">per annum </w:t>
      </w:r>
      <w:r w:rsidR="005C1558">
        <w:t>is made per trainee</w:t>
      </w:r>
      <w:r w:rsidR="00B4760E">
        <w:t xml:space="preserve">. </w:t>
      </w:r>
      <w:r w:rsidR="005D4AB6">
        <w:t xml:space="preserve">Additionally, the </w:t>
      </w:r>
      <w:r w:rsidR="0096798B">
        <w:t>equitable distribution of grants</w:t>
      </w:r>
      <w:r w:rsidR="005D4AB6">
        <w:t xml:space="preserve"> is taken into consideration in the </w:t>
      </w:r>
      <w:r w:rsidR="00F229F1">
        <w:t>process of assessing</w:t>
      </w:r>
      <w:r w:rsidR="0096798B">
        <w:t xml:space="preserve"> </w:t>
      </w:r>
      <w:r w:rsidR="006951D1">
        <w:t xml:space="preserve">grant applications made by facilities to </w:t>
      </w:r>
      <w:r w:rsidR="002C62D5">
        <w:t>ACPSEM</w:t>
      </w:r>
      <w:r w:rsidR="00292197">
        <w:t xml:space="preserve">, as these </w:t>
      </w:r>
      <w:r w:rsidR="001C4DC7">
        <w:t>applications</w:t>
      </w:r>
      <w:r w:rsidR="006951D1">
        <w:t xml:space="preserve"> are assessed against a </w:t>
      </w:r>
      <w:proofErr w:type="gramStart"/>
      <w:r w:rsidR="006951D1">
        <w:t>criteria</w:t>
      </w:r>
      <w:proofErr w:type="gramEnd"/>
      <w:r w:rsidR="00366730">
        <w:t xml:space="preserve"> </w:t>
      </w:r>
      <w:r w:rsidR="000976C7">
        <w:t xml:space="preserve">which includes ‘workforce need’ at a weighting of 30%. </w:t>
      </w:r>
      <w:r w:rsidR="00F53A79">
        <w:t>ACPSEM</w:t>
      </w:r>
      <w:r w:rsidR="002D68EB">
        <w:t xml:space="preserve"> has </w:t>
      </w:r>
      <w:r w:rsidR="00F53A79">
        <w:t>also used funds</w:t>
      </w:r>
      <w:r w:rsidR="003E48EE">
        <w:t xml:space="preserve"> under the Medical Physicists Trainees Support stream to create </w:t>
      </w:r>
      <w:r w:rsidR="00915D3B">
        <w:t xml:space="preserve">the </w:t>
      </w:r>
      <w:r w:rsidR="004F7D70">
        <w:t xml:space="preserve">RIFP </w:t>
      </w:r>
      <w:r w:rsidR="003E48EE">
        <w:t>to research, assess and monitor the most appropriate way to allocate grants.</w:t>
      </w:r>
    </w:p>
    <w:p w14:paraId="0557ACEE" w14:textId="7E74AA98" w:rsidR="009835AB" w:rsidRPr="00D001A9" w:rsidRDefault="00F264BA" w:rsidP="006E71A4">
      <w:pPr>
        <w:pStyle w:val="Heading4"/>
      </w:pPr>
      <w:r>
        <w:t>A</w:t>
      </w:r>
      <w:r w:rsidR="007910E4">
        <w:t>dvancements in technologies and practices</w:t>
      </w:r>
    </w:p>
    <w:p w14:paraId="6BA743BC" w14:textId="55DC3CDB" w:rsidR="009835AB" w:rsidRDefault="006F4023" w:rsidP="00E66710">
      <w:pPr>
        <w:spacing w:before="180"/>
        <w:rPr>
          <w:rFonts w:eastAsia="Times New Roman" w:cs="Times New Roman"/>
          <w:szCs w:val="18"/>
          <w:lang w:eastAsia="en-AU"/>
        </w:rPr>
      </w:pPr>
      <w:r>
        <w:rPr>
          <w:rFonts w:eastAsia="Times New Roman" w:cs="Times New Roman"/>
          <w:szCs w:val="18"/>
          <w:lang w:eastAsia="en-AU"/>
        </w:rPr>
        <w:t>Medical physics is a dynamic field, and the role of medical physicists</w:t>
      </w:r>
      <w:r w:rsidR="0096425A">
        <w:rPr>
          <w:rFonts w:eastAsia="Times New Roman" w:cs="Times New Roman"/>
          <w:szCs w:val="18"/>
          <w:lang w:eastAsia="en-AU"/>
        </w:rPr>
        <w:t xml:space="preserve"> is changing in response to scientific</w:t>
      </w:r>
      <w:r w:rsidR="00323F3E">
        <w:rPr>
          <w:rFonts w:eastAsia="Times New Roman" w:cs="Times New Roman"/>
          <w:szCs w:val="18"/>
          <w:lang w:eastAsia="en-AU"/>
        </w:rPr>
        <w:t>,</w:t>
      </w:r>
      <w:r w:rsidR="0096425A">
        <w:rPr>
          <w:rFonts w:eastAsia="Times New Roman" w:cs="Times New Roman"/>
          <w:szCs w:val="18"/>
          <w:lang w:eastAsia="en-AU"/>
        </w:rPr>
        <w:t xml:space="preserve"> medical </w:t>
      </w:r>
      <w:r w:rsidR="00323F3E">
        <w:rPr>
          <w:rFonts w:eastAsia="Times New Roman" w:cs="Times New Roman"/>
          <w:szCs w:val="18"/>
          <w:lang w:eastAsia="en-AU"/>
        </w:rPr>
        <w:t xml:space="preserve">and technological </w:t>
      </w:r>
      <w:r w:rsidR="0096425A">
        <w:rPr>
          <w:rFonts w:eastAsia="Times New Roman" w:cs="Times New Roman"/>
          <w:szCs w:val="18"/>
          <w:lang w:eastAsia="en-AU"/>
        </w:rPr>
        <w:t xml:space="preserve">advancements </w:t>
      </w:r>
      <w:r w:rsidR="00323F3E">
        <w:rPr>
          <w:rFonts w:eastAsia="Times New Roman" w:cs="Times New Roman"/>
          <w:szCs w:val="18"/>
          <w:lang w:eastAsia="en-AU"/>
        </w:rPr>
        <w:t>in the field</w:t>
      </w:r>
      <w:r w:rsidR="003E1F93">
        <w:rPr>
          <w:rFonts w:eastAsia="Times New Roman" w:cs="Times New Roman"/>
          <w:szCs w:val="18"/>
          <w:lang w:eastAsia="en-AU"/>
        </w:rPr>
        <w:t xml:space="preserve"> including the increased use of automation and AI</w:t>
      </w:r>
      <w:r w:rsidR="00323F3E">
        <w:rPr>
          <w:rFonts w:eastAsia="Times New Roman" w:cs="Times New Roman"/>
          <w:szCs w:val="18"/>
          <w:lang w:eastAsia="en-AU"/>
        </w:rPr>
        <w:t>.</w:t>
      </w:r>
      <w:r w:rsidR="00E53B27" w:rsidRPr="00DC27F5">
        <w:rPr>
          <w:rFonts w:eastAsia="Times New Roman" w:cs="Times New Roman"/>
          <w:szCs w:val="18"/>
          <w:vertAlign w:val="superscript"/>
          <w:lang w:eastAsia="en-AU"/>
        </w:rPr>
        <w:fldChar w:fldCharType="begin"/>
      </w:r>
      <w:r w:rsidR="00E53B27" w:rsidRPr="00DC27F5">
        <w:rPr>
          <w:rFonts w:eastAsia="Times New Roman" w:cs="Times New Roman"/>
          <w:szCs w:val="18"/>
          <w:vertAlign w:val="superscript"/>
          <w:lang w:eastAsia="en-AU"/>
        </w:rPr>
        <w:instrText xml:space="preserve"> NOTEREF _Ref182579471 \h </w:instrText>
      </w:r>
      <w:r w:rsidR="00E53B27">
        <w:rPr>
          <w:rFonts w:eastAsia="Times New Roman" w:cs="Times New Roman"/>
          <w:szCs w:val="18"/>
          <w:vertAlign w:val="superscript"/>
          <w:lang w:eastAsia="en-AU"/>
        </w:rPr>
        <w:instrText xml:space="preserve"> \* MERGEFORMAT </w:instrText>
      </w:r>
      <w:r w:rsidR="00E53B27" w:rsidRPr="00DC27F5">
        <w:rPr>
          <w:rFonts w:eastAsia="Times New Roman" w:cs="Times New Roman"/>
          <w:szCs w:val="18"/>
          <w:vertAlign w:val="superscript"/>
          <w:lang w:eastAsia="en-AU"/>
        </w:rPr>
      </w:r>
      <w:r w:rsidR="00E53B27" w:rsidRPr="00DC27F5">
        <w:rPr>
          <w:rFonts w:eastAsia="Times New Roman" w:cs="Times New Roman"/>
          <w:szCs w:val="18"/>
          <w:vertAlign w:val="superscript"/>
          <w:lang w:eastAsia="en-AU"/>
        </w:rPr>
        <w:fldChar w:fldCharType="separate"/>
      </w:r>
      <w:r w:rsidR="005F7EBC">
        <w:rPr>
          <w:rFonts w:eastAsia="Times New Roman" w:cs="Times New Roman"/>
          <w:szCs w:val="18"/>
          <w:vertAlign w:val="superscript"/>
          <w:lang w:eastAsia="en-AU"/>
        </w:rPr>
        <w:t>33</w:t>
      </w:r>
      <w:r w:rsidR="00E53B27" w:rsidRPr="00DC27F5">
        <w:rPr>
          <w:rFonts w:eastAsia="Times New Roman" w:cs="Times New Roman"/>
          <w:szCs w:val="18"/>
          <w:vertAlign w:val="superscript"/>
          <w:lang w:eastAsia="en-AU"/>
        </w:rPr>
        <w:fldChar w:fldCharType="end"/>
      </w:r>
      <w:r w:rsidR="00194457">
        <w:rPr>
          <w:rFonts w:eastAsia="Times New Roman" w:cs="Times New Roman"/>
          <w:szCs w:val="18"/>
          <w:vertAlign w:val="superscript"/>
          <w:lang w:eastAsia="en-AU"/>
        </w:rPr>
        <w:t xml:space="preserve">, </w:t>
      </w:r>
      <w:r w:rsidR="003E1F93" w:rsidRPr="00E53B27">
        <w:rPr>
          <w:rFonts w:eastAsia="Times New Roman" w:cs="Times New Roman"/>
          <w:szCs w:val="18"/>
          <w:vertAlign w:val="superscript"/>
          <w:lang w:eastAsia="en-AU"/>
        </w:rPr>
        <w:fldChar w:fldCharType="begin"/>
      </w:r>
      <w:r w:rsidR="003E1F93" w:rsidRPr="00E53B27">
        <w:rPr>
          <w:rFonts w:eastAsia="Times New Roman" w:cs="Times New Roman"/>
          <w:szCs w:val="18"/>
          <w:vertAlign w:val="superscript"/>
          <w:lang w:eastAsia="en-AU"/>
        </w:rPr>
        <w:instrText xml:space="preserve"> NOTEREF _Ref181717873 \h  \* MERGEFORMAT </w:instrText>
      </w:r>
      <w:r w:rsidR="003E1F93" w:rsidRPr="00E53B27">
        <w:rPr>
          <w:rFonts w:eastAsia="Times New Roman" w:cs="Times New Roman"/>
          <w:szCs w:val="18"/>
          <w:vertAlign w:val="superscript"/>
          <w:lang w:eastAsia="en-AU"/>
        </w:rPr>
      </w:r>
      <w:r w:rsidR="003E1F93" w:rsidRPr="00E53B27">
        <w:rPr>
          <w:rFonts w:eastAsia="Times New Roman" w:cs="Times New Roman"/>
          <w:szCs w:val="18"/>
          <w:vertAlign w:val="superscript"/>
          <w:lang w:eastAsia="en-AU"/>
        </w:rPr>
        <w:fldChar w:fldCharType="separate"/>
      </w:r>
      <w:r w:rsidR="005F7EBC">
        <w:rPr>
          <w:rFonts w:eastAsia="Times New Roman" w:cs="Times New Roman"/>
          <w:szCs w:val="18"/>
          <w:vertAlign w:val="superscript"/>
          <w:lang w:eastAsia="en-AU"/>
        </w:rPr>
        <w:t>45</w:t>
      </w:r>
      <w:r w:rsidR="003E1F93" w:rsidRPr="00E53B27">
        <w:rPr>
          <w:rFonts w:eastAsia="Times New Roman" w:cs="Times New Roman"/>
          <w:szCs w:val="18"/>
          <w:vertAlign w:val="superscript"/>
          <w:lang w:eastAsia="en-AU"/>
        </w:rPr>
        <w:fldChar w:fldCharType="end"/>
      </w:r>
      <w:r w:rsidR="00E53B27" w:rsidRPr="00DC27F5">
        <w:rPr>
          <w:rFonts w:eastAsia="Times New Roman" w:cs="Times New Roman"/>
          <w:szCs w:val="18"/>
          <w:vertAlign w:val="superscript"/>
          <w:lang w:eastAsia="en-AU"/>
        </w:rPr>
        <w:t xml:space="preserve"> </w:t>
      </w:r>
      <w:r w:rsidR="000C03CF">
        <w:rPr>
          <w:rFonts w:eastAsia="Times New Roman" w:cs="Times New Roman"/>
          <w:szCs w:val="18"/>
          <w:lang w:eastAsia="en-AU"/>
        </w:rPr>
        <w:t xml:space="preserve">As such, </w:t>
      </w:r>
      <w:r w:rsidR="0009506F">
        <w:rPr>
          <w:rFonts w:eastAsia="Times New Roman" w:cs="Times New Roman"/>
          <w:szCs w:val="18"/>
          <w:lang w:eastAsia="en-AU"/>
        </w:rPr>
        <w:t xml:space="preserve">international best practice indicates that </w:t>
      </w:r>
      <w:r w:rsidR="00E66710">
        <w:rPr>
          <w:rFonts w:eastAsia="Times New Roman" w:cs="Times New Roman"/>
          <w:szCs w:val="18"/>
          <w:lang w:eastAsia="en-AU"/>
        </w:rPr>
        <w:t xml:space="preserve">the curriculum of </w:t>
      </w:r>
      <w:r w:rsidR="0009506F">
        <w:rPr>
          <w:rFonts w:eastAsia="Times New Roman" w:cs="Times New Roman"/>
          <w:szCs w:val="18"/>
          <w:lang w:eastAsia="en-AU"/>
        </w:rPr>
        <w:t xml:space="preserve">clinical training </w:t>
      </w:r>
      <w:r w:rsidR="00E66710">
        <w:rPr>
          <w:rFonts w:eastAsia="Times New Roman" w:cs="Times New Roman"/>
          <w:szCs w:val="18"/>
          <w:lang w:eastAsia="en-AU"/>
        </w:rPr>
        <w:t xml:space="preserve">programs such as TEAP </w:t>
      </w:r>
      <w:r w:rsidR="0009506F">
        <w:rPr>
          <w:rFonts w:eastAsia="Times New Roman" w:cs="Times New Roman"/>
          <w:szCs w:val="18"/>
          <w:lang w:eastAsia="en-AU"/>
        </w:rPr>
        <w:t xml:space="preserve">should </w:t>
      </w:r>
      <w:r w:rsidR="00E66710">
        <w:rPr>
          <w:rFonts w:eastAsia="Times New Roman" w:cs="Times New Roman"/>
          <w:szCs w:val="18"/>
          <w:lang w:eastAsia="en-AU"/>
        </w:rPr>
        <w:t>remain contemporary</w:t>
      </w:r>
      <w:r w:rsidR="00700F91">
        <w:rPr>
          <w:rFonts w:eastAsia="Times New Roman" w:cs="Times New Roman"/>
          <w:szCs w:val="18"/>
          <w:lang w:eastAsia="en-AU"/>
        </w:rPr>
        <w:t xml:space="preserve"> through the incorporation of </w:t>
      </w:r>
      <w:r w:rsidR="0009506F">
        <w:rPr>
          <w:rFonts w:eastAsia="Times New Roman" w:cs="Times New Roman"/>
          <w:szCs w:val="18"/>
          <w:lang w:eastAsia="en-AU"/>
        </w:rPr>
        <w:t xml:space="preserve">the latest </w:t>
      </w:r>
      <w:r w:rsidR="00700F91">
        <w:rPr>
          <w:rFonts w:eastAsia="Times New Roman" w:cs="Times New Roman"/>
          <w:szCs w:val="18"/>
          <w:lang w:eastAsia="en-AU"/>
        </w:rPr>
        <w:t xml:space="preserve">technological and medical </w:t>
      </w:r>
      <w:r w:rsidR="0009506F">
        <w:rPr>
          <w:rFonts w:eastAsia="Times New Roman" w:cs="Times New Roman"/>
          <w:szCs w:val="18"/>
          <w:lang w:eastAsia="en-AU"/>
        </w:rPr>
        <w:t>advancements</w:t>
      </w:r>
      <w:r w:rsidR="00700F91">
        <w:rPr>
          <w:rFonts w:eastAsia="Times New Roman" w:cs="Times New Roman"/>
          <w:szCs w:val="18"/>
          <w:lang w:eastAsia="en-AU"/>
        </w:rPr>
        <w:t xml:space="preserve"> and exposure to emerging technologies.</w:t>
      </w:r>
      <w:r w:rsidR="001D1A3C">
        <w:rPr>
          <w:rFonts w:ascii="ZWAdobeF" w:eastAsia="Times New Roman" w:hAnsi="ZWAdobeF" w:cs="ZWAdobeF"/>
          <w:sz w:val="2"/>
          <w:szCs w:val="2"/>
          <w:lang w:eastAsia="en-AU"/>
        </w:rPr>
        <w:t>47F</w:t>
      </w:r>
      <w:r w:rsidR="005F7EBC">
        <w:rPr>
          <w:rFonts w:ascii="ZWAdobeF" w:eastAsia="Times New Roman" w:hAnsi="ZWAdobeF" w:cs="ZWAdobeF"/>
          <w:sz w:val="2"/>
          <w:szCs w:val="2"/>
          <w:lang w:eastAsia="en-AU"/>
        </w:rPr>
        <w:t>59F</w:t>
      </w:r>
      <w:r w:rsidR="0065495B">
        <w:rPr>
          <w:rStyle w:val="FootnoteReference"/>
          <w:rFonts w:ascii="ZWAdobeF" w:eastAsia="Times New Roman" w:hAnsi="ZWAdobeF" w:cs="ZWAdobeF"/>
          <w:sz w:val="2"/>
          <w:szCs w:val="2"/>
          <w:lang w:eastAsia="en-AU"/>
        </w:rPr>
        <w:footnoteReference w:id="61"/>
      </w:r>
      <w:r w:rsidR="00C3785A" w:rsidRPr="00C3785A">
        <w:rPr>
          <w:vertAlign w:val="superscript"/>
        </w:rPr>
        <w:t xml:space="preserve"> </w:t>
      </w:r>
      <w:r w:rsidR="00700F91">
        <w:rPr>
          <w:rFonts w:eastAsia="Times New Roman" w:cs="Times New Roman"/>
          <w:szCs w:val="18"/>
          <w:lang w:eastAsia="en-AU"/>
        </w:rPr>
        <w:t>Additionally,</w:t>
      </w:r>
      <w:r w:rsidR="0036459E">
        <w:rPr>
          <w:rFonts w:eastAsia="Times New Roman" w:cs="Times New Roman"/>
          <w:szCs w:val="18"/>
          <w:lang w:eastAsia="en-AU"/>
        </w:rPr>
        <w:t xml:space="preserve"> qualified medical physicists</w:t>
      </w:r>
      <w:r w:rsidR="00700F91">
        <w:rPr>
          <w:rFonts w:eastAsia="Times New Roman" w:cs="Times New Roman"/>
          <w:szCs w:val="18"/>
          <w:lang w:eastAsia="en-AU"/>
        </w:rPr>
        <w:t xml:space="preserve"> </w:t>
      </w:r>
      <w:r w:rsidR="0036459E">
        <w:rPr>
          <w:rFonts w:eastAsia="Times New Roman" w:cs="Times New Roman"/>
          <w:szCs w:val="18"/>
          <w:lang w:eastAsia="en-AU"/>
        </w:rPr>
        <w:t>(</w:t>
      </w:r>
      <w:r w:rsidR="00CE2C0F">
        <w:rPr>
          <w:rFonts w:eastAsia="Times New Roman" w:cs="Times New Roman"/>
          <w:szCs w:val="18"/>
          <w:lang w:eastAsia="en-AU"/>
        </w:rPr>
        <w:t>QMPs</w:t>
      </w:r>
      <w:r w:rsidR="0036459E">
        <w:rPr>
          <w:rFonts w:eastAsia="Times New Roman" w:cs="Times New Roman"/>
          <w:szCs w:val="18"/>
          <w:lang w:eastAsia="en-AU"/>
        </w:rPr>
        <w:t>)</w:t>
      </w:r>
      <w:r w:rsidR="00C24EC1">
        <w:rPr>
          <w:rFonts w:eastAsia="Times New Roman" w:cs="Times New Roman"/>
          <w:szCs w:val="18"/>
          <w:lang w:eastAsia="en-AU"/>
        </w:rPr>
        <w:t xml:space="preserve"> should maintain current knowledge of modern technologies, methods and practice stand</w:t>
      </w:r>
      <w:r w:rsidR="006F3C75">
        <w:rPr>
          <w:rFonts w:eastAsia="Times New Roman" w:cs="Times New Roman"/>
          <w:szCs w:val="18"/>
          <w:lang w:eastAsia="en-AU"/>
        </w:rPr>
        <w:t xml:space="preserve">ards through a regular re-certification system that incorporates </w:t>
      </w:r>
      <w:r w:rsidR="002C110D">
        <w:rPr>
          <w:rFonts w:eastAsia="Times New Roman" w:cs="Times New Roman"/>
          <w:szCs w:val="18"/>
          <w:lang w:eastAsia="en-AU"/>
        </w:rPr>
        <w:t>CPD</w:t>
      </w:r>
      <w:r w:rsidR="00B05033">
        <w:rPr>
          <w:rFonts w:eastAsia="Times New Roman" w:cs="Times New Roman"/>
          <w:szCs w:val="18"/>
          <w:lang w:eastAsia="en-AU"/>
        </w:rPr>
        <w:t>.</w:t>
      </w:r>
      <w:r w:rsidR="001D1A3C">
        <w:rPr>
          <w:rFonts w:ascii="ZWAdobeF" w:eastAsia="Times New Roman" w:hAnsi="ZWAdobeF" w:cs="ZWAdobeF"/>
          <w:sz w:val="2"/>
          <w:szCs w:val="2"/>
          <w:lang w:eastAsia="en-AU"/>
        </w:rPr>
        <w:t>48F</w:t>
      </w:r>
      <w:r w:rsidR="005F7EBC">
        <w:rPr>
          <w:rFonts w:ascii="ZWAdobeF" w:eastAsia="Times New Roman" w:hAnsi="ZWAdobeF" w:cs="ZWAdobeF"/>
          <w:sz w:val="2"/>
          <w:szCs w:val="2"/>
          <w:lang w:eastAsia="en-AU"/>
        </w:rPr>
        <w:t>60F</w:t>
      </w:r>
      <w:r w:rsidR="00DA1BE6">
        <w:rPr>
          <w:rStyle w:val="FootnoteReference"/>
          <w:rFonts w:eastAsia="Times New Roman" w:cs="Times New Roman"/>
          <w:szCs w:val="18"/>
          <w:lang w:eastAsia="en-AU"/>
        </w:rPr>
        <w:footnoteReference w:id="62"/>
      </w:r>
      <w:r w:rsidR="00B16041" w:rsidRPr="004303DF">
        <w:rPr>
          <w:rFonts w:eastAsia="Times New Roman" w:cs="Times New Roman"/>
          <w:szCs w:val="18"/>
          <w:vertAlign w:val="superscript"/>
          <w:lang w:eastAsia="en-AU"/>
        </w:rPr>
        <w:t>,</w:t>
      </w:r>
      <w:r w:rsidR="001D1A3C">
        <w:rPr>
          <w:rFonts w:ascii="ZWAdobeF" w:eastAsia="Times New Roman" w:hAnsi="ZWAdobeF" w:cs="ZWAdobeF"/>
          <w:sz w:val="2"/>
          <w:szCs w:val="2"/>
          <w:lang w:eastAsia="en-AU"/>
        </w:rPr>
        <w:t>49F</w:t>
      </w:r>
      <w:r w:rsidR="005F7EBC">
        <w:rPr>
          <w:rFonts w:ascii="ZWAdobeF" w:eastAsia="Times New Roman" w:hAnsi="ZWAdobeF" w:cs="ZWAdobeF"/>
          <w:sz w:val="2"/>
          <w:szCs w:val="2"/>
          <w:lang w:eastAsia="en-AU"/>
        </w:rPr>
        <w:t>61F</w:t>
      </w:r>
      <w:r>
        <w:rPr>
          <w:rStyle w:val="FootnoteReference"/>
        </w:rPr>
        <w:footnoteReference w:id="63"/>
      </w:r>
      <w:r w:rsidR="008A292F" w:rsidRPr="008A292F">
        <w:rPr>
          <w:rFonts w:eastAsia="Times New Roman" w:cs="Times New Roman"/>
          <w:szCs w:val="18"/>
          <w:lang w:eastAsia="en-AU"/>
        </w:rPr>
        <w:t xml:space="preserve"> </w:t>
      </w:r>
      <w:r w:rsidR="00DA2976">
        <w:rPr>
          <w:rFonts w:eastAsia="Times New Roman" w:cs="Times New Roman"/>
          <w:szCs w:val="18"/>
          <w:lang w:eastAsia="en-AU"/>
        </w:rPr>
        <w:t xml:space="preserve">In consultation, experienced medical physicists advised that </w:t>
      </w:r>
      <w:r w:rsidR="0025262D">
        <w:rPr>
          <w:rFonts w:eastAsia="Times New Roman" w:cs="Times New Roman"/>
          <w:szCs w:val="18"/>
          <w:lang w:eastAsia="en-AU"/>
        </w:rPr>
        <w:t>the</w:t>
      </w:r>
      <w:r w:rsidR="00FD7FCB">
        <w:rPr>
          <w:rFonts w:eastAsia="Times New Roman" w:cs="Times New Roman"/>
          <w:szCs w:val="18"/>
          <w:lang w:eastAsia="en-AU"/>
        </w:rPr>
        <w:t xml:space="preserve"> imple</w:t>
      </w:r>
      <w:r w:rsidR="00302786">
        <w:rPr>
          <w:rFonts w:eastAsia="Times New Roman" w:cs="Times New Roman"/>
          <w:szCs w:val="18"/>
          <w:lang w:eastAsia="en-AU"/>
        </w:rPr>
        <w:t>mentation of new technologies and techniques</w:t>
      </w:r>
      <w:r w:rsidR="0025262D">
        <w:rPr>
          <w:rFonts w:eastAsia="Times New Roman" w:cs="Times New Roman"/>
          <w:szCs w:val="18"/>
          <w:lang w:eastAsia="en-AU"/>
        </w:rPr>
        <w:t xml:space="preserve"> is increasing</w:t>
      </w:r>
      <w:r w:rsidR="00896310">
        <w:rPr>
          <w:rFonts w:eastAsia="Times New Roman" w:cs="Times New Roman"/>
          <w:szCs w:val="18"/>
          <w:lang w:eastAsia="en-AU"/>
        </w:rPr>
        <w:t xml:space="preserve">, with </w:t>
      </w:r>
      <w:r w:rsidR="001B0295">
        <w:rPr>
          <w:rFonts w:eastAsia="Times New Roman" w:cs="Times New Roman"/>
          <w:szCs w:val="18"/>
          <w:lang w:eastAsia="en-AU"/>
        </w:rPr>
        <w:t>rising</w:t>
      </w:r>
      <w:r w:rsidR="008461DF">
        <w:rPr>
          <w:rFonts w:eastAsia="Times New Roman" w:cs="Times New Roman"/>
          <w:szCs w:val="18"/>
          <w:lang w:eastAsia="en-AU"/>
        </w:rPr>
        <w:t xml:space="preserve"> </w:t>
      </w:r>
      <w:r w:rsidR="00896310">
        <w:rPr>
          <w:rFonts w:eastAsia="Times New Roman" w:cs="Times New Roman"/>
          <w:szCs w:val="18"/>
          <w:lang w:eastAsia="en-AU"/>
        </w:rPr>
        <w:t>complexity</w:t>
      </w:r>
      <w:r w:rsidR="008461DF">
        <w:rPr>
          <w:rFonts w:eastAsia="Times New Roman" w:cs="Times New Roman"/>
          <w:szCs w:val="18"/>
          <w:lang w:eastAsia="en-AU"/>
        </w:rPr>
        <w:t xml:space="preserve">. Consequently, </w:t>
      </w:r>
      <w:r w:rsidR="002773FF">
        <w:rPr>
          <w:rFonts w:eastAsia="Times New Roman" w:cs="Times New Roman"/>
          <w:szCs w:val="18"/>
          <w:lang w:eastAsia="en-AU"/>
        </w:rPr>
        <w:t>there is a need for growing emphasis on quality and safety in the profession moving forward.</w:t>
      </w:r>
    </w:p>
    <w:p w14:paraId="7D38FEA4" w14:textId="7D176F4D" w:rsidR="00D46382" w:rsidRDefault="00A93BE6" w:rsidP="00194457">
      <w:pPr>
        <w:pStyle w:val="BodyText"/>
        <w:rPr>
          <w:lang w:eastAsia="en-AU"/>
        </w:rPr>
      </w:pPr>
      <w:r>
        <w:rPr>
          <w:lang w:eastAsia="en-AU"/>
        </w:rPr>
        <w:t xml:space="preserve">As part of the </w:t>
      </w:r>
      <w:r w:rsidR="00D50BAE">
        <w:rPr>
          <w:lang w:eastAsia="en-AU"/>
        </w:rPr>
        <w:t xml:space="preserve">MPS Program, </w:t>
      </w:r>
      <w:r w:rsidR="002C62D5">
        <w:rPr>
          <w:lang w:eastAsia="en-AU"/>
        </w:rPr>
        <w:t>ACPSEM</w:t>
      </w:r>
      <w:r w:rsidR="00D50BAE">
        <w:rPr>
          <w:lang w:eastAsia="en-AU"/>
        </w:rPr>
        <w:t xml:space="preserve"> receives funding </w:t>
      </w:r>
      <w:r w:rsidR="007737C1">
        <w:rPr>
          <w:lang w:eastAsia="en-AU"/>
        </w:rPr>
        <w:t>to undertake a dynamic curriculum review of TEAP</w:t>
      </w:r>
      <w:r w:rsidR="00AD5A5A">
        <w:rPr>
          <w:lang w:eastAsia="en-AU"/>
        </w:rPr>
        <w:t xml:space="preserve"> to ensure the curriculum is </w:t>
      </w:r>
      <w:r w:rsidR="004B3565">
        <w:rPr>
          <w:lang w:eastAsia="en-AU"/>
        </w:rPr>
        <w:t>responsive to advancements in the field</w:t>
      </w:r>
      <w:r w:rsidR="00B12403">
        <w:rPr>
          <w:lang w:eastAsia="en-AU"/>
        </w:rPr>
        <w:t xml:space="preserve"> and prepares trainees for future technological changes. </w:t>
      </w:r>
      <w:r w:rsidR="002C62D5">
        <w:rPr>
          <w:lang w:eastAsia="en-AU"/>
        </w:rPr>
        <w:t>ACPSEM</w:t>
      </w:r>
      <w:r w:rsidR="00B508F5">
        <w:rPr>
          <w:lang w:eastAsia="en-AU"/>
        </w:rPr>
        <w:t xml:space="preserve"> has developed governance to assure agile curricula and training program policy</w:t>
      </w:r>
      <w:r w:rsidR="00977751">
        <w:rPr>
          <w:lang w:eastAsia="en-AU"/>
        </w:rPr>
        <w:t xml:space="preserve">, informed by a literature review </w:t>
      </w:r>
      <w:r w:rsidR="004D07F6">
        <w:rPr>
          <w:lang w:eastAsia="en-AU"/>
        </w:rPr>
        <w:t xml:space="preserve">undertaken in 2020 by </w:t>
      </w:r>
      <w:proofErr w:type="spellStart"/>
      <w:r w:rsidR="004D07F6">
        <w:rPr>
          <w:lang w:eastAsia="en-AU"/>
        </w:rPr>
        <w:t>Amplex</w:t>
      </w:r>
      <w:r w:rsidR="003A4ED4">
        <w:rPr>
          <w:lang w:eastAsia="en-AU"/>
        </w:rPr>
        <w:t>a</w:t>
      </w:r>
      <w:proofErr w:type="spellEnd"/>
      <w:r w:rsidR="004D07F6">
        <w:rPr>
          <w:lang w:eastAsia="en-AU"/>
        </w:rPr>
        <w:t xml:space="preserve"> Consulting on </w:t>
      </w:r>
      <w:r w:rsidR="003C6674">
        <w:rPr>
          <w:lang w:eastAsia="en-AU"/>
        </w:rPr>
        <w:t>methods and tools</w:t>
      </w:r>
      <w:r w:rsidR="001F4724">
        <w:rPr>
          <w:lang w:eastAsia="en-AU"/>
        </w:rPr>
        <w:t xml:space="preserve"> used in </w:t>
      </w:r>
      <w:r w:rsidR="004D07F6">
        <w:rPr>
          <w:lang w:eastAsia="en-AU"/>
        </w:rPr>
        <w:t>dynamic curriculum review process</w:t>
      </w:r>
      <w:r w:rsidR="001F4724">
        <w:rPr>
          <w:lang w:eastAsia="en-AU"/>
        </w:rPr>
        <w:t>es</w:t>
      </w:r>
      <w:r w:rsidR="004D07F6">
        <w:rPr>
          <w:lang w:eastAsia="en-AU"/>
        </w:rPr>
        <w:t>.</w:t>
      </w:r>
      <w:r w:rsidR="007C0547" w:rsidRPr="00DC27F5">
        <w:rPr>
          <w:vertAlign w:val="superscript"/>
          <w:lang w:eastAsia="en-AU"/>
        </w:rPr>
        <w:fldChar w:fldCharType="begin"/>
      </w:r>
      <w:r w:rsidR="007C0547" w:rsidRPr="00DC27F5">
        <w:rPr>
          <w:vertAlign w:val="superscript"/>
          <w:lang w:eastAsia="en-AU"/>
        </w:rPr>
        <w:instrText xml:space="preserve"> NOTEREF _Ref182580621 \h </w:instrText>
      </w:r>
      <w:r w:rsidR="007C0547">
        <w:rPr>
          <w:vertAlign w:val="superscript"/>
          <w:lang w:eastAsia="en-AU"/>
        </w:rPr>
        <w:instrText xml:space="preserve"> \* MERGEFORMAT </w:instrText>
      </w:r>
      <w:r w:rsidR="007C0547" w:rsidRPr="00DC27F5">
        <w:rPr>
          <w:vertAlign w:val="superscript"/>
          <w:lang w:eastAsia="en-AU"/>
        </w:rPr>
      </w:r>
      <w:r w:rsidR="007C0547" w:rsidRPr="00DC27F5">
        <w:rPr>
          <w:vertAlign w:val="superscript"/>
          <w:lang w:eastAsia="en-AU"/>
        </w:rPr>
        <w:fldChar w:fldCharType="separate"/>
      </w:r>
      <w:r w:rsidR="005F7EBC">
        <w:rPr>
          <w:vertAlign w:val="superscript"/>
          <w:lang w:eastAsia="en-AU"/>
        </w:rPr>
        <w:t>23</w:t>
      </w:r>
      <w:r w:rsidR="007C0547" w:rsidRPr="00DC27F5">
        <w:rPr>
          <w:vertAlign w:val="superscript"/>
          <w:lang w:eastAsia="en-AU"/>
        </w:rPr>
        <w:fldChar w:fldCharType="end"/>
      </w:r>
      <w:r w:rsidR="00E3355E">
        <w:rPr>
          <w:lang w:eastAsia="en-AU"/>
        </w:rPr>
        <w:t xml:space="preserve"> Further, a</w:t>
      </w:r>
      <w:r w:rsidR="00E3355E" w:rsidRPr="00194457">
        <w:rPr>
          <w:lang w:eastAsia="en-AU"/>
        </w:rPr>
        <w:t xml:space="preserve">ll TEAP streams have undergone curriculum revisions in recent years </w:t>
      </w:r>
      <w:r w:rsidR="00E3355E">
        <w:rPr>
          <w:lang w:eastAsia="en-AU"/>
        </w:rPr>
        <w:t xml:space="preserve">to remain contemporary. The reviews </w:t>
      </w:r>
      <w:r w:rsidR="00E3355E" w:rsidRPr="00194457">
        <w:rPr>
          <w:lang w:eastAsia="en-AU"/>
        </w:rPr>
        <w:t>were made following a full-scale assessment review informed by a large consultation process</w:t>
      </w:r>
      <w:r w:rsidR="00E3355E">
        <w:rPr>
          <w:lang w:eastAsia="en-AU"/>
        </w:rPr>
        <w:t xml:space="preserve"> and</w:t>
      </w:r>
      <w:r w:rsidR="00E3355E" w:rsidRPr="00194457">
        <w:rPr>
          <w:lang w:eastAsia="en-AU"/>
        </w:rPr>
        <w:t xml:space="preserve"> collaboration with the ACER</w:t>
      </w:r>
      <w:r w:rsidR="00E3355E">
        <w:rPr>
          <w:lang w:eastAsia="en-AU"/>
        </w:rPr>
        <w:t>.</w:t>
      </w:r>
    </w:p>
    <w:p w14:paraId="64F8D09B" w14:textId="4AE64313" w:rsidR="00D46382" w:rsidRDefault="002C62D5" w:rsidP="000B6E08">
      <w:pPr>
        <w:spacing w:before="180"/>
        <w:rPr>
          <w:rFonts w:eastAsia="Times New Roman" w:cs="Times New Roman"/>
          <w:szCs w:val="18"/>
          <w:lang w:eastAsia="en-AU"/>
        </w:rPr>
      </w:pPr>
      <w:r>
        <w:rPr>
          <w:rFonts w:eastAsia="Times New Roman" w:cs="Times New Roman"/>
          <w:szCs w:val="18"/>
          <w:lang w:eastAsia="en-AU"/>
        </w:rPr>
        <w:t>ACPSEM</w:t>
      </w:r>
      <w:r w:rsidR="00116CA9">
        <w:rPr>
          <w:rFonts w:eastAsia="Times New Roman" w:cs="Times New Roman"/>
          <w:szCs w:val="18"/>
          <w:lang w:eastAsia="en-AU"/>
        </w:rPr>
        <w:t xml:space="preserve"> </w:t>
      </w:r>
      <w:r w:rsidR="00375277">
        <w:rPr>
          <w:rFonts w:eastAsia="Times New Roman" w:cs="Times New Roman"/>
          <w:szCs w:val="18"/>
          <w:lang w:eastAsia="en-AU"/>
        </w:rPr>
        <w:t xml:space="preserve">undertakes other activities using </w:t>
      </w:r>
      <w:r w:rsidR="00116CA9">
        <w:rPr>
          <w:rFonts w:eastAsia="Times New Roman" w:cs="Times New Roman"/>
          <w:szCs w:val="18"/>
          <w:lang w:eastAsia="en-AU"/>
        </w:rPr>
        <w:t xml:space="preserve">MPS Program </w:t>
      </w:r>
      <w:r w:rsidR="00375277">
        <w:rPr>
          <w:rFonts w:eastAsia="Times New Roman" w:cs="Times New Roman"/>
          <w:szCs w:val="18"/>
          <w:lang w:eastAsia="en-AU"/>
        </w:rPr>
        <w:t xml:space="preserve">funding </w:t>
      </w:r>
      <w:r w:rsidR="00116CA9">
        <w:rPr>
          <w:rFonts w:eastAsia="Times New Roman" w:cs="Times New Roman"/>
          <w:szCs w:val="18"/>
          <w:lang w:eastAsia="en-AU"/>
        </w:rPr>
        <w:t xml:space="preserve">that </w:t>
      </w:r>
      <w:r w:rsidR="00375277">
        <w:rPr>
          <w:rFonts w:eastAsia="Times New Roman" w:cs="Times New Roman"/>
          <w:szCs w:val="18"/>
          <w:lang w:eastAsia="en-AU"/>
        </w:rPr>
        <w:t xml:space="preserve">are </w:t>
      </w:r>
      <w:r w:rsidR="000E08AA">
        <w:rPr>
          <w:rFonts w:eastAsia="Times New Roman" w:cs="Times New Roman"/>
          <w:szCs w:val="18"/>
          <w:lang w:eastAsia="en-AU"/>
        </w:rPr>
        <w:t xml:space="preserve">aimed at </w:t>
      </w:r>
      <w:r w:rsidR="000944F4">
        <w:rPr>
          <w:rFonts w:eastAsia="Times New Roman" w:cs="Times New Roman"/>
          <w:szCs w:val="18"/>
          <w:lang w:eastAsia="en-AU"/>
        </w:rPr>
        <w:t>supporting ongoing learning and development of the medical physicist workforce</w:t>
      </w:r>
      <w:r w:rsidR="00375277">
        <w:rPr>
          <w:rFonts w:eastAsia="Times New Roman" w:cs="Times New Roman"/>
          <w:szCs w:val="18"/>
          <w:lang w:eastAsia="en-AU"/>
        </w:rPr>
        <w:t>, such as</w:t>
      </w:r>
      <w:r w:rsidR="000944F4">
        <w:rPr>
          <w:rFonts w:eastAsia="Times New Roman" w:cs="Times New Roman"/>
          <w:szCs w:val="18"/>
          <w:lang w:eastAsia="en-AU"/>
        </w:rPr>
        <w:t xml:space="preserve"> the </w:t>
      </w:r>
      <w:r w:rsidR="000509D6">
        <w:rPr>
          <w:rFonts w:eastAsia="Times New Roman" w:cs="Times New Roman"/>
          <w:szCs w:val="18"/>
          <w:lang w:eastAsia="en-AU"/>
        </w:rPr>
        <w:t xml:space="preserve">AI </w:t>
      </w:r>
      <w:r w:rsidR="00700B22">
        <w:rPr>
          <w:rFonts w:eastAsia="Times New Roman" w:cs="Times New Roman"/>
          <w:szCs w:val="18"/>
          <w:lang w:eastAsia="en-AU"/>
        </w:rPr>
        <w:t>P</w:t>
      </w:r>
      <w:r w:rsidR="000509D6">
        <w:rPr>
          <w:rFonts w:eastAsia="Times New Roman" w:cs="Times New Roman"/>
          <w:szCs w:val="18"/>
          <w:lang w:eastAsia="en-AU"/>
        </w:rPr>
        <w:t xml:space="preserve">rofessional </w:t>
      </w:r>
      <w:r w:rsidR="00700B22">
        <w:rPr>
          <w:rFonts w:eastAsia="Times New Roman" w:cs="Times New Roman"/>
          <w:szCs w:val="18"/>
          <w:lang w:eastAsia="en-AU"/>
        </w:rPr>
        <w:t>S</w:t>
      </w:r>
      <w:r w:rsidR="000509D6">
        <w:rPr>
          <w:rFonts w:eastAsia="Times New Roman" w:cs="Times New Roman"/>
          <w:szCs w:val="18"/>
          <w:lang w:eastAsia="en-AU"/>
        </w:rPr>
        <w:t xml:space="preserve">tandards </w:t>
      </w:r>
      <w:r w:rsidR="00700B22">
        <w:rPr>
          <w:rFonts w:eastAsia="Times New Roman" w:cs="Times New Roman"/>
          <w:szCs w:val="18"/>
          <w:lang w:eastAsia="en-AU"/>
        </w:rPr>
        <w:t>W</w:t>
      </w:r>
      <w:r w:rsidR="000509D6">
        <w:rPr>
          <w:rFonts w:eastAsia="Times New Roman" w:cs="Times New Roman"/>
          <w:szCs w:val="18"/>
          <w:lang w:eastAsia="en-AU"/>
        </w:rPr>
        <w:t xml:space="preserve">orking </w:t>
      </w:r>
      <w:r w:rsidR="00700B22">
        <w:rPr>
          <w:rFonts w:eastAsia="Times New Roman" w:cs="Times New Roman"/>
          <w:szCs w:val="18"/>
          <w:lang w:eastAsia="en-AU"/>
        </w:rPr>
        <w:t>G</w:t>
      </w:r>
      <w:r w:rsidR="000509D6">
        <w:rPr>
          <w:rFonts w:eastAsia="Times New Roman" w:cs="Times New Roman"/>
          <w:szCs w:val="18"/>
          <w:lang w:eastAsia="en-AU"/>
        </w:rPr>
        <w:t>roup</w:t>
      </w:r>
      <w:r w:rsidR="0066252C">
        <w:rPr>
          <w:rFonts w:eastAsia="Times New Roman" w:cs="Times New Roman"/>
          <w:szCs w:val="18"/>
          <w:lang w:eastAsia="en-AU"/>
        </w:rPr>
        <w:t xml:space="preserve">. In 2023, the focus of this group was </w:t>
      </w:r>
      <w:r w:rsidR="00E130B0">
        <w:rPr>
          <w:rFonts w:eastAsia="Times New Roman" w:cs="Times New Roman"/>
          <w:szCs w:val="18"/>
          <w:lang w:eastAsia="en-AU"/>
        </w:rPr>
        <w:t xml:space="preserve">on </w:t>
      </w:r>
      <w:r w:rsidR="00923BC9">
        <w:rPr>
          <w:rFonts w:eastAsia="Times New Roman" w:cs="Times New Roman"/>
          <w:szCs w:val="18"/>
          <w:lang w:eastAsia="en-AU"/>
        </w:rPr>
        <w:t xml:space="preserve">a </w:t>
      </w:r>
      <w:r w:rsidR="00E130B0">
        <w:rPr>
          <w:rFonts w:eastAsia="Times New Roman" w:cs="Times New Roman"/>
          <w:szCs w:val="18"/>
          <w:lang w:eastAsia="en-AU"/>
        </w:rPr>
        <w:t xml:space="preserve">new </w:t>
      </w:r>
      <w:r w:rsidR="00923BC9">
        <w:rPr>
          <w:rFonts w:eastAsia="Times New Roman" w:cs="Times New Roman"/>
          <w:szCs w:val="18"/>
          <w:lang w:eastAsia="en-AU"/>
        </w:rPr>
        <w:t>collaborative body that aims to provide broad practical guidelines and supporting materials for healthcare workers on the implementation and use of AI in clinical practice</w:t>
      </w:r>
      <w:r w:rsidR="00E130B0">
        <w:rPr>
          <w:rFonts w:eastAsia="Times New Roman" w:cs="Times New Roman"/>
          <w:szCs w:val="18"/>
          <w:lang w:eastAsia="en-AU"/>
        </w:rPr>
        <w:t>, and a Continued Workshop Program providing guidance to medical physicists on the development and use of AI tools</w:t>
      </w:r>
      <w:r w:rsidR="00923BC9">
        <w:rPr>
          <w:rFonts w:eastAsia="Times New Roman" w:cs="Times New Roman"/>
          <w:szCs w:val="18"/>
          <w:lang w:eastAsia="en-AU"/>
        </w:rPr>
        <w:t>.</w:t>
      </w:r>
      <w:r w:rsidR="0047015E">
        <w:rPr>
          <w:rFonts w:eastAsia="Times New Roman" w:cs="Times New Roman"/>
          <w:szCs w:val="18"/>
          <w:lang w:eastAsia="en-AU"/>
        </w:rPr>
        <w:t xml:space="preserve"> This includes recommending training materials on AI for TEAP trainees and supporting </w:t>
      </w:r>
      <w:r w:rsidR="00DE50C5">
        <w:rPr>
          <w:rFonts w:eastAsia="Times New Roman" w:cs="Times New Roman"/>
          <w:szCs w:val="18"/>
          <w:lang w:eastAsia="en-AU"/>
        </w:rPr>
        <w:t>S</w:t>
      </w:r>
      <w:r w:rsidR="0047015E">
        <w:rPr>
          <w:rFonts w:eastAsia="Times New Roman" w:cs="Times New Roman"/>
          <w:szCs w:val="18"/>
          <w:lang w:eastAsia="en-AU"/>
        </w:rPr>
        <w:t>upervisors.</w:t>
      </w:r>
      <w:r w:rsidR="000B6E08">
        <w:rPr>
          <w:rFonts w:eastAsia="Times New Roman" w:cs="Times New Roman"/>
          <w:szCs w:val="18"/>
          <w:lang w:eastAsia="en-AU"/>
        </w:rPr>
        <w:t xml:space="preserve"> </w:t>
      </w:r>
    </w:p>
    <w:p w14:paraId="1651EC62" w14:textId="3151DE95" w:rsidR="004B00E1" w:rsidRDefault="002C62D5" w:rsidP="000B6E08">
      <w:pPr>
        <w:spacing w:before="180"/>
        <w:rPr>
          <w:rFonts w:eastAsia="Times New Roman" w:cs="Times New Roman"/>
          <w:szCs w:val="18"/>
          <w:lang w:eastAsia="en-AU"/>
        </w:rPr>
      </w:pPr>
      <w:r>
        <w:rPr>
          <w:rFonts w:eastAsia="Times New Roman" w:cs="Times New Roman"/>
          <w:szCs w:val="18"/>
          <w:lang w:eastAsia="en-AU"/>
        </w:rPr>
        <w:t>ACPSEM</w:t>
      </w:r>
      <w:r w:rsidR="004B00E1">
        <w:rPr>
          <w:rFonts w:eastAsia="Times New Roman" w:cs="Times New Roman"/>
          <w:szCs w:val="18"/>
          <w:lang w:eastAsia="en-AU"/>
        </w:rPr>
        <w:t xml:space="preserve"> also receives funding for Learning </w:t>
      </w:r>
      <w:r w:rsidR="00454654">
        <w:rPr>
          <w:rFonts w:eastAsia="Times New Roman" w:cs="Times New Roman"/>
          <w:szCs w:val="18"/>
          <w:lang w:eastAsia="en-AU"/>
        </w:rPr>
        <w:t xml:space="preserve">Management activities, such as </w:t>
      </w:r>
      <w:r w:rsidR="00EC14D1">
        <w:rPr>
          <w:rFonts w:eastAsia="Times New Roman" w:cs="Times New Roman"/>
          <w:szCs w:val="18"/>
          <w:lang w:eastAsia="en-AU"/>
        </w:rPr>
        <w:t xml:space="preserve">developing post-TEAP Advanced Brachytherapy certification, piloting a </w:t>
      </w:r>
      <w:r w:rsidR="00B9512C">
        <w:rPr>
          <w:rFonts w:eastAsia="Times New Roman" w:cs="Times New Roman"/>
          <w:szCs w:val="18"/>
          <w:lang w:eastAsia="en-AU"/>
        </w:rPr>
        <w:t>certification</w:t>
      </w:r>
      <w:r w:rsidR="00EC14D1">
        <w:rPr>
          <w:rFonts w:eastAsia="Times New Roman" w:cs="Times New Roman"/>
          <w:szCs w:val="18"/>
          <w:lang w:eastAsia="en-AU"/>
        </w:rPr>
        <w:t>/registration/CPD audit process, and implementing Particle Therapy Level 2.</w:t>
      </w:r>
    </w:p>
    <w:p w14:paraId="137A624C" w14:textId="3E3A0138" w:rsidR="009F6A0A" w:rsidRPr="00D001A9" w:rsidRDefault="007910E4" w:rsidP="006E71A4">
      <w:pPr>
        <w:pStyle w:val="Heading4"/>
      </w:pPr>
      <w:r>
        <w:t>Developing workforce maturity and recognition</w:t>
      </w:r>
    </w:p>
    <w:p w14:paraId="1DA1C1F2" w14:textId="71F8CB0C" w:rsidR="00FA4105" w:rsidRDefault="001474BD" w:rsidP="008501E7">
      <w:pPr>
        <w:pStyle w:val="BodyText"/>
        <w:rPr>
          <w:rFonts w:eastAsia="Calibri" w:cs="Arial"/>
          <w:szCs w:val="20"/>
        </w:rPr>
      </w:pPr>
      <w:r>
        <w:t xml:space="preserve">The limited professional recognition of the medical physicist and </w:t>
      </w:r>
      <w:r w:rsidR="005313FD">
        <w:t>RPS</w:t>
      </w:r>
      <w:r>
        <w:t xml:space="preserve"> workforce in Australia is </w:t>
      </w:r>
      <w:r w:rsidR="000F6761">
        <w:t xml:space="preserve">detailed </w:t>
      </w:r>
      <w:r w:rsidR="001D2DD6">
        <w:t>in Section</w:t>
      </w:r>
      <w:r w:rsidR="0086463F">
        <w:t xml:space="preserve"> </w:t>
      </w:r>
      <w:r w:rsidR="0086463F">
        <w:fldChar w:fldCharType="begin" w:fldLock="1"/>
      </w:r>
      <w:r w:rsidR="0086463F">
        <w:instrText xml:space="preserve"> REF _Ref181946599 \r \h </w:instrText>
      </w:r>
      <w:r w:rsidR="0086463F">
        <w:fldChar w:fldCharType="separate"/>
      </w:r>
      <w:r w:rsidR="0086463F">
        <w:rPr>
          <w:cs/>
        </w:rPr>
        <w:t>‎</w:t>
      </w:r>
      <w:r w:rsidR="0086463F">
        <w:t>3.1.6</w:t>
      </w:r>
      <w:r w:rsidR="0086463F">
        <w:fldChar w:fldCharType="end"/>
      </w:r>
      <w:r w:rsidR="00B6085B">
        <w:t xml:space="preserve">). </w:t>
      </w:r>
      <w:r w:rsidR="000C12B4">
        <w:t xml:space="preserve">Although this </w:t>
      </w:r>
      <w:r w:rsidR="00333964">
        <w:t>issue poses a barrier to workforce development, i</w:t>
      </w:r>
      <w:r w:rsidR="00A149DB">
        <w:t xml:space="preserve">nternational literature indicates that </w:t>
      </w:r>
      <w:r w:rsidR="00AC34BF">
        <w:t xml:space="preserve">the </w:t>
      </w:r>
      <w:r w:rsidR="00A53C57">
        <w:t xml:space="preserve">training and </w:t>
      </w:r>
      <w:r w:rsidR="00AC34BF">
        <w:t>certification of medical physicists</w:t>
      </w:r>
      <w:r w:rsidR="004B2420">
        <w:t xml:space="preserve"> is a</w:t>
      </w:r>
      <w:r w:rsidR="00495ADB">
        <w:t>n important</w:t>
      </w:r>
      <w:r w:rsidR="004B2420">
        <w:t xml:space="preserve"> process that helps to support recognition of professionals b</w:t>
      </w:r>
      <w:r w:rsidR="003E69B7">
        <w:t>y</w:t>
      </w:r>
      <w:r w:rsidR="004B2420">
        <w:t xml:space="preserve"> maintaining best practice and standardising quality across the profession.</w:t>
      </w:r>
      <w:r w:rsidR="004D2516" w:rsidRPr="004D2516">
        <w:rPr>
          <w:vertAlign w:val="superscript"/>
        </w:rPr>
        <w:fldChar w:fldCharType="begin"/>
      </w:r>
      <w:r w:rsidR="004D2516" w:rsidRPr="004D2516">
        <w:rPr>
          <w:vertAlign w:val="superscript"/>
        </w:rPr>
        <w:instrText xml:space="preserve"> NOTEREF _Ref181781534 \h </w:instrText>
      </w:r>
      <w:r w:rsidR="004D2516">
        <w:rPr>
          <w:vertAlign w:val="superscript"/>
        </w:rPr>
        <w:instrText xml:space="preserve"> \* MERGEFORMAT </w:instrText>
      </w:r>
      <w:r w:rsidR="004D2516" w:rsidRPr="004D2516">
        <w:rPr>
          <w:vertAlign w:val="superscript"/>
        </w:rPr>
      </w:r>
      <w:r w:rsidR="004D2516" w:rsidRPr="004D2516">
        <w:rPr>
          <w:vertAlign w:val="superscript"/>
        </w:rPr>
        <w:fldChar w:fldCharType="separate"/>
      </w:r>
      <w:r w:rsidR="005F7EBC">
        <w:rPr>
          <w:vertAlign w:val="superscript"/>
        </w:rPr>
        <w:t>30</w:t>
      </w:r>
      <w:r w:rsidR="004D2516" w:rsidRPr="004D2516">
        <w:rPr>
          <w:vertAlign w:val="superscript"/>
        </w:rPr>
        <w:fldChar w:fldCharType="end"/>
      </w:r>
      <w:r w:rsidR="006C1051">
        <w:rPr>
          <w:vertAlign w:val="superscript"/>
        </w:rPr>
        <w:t xml:space="preserve">, </w:t>
      </w:r>
      <w:r w:rsidR="001D1A3C">
        <w:rPr>
          <w:rFonts w:ascii="ZWAdobeF" w:hAnsi="ZWAdobeF" w:cs="ZWAdobeF"/>
          <w:sz w:val="2"/>
          <w:szCs w:val="2"/>
        </w:rPr>
        <w:t>50F</w:t>
      </w:r>
      <w:r w:rsidR="005F7EBC">
        <w:rPr>
          <w:rFonts w:ascii="ZWAdobeF" w:hAnsi="ZWAdobeF" w:cs="ZWAdobeF"/>
          <w:sz w:val="2"/>
          <w:szCs w:val="2"/>
        </w:rPr>
        <w:t>62F</w:t>
      </w:r>
      <w:r w:rsidR="006C1051">
        <w:rPr>
          <w:rStyle w:val="FootnoteReference"/>
        </w:rPr>
        <w:footnoteReference w:id="64"/>
      </w:r>
      <w:r w:rsidR="006815A4">
        <w:rPr>
          <w:vertAlign w:val="superscript"/>
        </w:rPr>
        <w:t xml:space="preserve">, </w:t>
      </w:r>
      <w:bookmarkStart w:id="115" w:name="_Ref181782961"/>
      <w:r w:rsidR="001D1A3C">
        <w:rPr>
          <w:rFonts w:ascii="ZWAdobeF" w:hAnsi="ZWAdobeF" w:cs="ZWAdobeF"/>
          <w:sz w:val="2"/>
          <w:szCs w:val="2"/>
        </w:rPr>
        <w:t>51F</w:t>
      </w:r>
      <w:r w:rsidR="005F7EBC">
        <w:rPr>
          <w:rFonts w:ascii="ZWAdobeF" w:hAnsi="ZWAdobeF" w:cs="ZWAdobeF"/>
          <w:sz w:val="2"/>
          <w:szCs w:val="2"/>
        </w:rPr>
        <w:t>63F</w:t>
      </w:r>
      <w:r w:rsidR="006815A4">
        <w:rPr>
          <w:rStyle w:val="FootnoteReference"/>
        </w:rPr>
        <w:footnoteReference w:id="65"/>
      </w:r>
      <w:bookmarkEnd w:id="115"/>
      <w:r w:rsidR="00656073">
        <w:rPr>
          <w:rFonts w:eastAsia="Times New Roman" w:cs="Times New Roman"/>
          <w:szCs w:val="18"/>
          <w:lang w:eastAsia="en-AU"/>
        </w:rPr>
        <w:t xml:space="preserve"> </w:t>
      </w:r>
      <w:r w:rsidR="003878FB">
        <w:rPr>
          <w:rFonts w:eastAsia="Times New Roman" w:cs="Times New Roman"/>
          <w:szCs w:val="18"/>
          <w:lang w:eastAsia="en-AU"/>
        </w:rPr>
        <w:t xml:space="preserve">Literature also points to the importance of defining </w:t>
      </w:r>
      <w:r w:rsidR="00D750CF">
        <w:rPr>
          <w:rFonts w:eastAsia="Times New Roman" w:cs="Times New Roman"/>
          <w:szCs w:val="18"/>
          <w:lang w:eastAsia="en-AU"/>
        </w:rPr>
        <w:t xml:space="preserve">roles and responsibilities of medical physicists to ensure that </w:t>
      </w:r>
      <w:r w:rsidR="00080BB5" w:rsidRPr="00DA7068">
        <w:rPr>
          <w:rFonts w:eastAsia="Calibri" w:cs="Arial"/>
          <w:szCs w:val="20"/>
        </w:rPr>
        <w:t xml:space="preserve">medical physics aspects of therapeutic and diagnostic procedures, including patient and equipment related tasks and activities, are performed by </w:t>
      </w:r>
      <w:r w:rsidR="00080BB5">
        <w:rPr>
          <w:rFonts w:eastAsia="Calibri" w:cs="Arial"/>
          <w:szCs w:val="20"/>
        </w:rPr>
        <w:t>CQMPs</w:t>
      </w:r>
      <w:r w:rsidR="00080BB5" w:rsidRPr="00DA7068">
        <w:rPr>
          <w:rFonts w:eastAsia="Calibri" w:cs="Arial"/>
          <w:szCs w:val="20"/>
        </w:rPr>
        <w:t xml:space="preserve"> or under their supervision</w:t>
      </w:r>
      <w:r w:rsidR="00080BB5">
        <w:rPr>
          <w:rFonts w:eastAsia="Calibri" w:cs="Arial"/>
          <w:szCs w:val="20"/>
        </w:rPr>
        <w:t>.</w:t>
      </w:r>
      <w:r w:rsidR="00080BB5" w:rsidRPr="00080BB5">
        <w:rPr>
          <w:rFonts w:eastAsia="Calibri" w:cs="Arial"/>
          <w:szCs w:val="20"/>
          <w:vertAlign w:val="superscript"/>
        </w:rPr>
        <w:fldChar w:fldCharType="begin"/>
      </w:r>
      <w:r w:rsidR="00080BB5" w:rsidRPr="00080BB5">
        <w:rPr>
          <w:rFonts w:eastAsia="Calibri" w:cs="Arial"/>
          <w:szCs w:val="20"/>
          <w:vertAlign w:val="superscript"/>
        </w:rPr>
        <w:instrText xml:space="preserve"> NOTEREF _Ref181782961 \h </w:instrText>
      </w:r>
      <w:r w:rsidR="00080BB5">
        <w:rPr>
          <w:rFonts w:eastAsia="Calibri" w:cs="Arial"/>
          <w:szCs w:val="20"/>
          <w:vertAlign w:val="superscript"/>
        </w:rPr>
        <w:instrText xml:space="preserve"> \* MERGEFORMAT </w:instrText>
      </w:r>
      <w:r w:rsidR="00080BB5" w:rsidRPr="00080BB5">
        <w:rPr>
          <w:rFonts w:eastAsia="Calibri" w:cs="Arial"/>
          <w:szCs w:val="20"/>
          <w:vertAlign w:val="superscript"/>
        </w:rPr>
      </w:r>
      <w:r w:rsidR="00080BB5" w:rsidRPr="00080BB5">
        <w:rPr>
          <w:rFonts w:eastAsia="Calibri" w:cs="Arial"/>
          <w:szCs w:val="20"/>
          <w:vertAlign w:val="superscript"/>
        </w:rPr>
        <w:fldChar w:fldCharType="separate"/>
      </w:r>
      <w:r w:rsidR="005F7EBC">
        <w:rPr>
          <w:rFonts w:eastAsia="Calibri" w:cs="Arial"/>
          <w:szCs w:val="20"/>
          <w:vertAlign w:val="superscript"/>
        </w:rPr>
        <w:t>64</w:t>
      </w:r>
      <w:r w:rsidR="00080BB5" w:rsidRPr="00080BB5">
        <w:rPr>
          <w:rFonts w:eastAsia="Calibri" w:cs="Arial"/>
          <w:szCs w:val="20"/>
          <w:vertAlign w:val="superscript"/>
        </w:rPr>
        <w:fldChar w:fldCharType="end"/>
      </w:r>
      <w:r w:rsidR="00080BB5">
        <w:rPr>
          <w:rFonts w:eastAsia="Calibri" w:cs="Arial"/>
          <w:szCs w:val="20"/>
        </w:rPr>
        <w:t xml:space="preserve"> </w:t>
      </w:r>
      <w:r w:rsidR="0098551B">
        <w:rPr>
          <w:rFonts w:eastAsia="Calibri" w:cs="Arial"/>
          <w:szCs w:val="20"/>
        </w:rPr>
        <w:t>The IAEA specifies that a Professional Body should set professional standards required to define competency</w:t>
      </w:r>
      <w:r w:rsidR="002175D5">
        <w:rPr>
          <w:rFonts w:eastAsia="Calibri" w:cs="Arial"/>
          <w:szCs w:val="20"/>
        </w:rPr>
        <w:t xml:space="preserve"> in medical physics</w:t>
      </w:r>
      <w:r w:rsidR="0098551B">
        <w:rPr>
          <w:rFonts w:eastAsia="Calibri" w:cs="Arial"/>
          <w:szCs w:val="20"/>
        </w:rPr>
        <w:t>.</w:t>
      </w:r>
      <w:r w:rsidR="00500DD8" w:rsidRPr="00194457">
        <w:rPr>
          <w:rFonts w:eastAsia="Calibri" w:cs="Arial"/>
          <w:szCs w:val="20"/>
          <w:vertAlign w:val="superscript"/>
        </w:rPr>
        <w:fldChar w:fldCharType="begin"/>
      </w:r>
      <w:r w:rsidR="00500DD8" w:rsidRPr="006B4DD2">
        <w:rPr>
          <w:rFonts w:eastAsia="Calibri" w:cs="Arial"/>
          <w:szCs w:val="20"/>
          <w:vertAlign w:val="superscript"/>
        </w:rPr>
        <w:instrText xml:space="preserve"> NOTEREF _Ref184110490 \h </w:instrText>
      </w:r>
      <w:r w:rsidR="00500DD8">
        <w:rPr>
          <w:rFonts w:eastAsia="Calibri" w:cs="Arial"/>
          <w:szCs w:val="20"/>
          <w:vertAlign w:val="superscript"/>
        </w:rPr>
        <w:instrText xml:space="preserve"> \* MERGEFORMAT </w:instrText>
      </w:r>
      <w:r w:rsidR="00500DD8" w:rsidRPr="00194457">
        <w:rPr>
          <w:rFonts w:eastAsia="Calibri" w:cs="Arial"/>
          <w:szCs w:val="20"/>
          <w:vertAlign w:val="superscript"/>
        </w:rPr>
      </w:r>
      <w:r w:rsidR="00500DD8" w:rsidRPr="00194457">
        <w:rPr>
          <w:rFonts w:eastAsia="Calibri" w:cs="Arial"/>
          <w:szCs w:val="20"/>
          <w:vertAlign w:val="superscript"/>
        </w:rPr>
        <w:fldChar w:fldCharType="separate"/>
      </w:r>
      <w:r w:rsidR="005F7EBC">
        <w:rPr>
          <w:rFonts w:eastAsia="Calibri" w:cs="Arial"/>
          <w:szCs w:val="20"/>
          <w:vertAlign w:val="superscript"/>
        </w:rPr>
        <w:t>59</w:t>
      </w:r>
      <w:r w:rsidR="00500DD8" w:rsidRPr="00194457">
        <w:rPr>
          <w:rFonts w:eastAsia="Calibri" w:cs="Arial"/>
          <w:szCs w:val="20"/>
          <w:vertAlign w:val="superscript"/>
        </w:rPr>
        <w:fldChar w:fldCharType="end"/>
      </w:r>
    </w:p>
    <w:p w14:paraId="7216F07C" w14:textId="48BD5CE0" w:rsidR="00464F68" w:rsidRPr="00713BE9" w:rsidRDefault="00150714" w:rsidP="00DC27F5">
      <w:pPr>
        <w:pStyle w:val="BodyText"/>
      </w:pPr>
      <w:r>
        <w:rPr>
          <w:rFonts w:eastAsia="Calibri" w:cs="Arial"/>
          <w:szCs w:val="20"/>
        </w:rPr>
        <w:t xml:space="preserve">In line with literature, </w:t>
      </w:r>
      <w:r w:rsidR="008A7209">
        <w:rPr>
          <w:rFonts w:eastAsia="Calibri" w:cs="Arial"/>
          <w:szCs w:val="20"/>
        </w:rPr>
        <w:t>ACPSEM</w:t>
      </w:r>
      <w:r w:rsidR="004A219B">
        <w:rPr>
          <w:rFonts w:eastAsia="Calibri" w:cs="Arial"/>
          <w:szCs w:val="20"/>
        </w:rPr>
        <w:t xml:space="preserve"> </w:t>
      </w:r>
      <w:r w:rsidR="00567516">
        <w:rPr>
          <w:rFonts w:eastAsia="Calibri" w:cs="Arial"/>
          <w:szCs w:val="20"/>
        </w:rPr>
        <w:t xml:space="preserve">receives funding through the MPS Program to </w:t>
      </w:r>
      <w:r w:rsidR="00C47465">
        <w:rPr>
          <w:rFonts w:eastAsia="Calibri" w:cs="Arial"/>
          <w:szCs w:val="20"/>
        </w:rPr>
        <w:t xml:space="preserve">undertake </w:t>
      </w:r>
      <w:r w:rsidR="004A219B">
        <w:rPr>
          <w:rFonts w:eastAsia="Calibri" w:cs="Arial"/>
          <w:szCs w:val="20"/>
        </w:rPr>
        <w:t xml:space="preserve">activities </w:t>
      </w:r>
      <w:r w:rsidR="00170C20">
        <w:rPr>
          <w:rFonts w:eastAsia="Calibri" w:cs="Arial"/>
          <w:szCs w:val="20"/>
        </w:rPr>
        <w:t>to manage the certification of professional standards</w:t>
      </w:r>
      <w:r w:rsidR="009B2D35">
        <w:rPr>
          <w:rFonts w:eastAsia="Calibri" w:cs="Arial"/>
          <w:szCs w:val="20"/>
        </w:rPr>
        <w:t xml:space="preserve"> </w:t>
      </w:r>
      <w:r w:rsidR="00EB397F" w:rsidRPr="00EB397F">
        <w:rPr>
          <w:rFonts w:eastAsia="Calibri" w:cs="Arial"/>
          <w:szCs w:val="20"/>
        </w:rPr>
        <w:t xml:space="preserve">in radiology medical physics, nuclear medicine medical physics, </w:t>
      </w:r>
      <w:r w:rsidR="00960002">
        <w:rPr>
          <w:rFonts w:eastAsia="Calibri" w:cs="Arial"/>
          <w:szCs w:val="20"/>
        </w:rPr>
        <w:t>ROMP</w:t>
      </w:r>
      <w:r w:rsidR="00EB397F" w:rsidRPr="00EB397F">
        <w:rPr>
          <w:rFonts w:eastAsia="Calibri" w:cs="Arial"/>
          <w:szCs w:val="20"/>
        </w:rPr>
        <w:t xml:space="preserve"> and </w:t>
      </w:r>
      <w:r w:rsidR="00284009">
        <w:rPr>
          <w:rFonts w:eastAsia="Calibri" w:cs="Arial"/>
          <w:szCs w:val="20"/>
        </w:rPr>
        <w:t>RPS</w:t>
      </w:r>
      <w:r w:rsidR="009260F2">
        <w:rPr>
          <w:rFonts w:eastAsia="Calibri" w:cs="Arial"/>
          <w:szCs w:val="20"/>
        </w:rPr>
        <w:t>.</w:t>
      </w:r>
      <w:r w:rsidR="009260F2" w:rsidRPr="00F67FED">
        <w:t xml:space="preserve"> </w:t>
      </w:r>
      <w:r w:rsidR="0004226D">
        <w:t xml:space="preserve">Scopes of Practice for ROMP and </w:t>
      </w:r>
      <w:r w:rsidR="0099098B">
        <w:t>were published</w:t>
      </w:r>
      <w:r w:rsidR="0004226D">
        <w:t xml:space="preserve"> by ACPSEM in </w:t>
      </w:r>
      <w:r w:rsidR="0099098B">
        <w:t>2022</w:t>
      </w:r>
      <w:r w:rsidR="0004226D">
        <w:t>, and supplementary Scope of Practice are under development to define the medical physicist role in other areas. Other relevant activities include registration and certification management, developing CPD (such as post-TEAP Advanced Brachytherapy certification), managing the Experienced Candidate Assessment Framework, and Working Groups.</w:t>
      </w:r>
      <w:r w:rsidR="009260F2" w:rsidDel="008D0810">
        <w:t xml:space="preserve"> </w:t>
      </w:r>
      <w:r w:rsidR="007C14B6" w:rsidRPr="00D776B0">
        <w:rPr>
          <w:rFonts w:eastAsia="Calibri" w:cs="Arial"/>
          <w:szCs w:val="20"/>
        </w:rPr>
        <w:t>In consultation, ACPSEM advised that the new TEAP curriculum is aiming to build communication and advocacy</w:t>
      </w:r>
      <w:r w:rsidR="007C14B6">
        <w:rPr>
          <w:rFonts w:eastAsia="Calibri" w:cs="Arial"/>
          <w:szCs w:val="20"/>
        </w:rPr>
        <w:t xml:space="preserve"> to support medical physicists to self-advocate.</w:t>
      </w:r>
    </w:p>
    <w:p w14:paraId="5EB2FE96" w14:textId="48F9120D" w:rsidR="009A12C8" w:rsidRPr="00AE349D" w:rsidRDefault="009A12C8" w:rsidP="00AE349D">
      <w:pPr>
        <w:pStyle w:val="Heading3"/>
      </w:pPr>
      <w:bookmarkStart w:id="116" w:name="_Ref181947110"/>
      <w:bookmarkStart w:id="117" w:name="_Toc216711587"/>
      <w:r w:rsidRPr="00AE349D">
        <w:t>Alignment</w:t>
      </w:r>
      <w:r w:rsidR="00480F03" w:rsidRPr="00AE349D">
        <w:t xml:space="preserve"> with priorities and initiatives</w:t>
      </w:r>
      <w:bookmarkEnd w:id="116"/>
      <w:bookmarkEnd w:id="117"/>
    </w:p>
    <w:p w14:paraId="5D12FB55" w14:textId="45D313F2" w:rsidR="008D59A7" w:rsidRDefault="008D59A7" w:rsidP="004F521A">
      <w:pPr>
        <w:spacing w:before="180"/>
        <w:rPr>
          <w:rFonts w:eastAsia="Times New Roman" w:cs="Times New Roman"/>
          <w:szCs w:val="18"/>
          <w:lang w:eastAsia="en-AU"/>
        </w:rPr>
      </w:pPr>
      <w:r>
        <w:rPr>
          <w:rFonts w:eastAsia="Times New Roman" w:cs="Times New Roman"/>
          <w:szCs w:val="18"/>
          <w:lang w:eastAsia="en-AU"/>
        </w:rPr>
        <w:t xml:space="preserve">There are a range of Commonwealth and State </w:t>
      </w:r>
      <w:r w:rsidR="00395FD1">
        <w:rPr>
          <w:rFonts w:eastAsia="Times New Roman" w:cs="Times New Roman"/>
          <w:szCs w:val="18"/>
          <w:lang w:eastAsia="en-AU"/>
        </w:rPr>
        <w:t>initiatives</w:t>
      </w:r>
      <w:r w:rsidR="00EC0D99">
        <w:rPr>
          <w:rFonts w:eastAsia="Times New Roman" w:cs="Times New Roman"/>
          <w:szCs w:val="18"/>
          <w:lang w:eastAsia="en-AU"/>
        </w:rPr>
        <w:t xml:space="preserve">, programs and frameworks that contribute to the training and </w:t>
      </w:r>
      <w:r w:rsidR="00A6528D">
        <w:rPr>
          <w:rFonts w:eastAsia="Times New Roman" w:cs="Times New Roman"/>
          <w:szCs w:val="18"/>
          <w:lang w:eastAsia="en-AU"/>
        </w:rPr>
        <w:t xml:space="preserve">distribution of the health and medical workforce. </w:t>
      </w:r>
      <w:r w:rsidR="00336332">
        <w:rPr>
          <w:rFonts w:eastAsia="Times New Roman" w:cs="Times New Roman"/>
          <w:szCs w:val="18"/>
          <w:lang w:eastAsia="en-AU"/>
        </w:rPr>
        <w:t xml:space="preserve">A review of this documentation </w:t>
      </w:r>
      <w:r w:rsidR="00C719E0">
        <w:rPr>
          <w:rFonts w:eastAsia="Times New Roman" w:cs="Times New Roman"/>
          <w:szCs w:val="18"/>
          <w:lang w:eastAsia="en-AU"/>
        </w:rPr>
        <w:t xml:space="preserve">highlights that there are </w:t>
      </w:r>
      <w:proofErr w:type="gramStart"/>
      <w:r w:rsidR="00C719E0">
        <w:rPr>
          <w:rFonts w:eastAsia="Times New Roman" w:cs="Times New Roman"/>
          <w:szCs w:val="18"/>
          <w:lang w:eastAsia="en-AU"/>
        </w:rPr>
        <w:t>a number of</w:t>
      </w:r>
      <w:proofErr w:type="gramEnd"/>
      <w:r w:rsidR="00C719E0">
        <w:rPr>
          <w:rFonts w:eastAsia="Times New Roman" w:cs="Times New Roman"/>
          <w:szCs w:val="18"/>
          <w:lang w:eastAsia="en-AU"/>
        </w:rPr>
        <w:t xml:space="preserve"> areas that align with the objectives of the MPS Program. </w:t>
      </w:r>
      <w:r w:rsidR="003D1B97">
        <w:rPr>
          <w:rFonts w:eastAsia="Times New Roman" w:cs="Times New Roman"/>
          <w:szCs w:val="18"/>
          <w:lang w:eastAsia="en-AU"/>
        </w:rPr>
        <w:t xml:space="preserve">It should be noted that </w:t>
      </w:r>
      <w:r w:rsidR="00630C70">
        <w:rPr>
          <w:rFonts w:eastAsia="Times New Roman" w:cs="Times New Roman"/>
          <w:szCs w:val="18"/>
          <w:lang w:eastAsia="en-AU"/>
        </w:rPr>
        <w:t xml:space="preserve">the medical physics workforce is not </w:t>
      </w:r>
      <w:r w:rsidR="007B4EBF">
        <w:rPr>
          <w:rFonts w:eastAsia="Times New Roman" w:cs="Times New Roman"/>
          <w:szCs w:val="18"/>
          <w:lang w:eastAsia="en-AU"/>
        </w:rPr>
        <w:t>a focus</w:t>
      </w:r>
      <w:r w:rsidR="00201961">
        <w:rPr>
          <w:rFonts w:eastAsia="Times New Roman" w:cs="Times New Roman"/>
          <w:szCs w:val="18"/>
          <w:lang w:eastAsia="en-AU"/>
        </w:rPr>
        <w:t xml:space="preserve">, </w:t>
      </w:r>
      <w:r w:rsidR="00934D3E">
        <w:rPr>
          <w:rFonts w:eastAsia="Times New Roman" w:cs="Times New Roman"/>
          <w:szCs w:val="18"/>
          <w:lang w:eastAsia="en-AU"/>
        </w:rPr>
        <w:t xml:space="preserve">identified as a </w:t>
      </w:r>
      <w:r w:rsidR="000442C0">
        <w:rPr>
          <w:rFonts w:eastAsia="Times New Roman" w:cs="Times New Roman"/>
          <w:szCs w:val="18"/>
          <w:lang w:eastAsia="en-AU"/>
        </w:rPr>
        <w:t>priority wor</w:t>
      </w:r>
      <w:r w:rsidR="00DD3B70">
        <w:rPr>
          <w:rFonts w:eastAsia="Times New Roman" w:cs="Times New Roman"/>
          <w:szCs w:val="18"/>
          <w:lang w:eastAsia="en-AU"/>
        </w:rPr>
        <w:t xml:space="preserve">kforce, or explicitly mentioned in any </w:t>
      </w:r>
      <w:r w:rsidR="00323C83">
        <w:rPr>
          <w:rFonts w:eastAsia="Times New Roman" w:cs="Times New Roman"/>
          <w:szCs w:val="18"/>
          <w:lang w:eastAsia="en-AU"/>
        </w:rPr>
        <w:t>workforce initiatives, programs or frameworks.</w:t>
      </w:r>
      <w:r w:rsidR="00336BD6">
        <w:rPr>
          <w:rFonts w:eastAsia="Times New Roman" w:cs="Times New Roman"/>
          <w:szCs w:val="18"/>
          <w:lang w:eastAsia="en-AU"/>
        </w:rPr>
        <w:t xml:space="preserve"> As</w:t>
      </w:r>
      <w:r w:rsidR="00F564BA">
        <w:rPr>
          <w:rFonts w:eastAsia="Times New Roman" w:cs="Times New Roman"/>
          <w:szCs w:val="18"/>
          <w:lang w:eastAsia="en-AU"/>
        </w:rPr>
        <w:t xml:space="preserve"> such, the strategies and frameworks listed below are not directly relevant to the medical physics </w:t>
      </w:r>
      <w:r w:rsidR="000510AF">
        <w:rPr>
          <w:rFonts w:eastAsia="Times New Roman" w:cs="Times New Roman"/>
          <w:szCs w:val="18"/>
          <w:lang w:eastAsia="en-AU"/>
        </w:rPr>
        <w:t>workforce</w:t>
      </w:r>
      <w:r w:rsidR="000D284B">
        <w:rPr>
          <w:rFonts w:eastAsia="Times New Roman" w:cs="Times New Roman"/>
          <w:szCs w:val="18"/>
          <w:lang w:eastAsia="en-AU"/>
        </w:rPr>
        <w:t>.</w:t>
      </w:r>
    </w:p>
    <w:p w14:paraId="3918BC07" w14:textId="2AF44FD8" w:rsidR="00052CCE" w:rsidRDefault="00052CCE" w:rsidP="004F521A">
      <w:pPr>
        <w:spacing w:before="180"/>
        <w:rPr>
          <w:rFonts w:eastAsia="Times New Roman" w:cs="Times New Roman"/>
          <w:szCs w:val="18"/>
          <w:lang w:eastAsia="en-AU"/>
        </w:rPr>
      </w:pPr>
      <w:r>
        <w:rPr>
          <w:rFonts w:eastAsia="Times New Roman" w:cs="Times New Roman"/>
          <w:szCs w:val="18"/>
          <w:lang w:eastAsia="en-AU"/>
        </w:rPr>
        <w:t>As described above, the objectives of the MPS Program are:</w:t>
      </w:r>
    </w:p>
    <w:p w14:paraId="1F4123EF" w14:textId="77F1CFEA" w:rsidR="00052CCE" w:rsidRPr="00052CCE" w:rsidRDefault="00052CCE" w:rsidP="00584EC6">
      <w:pPr>
        <w:pStyle w:val="BodyText"/>
        <w:numPr>
          <w:ilvl w:val="0"/>
          <w:numId w:val="55"/>
        </w:numPr>
      </w:pPr>
      <w:r w:rsidRPr="00052CCE">
        <w:t>To support the training, certification</w:t>
      </w:r>
      <w:r w:rsidR="00A20CC4">
        <w:t>, education</w:t>
      </w:r>
      <w:r w:rsidRPr="00052CCE">
        <w:t xml:space="preserve"> and assessment of medical physicists (including RPSs) and associated </w:t>
      </w:r>
      <w:proofErr w:type="gramStart"/>
      <w:r w:rsidRPr="00052CCE">
        <w:t>activities;</w:t>
      </w:r>
      <w:proofErr w:type="gramEnd"/>
      <w:r w:rsidRPr="00052CCE">
        <w:t xml:space="preserve"> </w:t>
      </w:r>
    </w:p>
    <w:p w14:paraId="210C46B1" w14:textId="763273FE" w:rsidR="00052CCE" w:rsidRPr="00052CCE" w:rsidRDefault="00052CCE" w:rsidP="00584EC6">
      <w:pPr>
        <w:pStyle w:val="BodyText"/>
        <w:numPr>
          <w:ilvl w:val="0"/>
          <w:numId w:val="55"/>
        </w:numPr>
      </w:pPr>
      <w:r w:rsidRPr="00052CCE">
        <w:t xml:space="preserve">Provide profession-led, competitive funding support for Trainees, paid to facilities employing the Trainee and for associated activities including the most efficient and equitable way to allocate such payments; and </w:t>
      </w:r>
    </w:p>
    <w:p w14:paraId="6F00B6FC" w14:textId="77777777" w:rsidR="00052CCE" w:rsidRPr="00052CCE" w:rsidRDefault="00052CCE" w:rsidP="00584EC6">
      <w:pPr>
        <w:pStyle w:val="BodyText"/>
        <w:numPr>
          <w:ilvl w:val="0"/>
          <w:numId w:val="55"/>
        </w:numPr>
      </w:pPr>
      <w:r w:rsidRPr="00052CCE">
        <w:t xml:space="preserve">Support training and innovation which encourage optimal distribution of the medical physicist and RPS workforce.  </w:t>
      </w:r>
    </w:p>
    <w:p w14:paraId="2097145C" w14:textId="5AB1B78B" w:rsidR="00743018" w:rsidRDefault="00362F56" w:rsidP="004F521A">
      <w:pPr>
        <w:spacing w:before="180"/>
        <w:rPr>
          <w:rFonts w:eastAsia="Times New Roman" w:cs="Times New Roman"/>
          <w:szCs w:val="18"/>
          <w:lang w:eastAsia="en-AU"/>
        </w:rPr>
      </w:pPr>
      <w:r>
        <w:rPr>
          <w:rFonts w:eastAsia="Times New Roman" w:cs="Times New Roman"/>
          <w:szCs w:val="18"/>
          <w:lang w:eastAsia="en-AU"/>
        </w:rPr>
        <w:fldChar w:fldCharType="begin" w:fldLock="1"/>
      </w:r>
      <w:r>
        <w:rPr>
          <w:rFonts w:eastAsia="Times New Roman" w:cs="Times New Roman"/>
          <w:szCs w:val="18"/>
          <w:lang w:eastAsia="en-AU"/>
        </w:rPr>
        <w:instrText xml:space="preserve"> REF _Ref182580921 \h </w:instrText>
      </w:r>
      <w:r w:rsidR="004214EC">
        <w:rPr>
          <w:rFonts w:eastAsia="Times New Roman" w:cs="Times New Roman"/>
          <w:szCs w:val="18"/>
          <w:lang w:eastAsia="en-AU"/>
        </w:rPr>
        <w:instrText xml:space="preserve"> \* MERGEFORMAT </w:instrText>
      </w:r>
      <w:r>
        <w:rPr>
          <w:rFonts w:eastAsia="Times New Roman" w:cs="Times New Roman"/>
          <w:szCs w:val="18"/>
          <w:lang w:eastAsia="en-AU"/>
        </w:rPr>
      </w:r>
      <w:r>
        <w:rPr>
          <w:rFonts w:eastAsia="Times New Roman" w:cs="Times New Roman"/>
          <w:szCs w:val="18"/>
          <w:lang w:eastAsia="en-AU"/>
        </w:rPr>
        <w:fldChar w:fldCharType="separate"/>
      </w:r>
      <w:r w:rsidR="00D35A75" w:rsidRPr="00D35A75">
        <w:rPr>
          <w:rFonts w:eastAsia="Times New Roman" w:cs="Times New Roman"/>
          <w:szCs w:val="18"/>
          <w:lang w:eastAsia="en-AU"/>
        </w:rPr>
        <w:t>Table 7</w:t>
      </w:r>
      <w:r>
        <w:rPr>
          <w:rFonts w:eastAsia="Times New Roman" w:cs="Times New Roman"/>
          <w:szCs w:val="18"/>
          <w:lang w:eastAsia="en-AU"/>
        </w:rPr>
        <w:fldChar w:fldCharType="end"/>
      </w:r>
      <w:r>
        <w:rPr>
          <w:rFonts w:eastAsia="Times New Roman" w:cs="Times New Roman"/>
          <w:szCs w:val="18"/>
          <w:lang w:eastAsia="en-AU"/>
        </w:rPr>
        <w:t xml:space="preserve"> </w:t>
      </w:r>
      <w:r w:rsidR="0009186E">
        <w:rPr>
          <w:rFonts w:eastAsia="Times New Roman" w:cs="Times New Roman"/>
          <w:szCs w:val="18"/>
          <w:lang w:eastAsia="en-AU"/>
        </w:rPr>
        <w:t>below illustrates where the MPS Program</w:t>
      </w:r>
      <w:r w:rsidR="00052CCE">
        <w:rPr>
          <w:rFonts w:eastAsia="Times New Roman" w:cs="Times New Roman"/>
          <w:szCs w:val="18"/>
          <w:lang w:eastAsia="en-AU"/>
        </w:rPr>
        <w:t xml:space="preserve"> objectives</w:t>
      </w:r>
      <w:r w:rsidR="0009186E">
        <w:rPr>
          <w:rFonts w:eastAsia="Times New Roman" w:cs="Times New Roman"/>
          <w:szCs w:val="18"/>
          <w:lang w:eastAsia="en-AU"/>
        </w:rPr>
        <w:t xml:space="preserve"> align with the broader </w:t>
      </w:r>
      <w:r w:rsidR="008A7906">
        <w:rPr>
          <w:rFonts w:eastAsia="Times New Roman" w:cs="Times New Roman"/>
          <w:szCs w:val="18"/>
          <w:lang w:eastAsia="en-AU"/>
        </w:rPr>
        <w:t>workforce initiatives at both the Commonwealth and State levels.</w:t>
      </w:r>
    </w:p>
    <w:p w14:paraId="16821D21" w14:textId="5BCADC1B" w:rsidR="007E76AD" w:rsidRDefault="007E76AD" w:rsidP="00DC27F5">
      <w:pPr>
        <w:pStyle w:val="Caption"/>
        <w:rPr>
          <w:szCs w:val="18"/>
        </w:rPr>
      </w:pPr>
      <w:bookmarkStart w:id="118" w:name="_Ref182580921"/>
      <w:r>
        <w:t xml:space="preserve">Table </w:t>
      </w:r>
      <w:r>
        <w:fldChar w:fldCharType="begin"/>
      </w:r>
      <w:r>
        <w:instrText xml:space="preserve"> SEQ Table \* ARABIC </w:instrText>
      </w:r>
      <w:r>
        <w:fldChar w:fldCharType="separate"/>
      </w:r>
      <w:r w:rsidR="005F7EBC">
        <w:rPr>
          <w:noProof/>
        </w:rPr>
        <w:t>7</w:t>
      </w:r>
      <w:r>
        <w:fldChar w:fldCharType="end"/>
      </w:r>
      <w:bookmarkEnd w:id="118"/>
      <w:r>
        <w:t xml:space="preserve">: Alignment </w:t>
      </w:r>
      <w:r w:rsidR="00AA5F79">
        <w:t>between Commonwealth and State workforce initiatives and</w:t>
      </w:r>
      <w:r>
        <w:t xml:space="preserve"> MPS </w:t>
      </w:r>
      <w:r w:rsidR="00AA5F79">
        <w:t>Program Objectives</w:t>
      </w:r>
    </w:p>
    <w:tbl>
      <w:tblPr>
        <w:tblStyle w:val="GridTable1Light-Accent1"/>
        <w:tblW w:w="0" w:type="auto"/>
        <w:tblLook w:val="04A0" w:firstRow="1" w:lastRow="0" w:firstColumn="1" w:lastColumn="0" w:noHBand="0" w:noVBand="1"/>
      </w:tblPr>
      <w:tblGrid>
        <w:gridCol w:w="2694"/>
        <w:gridCol w:w="2268"/>
        <w:gridCol w:w="2268"/>
        <w:gridCol w:w="2268"/>
      </w:tblGrid>
      <w:tr w:rsidR="0021156E" w14:paraId="70FC0B96" w14:textId="77777777" w:rsidTr="00F71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nil"/>
              <w:left w:val="nil"/>
            </w:tcBorders>
            <w:shd w:val="clear" w:color="auto" w:fill="F1F4FE"/>
          </w:tcPr>
          <w:p w14:paraId="3A669726" w14:textId="77777777" w:rsidR="0021156E" w:rsidRDefault="0021156E">
            <w:pPr>
              <w:pStyle w:val="BodyText"/>
            </w:pPr>
            <w:r>
              <w:t>Commonwealth and state/territory strategies</w:t>
            </w:r>
          </w:p>
        </w:tc>
        <w:tc>
          <w:tcPr>
            <w:tcW w:w="6804" w:type="dxa"/>
            <w:gridSpan w:val="3"/>
            <w:tcBorders>
              <w:top w:val="nil"/>
              <w:bottom w:val="nil"/>
              <w:right w:val="nil"/>
            </w:tcBorders>
          </w:tcPr>
          <w:p w14:paraId="0CC15C3B" w14:textId="77777777" w:rsidR="0021156E" w:rsidRDefault="0021156E">
            <w:pPr>
              <w:pStyle w:val="BodyText"/>
              <w:jc w:val="center"/>
              <w:cnfStyle w:val="100000000000" w:firstRow="1" w:lastRow="0" w:firstColumn="0" w:lastColumn="0" w:oddVBand="0" w:evenVBand="0" w:oddHBand="0" w:evenHBand="0" w:firstRowFirstColumn="0" w:firstRowLastColumn="0" w:lastRowFirstColumn="0" w:lastRowLastColumn="0"/>
            </w:pPr>
            <w:r>
              <w:t>MPS Program Objectives</w:t>
            </w:r>
          </w:p>
        </w:tc>
      </w:tr>
      <w:tr w:rsidR="0021156E" w14:paraId="1029694C" w14:textId="77777777" w:rsidTr="00F71EAF">
        <w:tc>
          <w:tcPr>
            <w:cnfStyle w:val="001000000000" w:firstRow="0" w:lastRow="0" w:firstColumn="1" w:lastColumn="0" w:oddVBand="0" w:evenVBand="0" w:oddHBand="0" w:evenHBand="0" w:firstRowFirstColumn="0" w:firstRowLastColumn="0" w:lastRowFirstColumn="0" w:lastRowLastColumn="0"/>
            <w:tcW w:w="2694" w:type="dxa"/>
            <w:vMerge/>
            <w:tcBorders>
              <w:left w:val="nil"/>
              <w:bottom w:val="single" w:sz="12" w:space="0" w:color="1E49E2" w:themeColor="accent2"/>
            </w:tcBorders>
            <w:shd w:val="clear" w:color="auto" w:fill="F1F4FE"/>
          </w:tcPr>
          <w:p w14:paraId="105576A0" w14:textId="77777777" w:rsidR="0021156E" w:rsidRPr="000F42F2" w:rsidRDefault="0021156E">
            <w:pPr>
              <w:pStyle w:val="BodyText"/>
              <w:rPr>
                <w:color w:val="1E49E2" w:themeColor="accent2"/>
              </w:rPr>
            </w:pPr>
          </w:p>
        </w:tc>
        <w:tc>
          <w:tcPr>
            <w:tcW w:w="2268" w:type="dxa"/>
            <w:tcBorders>
              <w:top w:val="nil"/>
              <w:bottom w:val="single" w:sz="12" w:space="0" w:color="1E49E2" w:themeColor="accent2"/>
            </w:tcBorders>
          </w:tcPr>
          <w:p w14:paraId="39B498CA" w14:textId="77777777" w:rsidR="0021156E" w:rsidRPr="0021156E" w:rsidRDefault="0021156E" w:rsidP="00F71EAF">
            <w:pPr>
              <w:pStyle w:val="BodyText"/>
              <w:jc w:val="center"/>
              <w:cnfStyle w:val="000000000000" w:firstRow="0" w:lastRow="0" w:firstColumn="0" w:lastColumn="0" w:oddVBand="0" w:evenVBand="0" w:oddHBand="0" w:evenHBand="0" w:firstRowFirstColumn="0" w:firstRowLastColumn="0" w:lastRowFirstColumn="0" w:lastRowLastColumn="0"/>
              <w:rPr>
                <w:b/>
                <w:bCs/>
                <w:color w:val="1E49E2" w:themeColor="accent2"/>
              </w:rPr>
            </w:pPr>
            <w:r w:rsidRPr="0021156E">
              <w:rPr>
                <w:b/>
                <w:bCs/>
                <w:color w:val="1E49E2" w:themeColor="accent2"/>
              </w:rPr>
              <w:t>Training and assessment</w:t>
            </w:r>
          </w:p>
        </w:tc>
        <w:tc>
          <w:tcPr>
            <w:tcW w:w="2268" w:type="dxa"/>
            <w:tcBorders>
              <w:top w:val="nil"/>
              <w:bottom w:val="single" w:sz="12" w:space="0" w:color="1E49E2" w:themeColor="accent2"/>
              <w:right w:val="nil"/>
            </w:tcBorders>
          </w:tcPr>
          <w:p w14:paraId="60564DDB" w14:textId="77777777" w:rsidR="0021156E" w:rsidRPr="0021156E" w:rsidRDefault="0021156E" w:rsidP="00F71EAF">
            <w:pPr>
              <w:pStyle w:val="BodyText"/>
              <w:jc w:val="center"/>
              <w:cnfStyle w:val="000000000000" w:firstRow="0" w:lastRow="0" w:firstColumn="0" w:lastColumn="0" w:oddVBand="0" w:evenVBand="0" w:oddHBand="0" w:evenHBand="0" w:firstRowFirstColumn="0" w:firstRowLastColumn="0" w:lastRowFirstColumn="0" w:lastRowLastColumn="0"/>
              <w:rPr>
                <w:b/>
                <w:bCs/>
                <w:color w:val="1E49E2" w:themeColor="accent2"/>
              </w:rPr>
            </w:pPr>
            <w:r w:rsidRPr="0021156E">
              <w:rPr>
                <w:b/>
                <w:bCs/>
                <w:color w:val="1E49E2" w:themeColor="accent2"/>
              </w:rPr>
              <w:t>Funding for trainees</w:t>
            </w:r>
          </w:p>
        </w:tc>
        <w:tc>
          <w:tcPr>
            <w:tcW w:w="2268" w:type="dxa"/>
            <w:tcBorders>
              <w:top w:val="nil"/>
              <w:bottom w:val="single" w:sz="12" w:space="0" w:color="1E49E2" w:themeColor="accent2"/>
              <w:right w:val="nil"/>
            </w:tcBorders>
          </w:tcPr>
          <w:p w14:paraId="69F5A78B" w14:textId="77777777" w:rsidR="0021156E" w:rsidRPr="0021156E" w:rsidRDefault="0021156E" w:rsidP="00F71EAF">
            <w:pPr>
              <w:pStyle w:val="BodyText"/>
              <w:jc w:val="center"/>
              <w:cnfStyle w:val="000000000000" w:firstRow="0" w:lastRow="0" w:firstColumn="0" w:lastColumn="0" w:oddVBand="0" w:evenVBand="0" w:oddHBand="0" w:evenHBand="0" w:firstRowFirstColumn="0" w:firstRowLastColumn="0" w:lastRowFirstColumn="0" w:lastRowLastColumn="0"/>
              <w:rPr>
                <w:b/>
                <w:bCs/>
                <w:color w:val="1E49E2" w:themeColor="accent2"/>
              </w:rPr>
            </w:pPr>
            <w:r w:rsidRPr="0021156E">
              <w:rPr>
                <w:b/>
                <w:bCs/>
                <w:color w:val="1E49E2" w:themeColor="accent2"/>
              </w:rPr>
              <w:t>Distribution of the workforce</w:t>
            </w:r>
          </w:p>
        </w:tc>
      </w:tr>
      <w:tr w:rsidR="0021156E" w14:paraId="7CC87CB1" w14:textId="77777777" w:rsidTr="00F71EAF">
        <w:tc>
          <w:tcPr>
            <w:cnfStyle w:val="001000000000" w:firstRow="0" w:lastRow="0" w:firstColumn="1" w:lastColumn="0" w:oddVBand="0" w:evenVBand="0" w:oddHBand="0" w:evenHBand="0" w:firstRowFirstColumn="0" w:firstRowLastColumn="0" w:lastRowFirstColumn="0" w:lastRowLastColumn="0"/>
            <w:tcW w:w="2694" w:type="dxa"/>
            <w:tcBorders>
              <w:top w:val="single" w:sz="12" w:space="0" w:color="1E49E2" w:themeColor="accent2"/>
              <w:left w:val="nil"/>
            </w:tcBorders>
            <w:shd w:val="clear" w:color="auto" w:fill="F1F4FE"/>
          </w:tcPr>
          <w:p w14:paraId="1FB94E5F" w14:textId="77777777" w:rsidR="0021156E" w:rsidRPr="00171BC3" w:rsidRDefault="0021156E">
            <w:pPr>
              <w:pStyle w:val="BodyText"/>
              <w:rPr>
                <w:bCs w:val="0"/>
              </w:rPr>
            </w:pPr>
            <w:r w:rsidRPr="00171BC3">
              <w:rPr>
                <w:bCs w:val="0"/>
              </w:rPr>
              <w:t>Specialist Training Program</w:t>
            </w:r>
          </w:p>
        </w:tc>
        <w:tc>
          <w:tcPr>
            <w:tcW w:w="2268" w:type="dxa"/>
            <w:tcBorders>
              <w:top w:val="single" w:sz="12" w:space="0" w:color="1E49E2" w:themeColor="accent2"/>
            </w:tcBorders>
          </w:tcPr>
          <w:p w14:paraId="23004A1C"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c>
          <w:tcPr>
            <w:tcW w:w="2268" w:type="dxa"/>
            <w:tcBorders>
              <w:top w:val="single" w:sz="12" w:space="0" w:color="1E49E2" w:themeColor="accent2"/>
              <w:right w:val="nil"/>
            </w:tcBorders>
          </w:tcPr>
          <w:p w14:paraId="5D27E578"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c>
          <w:tcPr>
            <w:tcW w:w="2268" w:type="dxa"/>
            <w:tcBorders>
              <w:top w:val="single" w:sz="12" w:space="0" w:color="1E49E2" w:themeColor="accent2"/>
              <w:right w:val="nil"/>
            </w:tcBorders>
          </w:tcPr>
          <w:p w14:paraId="5E9B0981"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r>
      <w:tr w:rsidR="0021156E" w14:paraId="66C73FD2" w14:textId="77777777" w:rsidTr="00F71EAF">
        <w:tc>
          <w:tcPr>
            <w:cnfStyle w:val="001000000000" w:firstRow="0" w:lastRow="0" w:firstColumn="1" w:lastColumn="0" w:oddVBand="0" w:evenVBand="0" w:oddHBand="0" w:evenHBand="0" w:firstRowFirstColumn="0" w:firstRowLastColumn="0" w:lastRowFirstColumn="0" w:lastRowLastColumn="0"/>
            <w:tcW w:w="2694" w:type="dxa"/>
            <w:tcBorders>
              <w:left w:val="nil"/>
            </w:tcBorders>
            <w:shd w:val="clear" w:color="auto" w:fill="F1F4FE"/>
          </w:tcPr>
          <w:p w14:paraId="3264828B" w14:textId="77777777" w:rsidR="0021156E" w:rsidRPr="00171BC3" w:rsidRDefault="0021156E">
            <w:pPr>
              <w:pStyle w:val="BodyText"/>
              <w:rPr>
                <w:bCs w:val="0"/>
              </w:rPr>
            </w:pPr>
            <w:r w:rsidRPr="00171BC3">
              <w:rPr>
                <w:bCs w:val="0"/>
              </w:rPr>
              <w:t>National Medical Workforce Strategy</w:t>
            </w:r>
          </w:p>
        </w:tc>
        <w:tc>
          <w:tcPr>
            <w:tcW w:w="2268" w:type="dxa"/>
          </w:tcPr>
          <w:p w14:paraId="54F0EC3B"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c>
          <w:tcPr>
            <w:tcW w:w="2268" w:type="dxa"/>
            <w:tcBorders>
              <w:right w:val="nil"/>
            </w:tcBorders>
          </w:tcPr>
          <w:p w14:paraId="39A37631"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c>
          <w:tcPr>
            <w:tcW w:w="2268" w:type="dxa"/>
            <w:tcBorders>
              <w:right w:val="nil"/>
            </w:tcBorders>
          </w:tcPr>
          <w:p w14:paraId="4EF9F8B6"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r>
      <w:tr w:rsidR="0021156E" w14:paraId="405A1FFF" w14:textId="77777777" w:rsidTr="00F71EAF">
        <w:tc>
          <w:tcPr>
            <w:cnfStyle w:val="001000000000" w:firstRow="0" w:lastRow="0" w:firstColumn="1" w:lastColumn="0" w:oddVBand="0" w:evenVBand="0" w:oddHBand="0" w:evenHBand="0" w:firstRowFirstColumn="0" w:firstRowLastColumn="0" w:lastRowFirstColumn="0" w:lastRowLastColumn="0"/>
            <w:tcW w:w="2694" w:type="dxa"/>
            <w:tcBorders>
              <w:left w:val="nil"/>
            </w:tcBorders>
            <w:shd w:val="clear" w:color="auto" w:fill="F1F4FE"/>
          </w:tcPr>
          <w:p w14:paraId="04E8561A" w14:textId="77777777" w:rsidR="0021156E" w:rsidRPr="00171BC3" w:rsidRDefault="0021156E">
            <w:pPr>
              <w:pStyle w:val="BodyText"/>
              <w:rPr>
                <w:bCs w:val="0"/>
              </w:rPr>
            </w:pPr>
            <w:r w:rsidRPr="00171BC3">
              <w:rPr>
                <w:bCs w:val="0"/>
              </w:rPr>
              <w:t>Health Workforce Strategy for Queensland to 2032</w:t>
            </w:r>
          </w:p>
        </w:tc>
        <w:tc>
          <w:tcPr>
            <w:tcW w:w="2268" w:type="dxa"/>
          </w:tcPr>
          <w:p w14:paraId="603BCBC1"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color w:val="FFC000"/>
                <w:sz w:val="30"/>
                <w:szCs w:val="30"/>
              </w:rPr>
            </w:pPr>
            <w:r w:rsidRPr="00395D02">
              <w:rPr>
                <w:rFonts w:ascii="Wingdings 2" w:eastAsia="Wingdings 2" w:hAnsi="Wingdings 2" w:cs="Wingdings 2"/>
                <w:color w:val="388600"/>
                <w:sz w:val="30"/>
                <w:szCs w:val="30"/>
              </w:rPr>
              <w:t>□</w:t>
            </w:r>
          </w:p>
        </w:tc>
        <w:tc>
          <w:tcPr>
            <w:tcW w:w="2268" w:type="dxa"/>
            <w:tcBorders>
              <w:right w:val="nil"/>
            </w:tcBorders>
          </w:tcPr>
          <w:p w14:paraId="7104A0AC"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171BC3">
              <w:rPr>
                <w:rFonts w:ascii="Wingdings 2" w:eastAsia="Wingdings 2" w:hAnsi="Wingdings 2" w:cs="Wingdings 2"/>
                <w:color w:val="C00000"/>
                <w:sz w:val="30"/>
                <w:szCs w:val="30"/>
              </w:rPr>
              <w:t>□</w:t>
            </w:r>
          </w:p>
        </w:tc>
        <w:tc>
          <w:tcPr>
            <w:tcW w:w="2268" w:type="dxa"/>
            <w:tcBorders>
              <w:right w:val="nil"/>
            </w:tcBorders>
          </w:tcPr>
          <w:p w14:paraId="5994E676"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r>
      <w:tr w:rsidR="0021156E" w14:paraId="0EFE4EF9" w14:textId="77777777" w:rsidTr="00F71EAF">
        <w:tc>
          <w:tcPr>
            <w:cnfStyle w:val="001000000000" w:firstRow="0" w:lastRow="0" w:firstColumn="1" w:lastColumn="0" w:oddVBand="0" w:evenVBand="0" w:oddHBand="0" w:evenHBand="0" w:firstRowFirstColumn="0" w:firstRowLastColumn="0" w:lastRowFirstColumn="0" w:lastRowLastColumn="0"/>
            <w:tcW w:w="2694" w:type="dxa"/>
            <w:tcBorders>
              <w:left w:val="nil"/>
            </w:tcBorders>
            <w:shd w:val="clear" w:color="auto" w:fill="F1F4FE"/>
          </w:tcPr>
          <w:p w14:paraId="5C8A5F63" w14:textId="77777777" w:rsidR="0021156E" w:rsidRPr="00171BC3" w:rsidRDefault="0021156E">
            <w:pPr>
              <w:pStyle w:val="BodyText"/>
              <w:rPr>
                <w:bCs w:val="0"/>
              </w:rPr>
            </w:pPr>
            <w:r w:rsidRPr="00171BC3">
              <w:rPr>
                <w:bCs w:val="0"/>
              </w:rPr>
              <w:t>NSW Health Workforce Plan 2022-2032</w:t>
            </w:r>
          </w:p>
        </w:tc>
        <w:tc>
          <w:tcPr>
            <w:tcW w:w="2268" w:type="dxa"/>
          </w:tcPr>
          <w:p w14:paraId="437A4C6E" w14:textId="2D86CA51" w:rsidR="0021156E" w:rsidRPr="00171BC3" w:rsidRDefault="00395D02">
            <w:pPr>
              <w:pStyle w:val="BodyText"/>
              <w:jc w:val="center"/>
              <w:cnfStyle w:val="000000000000" w:firstRow="0" w:lastRow="0" w:firstColumn="0" w:lastColumn="0" w:oddVBand="0" w:evenVBand="0" w:oddHBand="0" w:evenHBand="0" w:firstRowFirstColumn="0" w:firstRowLastColumn="0" w:lastRowFirstColumn="0" w:lastRowLastColumn="0"/>
              <w:rPr>
                <w:color w:val="00B050"/>
                <w:sz w:val="30"/>
                <w:szCs w:val="30"/>
              </w:rPr>
            </w:pPr>
            <w:r w:rsidRPr="00395D02">
              <w:rPr>
                <w:rFonts w:ascii="Wingdings 2" w:eastAsia="Wingdings 2" w:hAnsi="Wingdings 2" w:cs="Wingdings 2"/>
                <w:color w:val="388600"/>
                <w:sz w:val="30"/>
                <w:szCs w:val="30"/>
              </w:rPr>
              <w:t>□</w:t>
            </w:r>
          </w:p>
        </w:tc>
        <w:tc>
          <w:tcPr>
            <w:tcW w:w="2268" w:type="dxa"/>
            <w:tcBorders>
              <w:right w:val="nil"/>
            </w:tcBorders>
          </w:tcPr>
          <w:p w14:paraId="45D2EE47" w14:textId="6E0973F6"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121CCB">
              <w:rPr>
                <w:rFonts w:ascii="Wingdings 2" w:eastAsia="Wingdings 2" w:hAnsi="Wingdings 2" w:cs="Wingdings 2"/>
                <w:color w:val="A66500"/>
                <w:sz w:val="30"/>
                <w:szCs w:val="30"/>
              </w:rPr>
              <w:t>□</w:t>
            </w:r>
          </w:p>
        </w:tc>
        <w:tc>
          <w:tcPr>
            <w:tcW w:w="2268" w:type="dxa"/>
            <w:tcBorders>
              <w:right w:val="nil"/>
            </w:tcBorders>
          </w:tcPr>
          <w:p w14:paraId="480BFD39"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r>
      <w:tr w:rsidR="0021156E" w14:paraId="207B86D7" w14:textId="77777777" w:rsidTr="00F71EAF">
        <w:tc>
          <w:tcPr>
            <w:cnfStyle w:val="001000000000" w:firstRow="0" w:lastRow="0" w:firstColumn="1" w:lastColumn="0" w:oddVBand="0" w:evenVBand="0" w:oddHBand="0" w:evenHBand="0" w:firstRowFirstColumn="0" w:firstRowLastColumn="0" w:lastRowFirstColumn="0" w:lastRowLastColumn="0"/>
            <w:tcW w:w="2694" w:type="dxa"/>
            <w:tcBorders>
              <w:left w:val="nil"/>
            </w:tcBorders>
            <w:shd w:val="clear" w:color="auto" w:fill="F1F4FE"/>
          </w:tcPr>
          <w:p w14:paraId="4D286313" w14:textId="77777777" w:rsidR="0021156E" w:rsidRPr="00171BC3" w:rsidRDefault="0021156E">
            <w:pPr>
              <w:pStyle w:val="BodyText"/>
              <w:rPr>
                <w:bCs w:val="0"/>
              </w:rPr>
            </w:pPr>
            <w:r w:rsidRPr="00171BC3">
              <w:rPr>
                <w:bCs w:val="0"/>
              </w:rPr>
              <w:t>Victorian Health Workforce Strategy | 10-year strategy</w:t>
            </w:r>
          </w:p>
        </w:tc>
        <w:tc>
          <w:tcPr>
            <w:tcW w:w="2268" w:type="dxa"/>
          </w:tcPr>
          <w:p w14:paraId="216DA7B8" w14:textId="1FD50F35" w:rsidR="0021156E" w:rsidRPr="00171BC3" w:rsidRDefault="00395D02">
            <w:pPr>
              <w:pStyle w:val="BodyText"/>
              <w:jc w:val="center"/>
              <w:cnfStyle w:val="000000000000" w:firstRow="0" w:lastRow="0" w:firstColumn="0" w:lastColumn="0" w:oddVBand="0" w:evenVBand="0" w:oddHBand="0" w:evenHBand="0" w:firstRowFirstColumn="0" w:firstRowLastColumn="0" w:lastRowFirstColumn="0" w:lastRowLastColumn="0"/>
              <w:rPr>
                <w:color w:val="00B050"/>
                <w:sz w:val="30"/>
                <w:szCs w:val="30"/>
              </w:rPr>
            </w:pPr>
            <w:r w:rsidRPr="00395D02">
              <w:rPr>
                <w:rFonts w:ascii="Wingdings 2" w:eastAsia="Wingdings 2" w:hAnsi="Wingdings 2" w:cs="Wingdings 2"/>
                <w:color w:val="388600"/>
                <w:sz w:val="30"/>
                <w:szCs w:val="30"/>
              </w:rPr>
              <w:t>□</w:t>
            </w:r>
          </w:p>
        </w:tc>
        <w:tc>
          <w:tcPr>
            <w:tcW w:w="2268" w:type="dxa"/>
            <w:tcBorders>
              <w:right w:val="nil"/>
            </w:tcBorders>
          </w:tcPr>
          <w:p w14:paraId="06C81331"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121CCB">
              <w:rPr>
                <w:rFonts w:ascii="Wingdings 2" w:eastAsia="Wingdings 2" w:hAnsi="Wingdings 2" w:cs="Wingdings 2"/>
                <w:color w:val="A66500"/>
                <w:sz w:val="30"/>
                <w:szCs w:val="30"/>
              </w:rPr>
              <w:t>□</w:t>
            </w:r>
          </w:p>
        </w:tc>
        <w:tc>
          <w:tcPr>
            <w:tcW w:w="2268" w:type="dxa"/>
            <w:tcBorders>
              <w:right w:val="nil"/>
            </w:tcBorders>
          </w:tcPr>
          <w:p w14:paraId="4494EE01"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r>
      <w:tr w:rsidR="0021156E" w14:paraId="6E7C985F" w14:textId="77777777" w:rsidTr="00F71EAF">
        <w:tc>
          <w:tcPr>
            <w:cnfStyle w:val="001000000000" w:firstRow="0" w:lastRow="0" w:firstColumn="1" w:lastColumn="0" w:oddVBand="0" w:evenVBand="0" w:oddHBand="0" w:evenHBand="0" w:firstRowFirstColumn="0" w:firstRowLastColumn="0" w:lastRowFirstColumn="0" w:lastRowLastColumn="0"/>
            <w:tcW w:w="2694" w:type="dxa"/>
            <w:tcBorders>
              <w:left w:val="nil"/>
            </w:tcBorders>
            <w:shd w:val="clear" w:color="auto" w:fill="F1F4FE"/>
          </w:tcPr>
          <w:p w14:paraId="3DF09DDA" w14:textId="77777777" w:rsidR="0021156E" w:rsidRPr="00171BC3" w:rsidRDefault="0021156E">
            <w:pPr>
              <w:pStyle w:val="BodyText"/>
              <w:rPr>
                <w:bCs w:val="0"/>
              </w:rPr>
            </w:pPr>
            <w:r w:rsidRPr="00171BC3">
              <w:rPr>
                <w:bCs w:val="0"/>
              </w:rPr>
              <w:t>SA Rural Allied and Scientific Health Workforce Plan 2021-26</w:t>
            </w:r>
          </w:p>
        </w:tc>
        <w:tc>
          <w:tcPr>
            <w:tcW w:w="2268" w:type="dxa"/>
          </w:tcPr>
          <w:p w14:paraId="52E4936E" w14:textId="7E3C6884" w:rsidR="0021156E" w:rsidRPr="00171BC3" w:rsidRDefault="00395D02">
            <w:pPr>
              <w:pStyle w:val="BodyText"/>
              <w:jc w:val="center"/>
              <w:cnfStyle w:val="000000000000" w:firstRow="0" w:lastRow="0" w:firstColumn="0" w:lastColumn="0" w:oddVBand="0" w:evenVBand="0" w:oddHBand="0" w:evenHBand="0" w:firstRowFirstColumn="0" w:firstRowLastColumn="0" w:lastRowFirstColumn="0" w:lastRowLastColumn="0"/>
              <w:rPr>
                <w:color w:val="00B050"/>
                <w:sz w:val="30"/>
                <w:szCs w:val="30"/>
              </w:rPr>
            </w:pPr>
            <w:r w:rsidRPr="00395D02">
              <w:rPr>
                <w:rFonts w:ascii="Wingdings 2" w:eastAsia="Wingdings 2" w:hAnsi="Wingdings 2" w:cs="Wingdings 2"/>
                <w:color w:val="388600"/>
                <w:sz w:val="30"/>
                <w:szCs w:val="30"/>
              </w:rPr>
              <w:t>□</w:t>
            </w:r>
          </w:p>
        </w:tc>
        <w:tc>
          <w:tcPr>
            <w:tcW w:w="2268" w:type="dxa"/>
            <w:tcBorders>
              <w:right w:val="nil"/>
            </w:tcBorders>
          </w:tcPr>
          <w:p w14:paraId="25F8B7A2" w14:textId="1FA23A25" w:rsidR="0021156E" w:rsidRPr="00171BC3" w:rsidRDefault="00395D02">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c>
          <w:tcPr>
            <w:tcW w:w="2268" w:type="dxa"/>
            <w:tcBorders>
              <w:right w:val="nil"/>
            </w:tcBorders>
          </w:tcPr>
          <w:p w14:paraId="51A97F11" w14:textId="0AFBED98" w:rsidR="0021156E" w:rsidRPr="00171BC3" w:rsidRDefault="00395D02">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r>
      <w:tr w:rsidR="0021156E" w14:paraId="3D2DA1BB" w14:textId="77777777" w:rsidTr="00F71EAF">
        <w:tc>
          <w:tcPr>
            <w:cnfStyle w:val="001000000000" w:firstRow="0" w:lastRow="0" w:firstColumn="1" w:lastColumn="0" w:oddVBand="0" w:evenVBand="0" w:oddHBand="0" w:evenHBand="0" w:firstRowFirstColumn="0" w:firstRowLastColumn="0" w:lastRowFirstColumn="0" w:lastRowLastColumn="0"/>
            <w:tcW w:w="2694" w:type="dxa"/>
            <w:tcBorders>
              <w:left w:val="nil"/>
              <w:bottom w:val="nil"/>
            </w:tcBorders>
            <w:shd w:val="clear" w:color="auto" w:fill="F1F4FE"/>
          </w:tcPr>
          <w:p w14:paraId="3CEE759D" w14:textId="77777777" w:rsidR="0021156E" w:rsidRPr="00171BC3" w:rsidRDefault="0021156E">
            <w:pPr>
              <w:pStyle w:val="BodyText"/>
              <w:rPr>
                <w:bCs w:val="0"/>
              </w:rPr>
            </w:pPr>
            <w:r w:rsidRPr="00171BC3">
              <w:rPr>
                <w:bCs w:val="0"/>
              </w:rPr>
              <w:t>WA Health Workforce Strategy | 2034</w:t>
            </w:r>
          </w:p>
        </w:tc>
        <w:tc>
          <w:tcPr>
            <w:tcW w:w="2268" w:type="dxa"/>
            <w:tcBorders>
              <w:bottom w:val="nil"/>
            </w:tcBorders>
          </w:tcPr>
          <w:p w14:paraId="2322E0AD" w14:textId="2B51AC52" w:rsidR="0021156E" w:rsidRPr="00171BC3" w:rsidRDefault="00395D02">
            <w:pPr>
              <w:pStyle w:val="BodyText"/>
              <w:jc w:val="center"/>
              <w:cnfStyle w:val="000000000000" w:firstRow="0" w:lastRow="0" w:firstColumn="0" w:lastColumn="0" w:oddVBand="0" w:evenVBand="0" w:oddHBand="0" w:evenHBand="0" w:firstRowFirstColumn="0" w:firstRowLastColumn="0" w:lastRowFirstColumn="0" w:lastRowLastColumn="0"/>
              <w:rPr>
                <w:color w:val="00B050"/>
                <w:sz w:val="30"/>
                <w:szCs w:val="30"/>
              </w:rPr>
            </w:pPr>
            <w:r w:rsidRPr="00395D02">
              <w:rPr>
                <w:rFonts w:ascii="Wingdings 2" w:eastAsia="Wingdings 2" w:hAnsi="Wingdings 2" w:cs="Wingdings 2"/>
                <w:color w:val="388600"/>
                <w:sz w:val="30"/>
                <w:szCs w:val="30"/>
              </w:rPr>
              <w:t>□</w:t>
            </w:r>
          </w:p>
        </w:tc>
        <w:tc>
          <w:tcPr>
            <w:tcW w:w="2268" w:type="dxa"/>
            <w:tcBorders>
              <w:bottom w:val="nil"/>
              <w:right w:val="nil"/>
            </w:tcBorders>
          </w:tcPr>
          <w:p w14:paraId="0C12221F" w14:textId="77777777" w:rsidR="0021156E" w:rsidRPr="00171BC3" w:rsidRDefault="0021156E">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171BC3">
              <w:rPr>
                <w:rFonts w:ascii="Wingdings 2" w:eastAsia="Wingdings 2" w:hAnsi="Wingdings 2" w:cs="Wingdings 2"/>
                <w:color w:val="C00000"/>
                <w:sz w:val="30"/>
                <w:szCs w:val="30"/>
              </w:rPr>
              <w:t>□</w:t>
            </w:r>
          </w:p>
        </w:tc>
        <w:tc>
          <w:tcPr>
            <w:tcW w:w="2268" w:type="dxa"/>
            <w:tcBorders>
              <w:bottom w:val="nil"/>
              <w:right w:val="nil"/>
            </w:tcBorders>
          </w:tcPr>
          <w:p w14:paraId="2EB3A780" w14:textId="505E4320" w:rsidR="0021156E" w:rsidRPr="00171BC3" w:rsidRDefault="00395D02">
            <w:pPr>
              <w:pStyle w:val="BodyText"/>
              <w:jc w:val="center"/>
              <w:cnfStyle w:val="000000000000" w:firstRow="0" w:lastRow="0" w:firstColumn="0" w:lastColumn="0" w:oddVBand="0" w:evenVBand="0" w:oddHBand="0" w:evenHBand="0" w:firstRowFirstColumn="0" w:firstRowLastColumn="0" w:lastRowFirstColumn="0" w:lastRowLastColumn="0"/>
              <w:rPr>
                <w:sz w:val="30"/>
                <w:szCs w:val="30"/>
              </w:rPr>
            </w:pPr>
            <w:r w:rsidRPr="00395D02">
              <w:rPr>
                <w:rFonts w:ascii="Wingdings 2" w:eastAsia="Wingdings 2" w:hAnsi="Wingdings 2" w:cs="Wingdings 2"/>
                <w:color w:val="388600"/>
                <w:sz w:val="30"/>
                <w:szCs w:val="30"/>
              </w:rPr>
              <w:t>□</w:t>
            </w:r>
          </w:p>
        </w:tc>
      </w:tr>
    </w:tbl>
    <w:p w14:paraId="6C2E6A99" w14:textId="09CF2B31" w:rsidR="00743018" w:rsidRPr="00F71EAF" w:rsidRDefault="0021156E" w:rsidP="00F71EAF">
      <w:pPr>
        <w:pStyle w:val="Caption"/>
        <w:rPr>
          <w:i/>
          <w:iCs/>
          <w:color w:val="C00000"/>
        </w:rPr>
      </w:pPr>
      <w:r w:rsidRPr="00C265FF">
        <w:rPr>
          <w:iCs/>
          <w:color w:val="388600"/>
        </w:rPr>
        <w:t xml:space="preserve">      </w:t>
      </w:r>
      <w:r w:rsidRPr="00C265FF">
        <w:rPr>
          <w:rFonts w:ascii="Wingdings 2" w:eastAsia="Wingdings 2" w:hAnsi="Wingdings 2" w:cs="Wingdings 2"/>
          <w:color w:val="388600"/>
        </w:rPr>
        <w:t>□</w:t>
      </w:r>
      <w:r>
        <w:rPr>
          <w:iCs/>
          <w:color w:val="C00000"/>
        </w:rPr>
        <w:t xml:space="preserve"> </w:t>
      </w:r>
      <w:r w:rsidR="00C273B2">
        <w:rPr>
          <w:iCs/>
          <w:color w:val="auto"/>
        </w:rPr>
        <w:t>Consistent</w:t>
      </w:r>
      <w:r>
        <w:rPr>
          <w:iCs/>
          <w:color w:val="C00000"/>
        </w:rPr>
        <w:t xml:space="preserve"> </w:t>
      </w:r>
      <w:r>
        <w:rPr>
          <w:iCs/>
          <w:color w:val="C00000"/>
        </w:rPr>
        <w:tab/>
      </w:r>
      <w:r w:rsidRPr="00121CCB">
        <w:rPr>
          <w:rFonts w:ascii="Wingdings 2" w:eastAsia="Wingdings 2" w:hAnsi="Wingdings 2" w:cs="Wingdings 2"/>
          <w:color w:val="A66500"/>
        </w:rPr>
        <w:t>□</w:t>
      </w:r>
      <w:r>
        <w:rPr>
          <w:iCs/>
          <w:color w:val="C00000"/>
        </w:rPr>
        <w:t xml:space="preserve"> </w:t>
      </w:r>
      <w:r>
        <w:rPr>
          <w:iCs/>
          <w:color w:val="auto"/>
        </w:rPr>
        <w:t xml:space="preserve">Some </w:t>
      </w:r>
      <w:r w:rsidR="00C273B2">
        <w:rPr>
          <w:iCs/>
          <w:color w:val="auto"/>
        </w:rPr>
        <w:t>consistency</w:t>
      </w:r>
      <w:r>
        <w:rPr>
          <w:iCs/>
          <w:color w:val="C00000"/>
        </w:rPr>
        <w:tab/>
      </w:r>
      <w:r w:rsidRPr="003824D3">
        <w:rPr>
          <w:rFonts w:ascii="Wingdings 2" w:eastAsia="Wingdings 2" w:hAnsi="Wingdings 2" w:cs="Wingdings 2"/>
          <w:color w:val="C00000"/>
        </w:rPr>
        <w:t>□</w:t>
      </w:r>
      <w:r>
        <w:rPr>
          <w:iCs/>
          <w:color w:val="C00000"/>
        </w:rPr>
        <w:t xml:space="preserve"> </w:t>
      </w:r>
      <w:r w:rsidR="00C273B2">
        <w:rPr>
          <w:iCs/>
          <w:color w:val="auto"/>
        </w:rPr>
        <w:t>Inconsistent</w:t>
      </w:r>
      <w:r>
        <w:rPr>
          <w:iCs/>
          <w:color w:val="C00000"/>
        </w:rPr>
        <w:t xml:space="preserve"> </w:t>
      </w:r>
    </w:p>
    <w:p w14:paraId="464B5BE8" w14:textId="46BB8BDB" w:rsidR="00323C83" w:rsidRDefault="0009186E" w:rsidP="00DC27F5">
      <w:pPr>
        <w:pStyle w:val="Caption"/>
        <w:rPr>
          <w:iCs/>
          <w:szCs w:val="18"/>
        </w:rPr>
      </w:pPr>
      <w:r w:rsidRPr="0088444F">
        <w:t>Source: KPMG</w:t>
      </w:r>
      <w:r w:rsidR="00C273B2">
        <w:t>, 2024.</w:t>
      </w:r>
    </w:p>
    <w:p w14:paraId="3043A5AE" w14:textId="0D8E46E0" w:rsidR="0042325A" w:rsidRPr="00DC27F5" w:rsidRDefault="0042325A" w:rsidP="00DC27F5">
      <w:pPr>
        <w:pStyle w:val="Heading4"/>
        <w:rPr>
          <w:b w:val="0"/>
        </w:rPr>
      </w:pPr>
      <w:r w:rsidRPr="00DC27F5">
        <w:t>Focus on training</w:t>
      </w:r>
    </w:p>
    <w:p w14:paraId="59D0AA16" w14:textId="6BE7E77A" w:rsidR="00452FBC" w:rsidRDefault="0097638B" w:rsidP="004F521A">
      <w:pPr>
        <w:spacing w:before="180"/>
        <w:rPr>
          <w:rFonts w:eastAsia="Times New Roman" w:cs="Times New Roman"/>
          <w:szCs w:val="18"/>
          <w:lang w:eastAsia="en-AU"/>
        </w:rPr>
      </w:pPr>
      <w:r>
        <w:rPr>
          <w:rFonts w:eastAsia="Times New Roman" w:cs="Times New Roman"/>
          <w:szCs w:val="18"/>
          <w:lang w:eastAsia="en-AU"/>
        </w:rPr>
        <w:t xml:space="preserve">There is a </w:t>
      </w:r>
      <w:r w:rsidR="000B0F0B">
        <w:rPr>
          <w:rFonts w:eastAsia="Times New Roman" w:cs="Times New Roman"/>
          <w:szCs w:val="18"/>
          <w:lang w:eastAsia="en-AU"/>
        </w:rPr>
        <w:t>strong</w:t>
      </w:r>
      <w:r>
        <w:rPr>
          <w:rFonts w:eastAsia="Times New Roman" w:cs="Times New Roman"/>
          <w:szCs w:val="18"/>
          <w:lang w:eastAsia="en-AU"/>
        </w:rPr>
        <w:t xml:space="preserve"> fo</w:t>
      </w:r>
      <w:r w:rsidR="007D620F">
        <w:rPr>
          <w:rFonts w:eastAsia="Times New Roman" w:cs="Times New Roman"/>
          <w:szCs w:val="18"/>
          <w:lang w:eastAsia="en-AU"/>
        </w:rPr>
        <w:t xml:space="preserve">cus on the training </w:t>
      </w:r>
      <w:r w:rsidR="006877E6">
        <w:rPr>
          <w:rFonts w:eastAsia="Times New Roman" w:cs="Times New Roman"/>
          <w:szCs w:val="18"/>
          <w:lang w:eastAsia="en-AU"/>
        </w:rPr>
        <w:t>provided to</w:t>
      </w:r>
      <w:r w:rsidR="007D620F">
        <w:rPr>
          <w:rFonts w:eastAsia="Times New Roman" w:cs="Times New Roman"/>
          <w:szCs w:val="18"/>
          <w:lang w:eastAsia="en-AU"/>
        </w:rPr>
        <w:t xml:space="preserve"> medical and health professionals across all the strategies and plans </w:t>
      </w:r>
      <w:r w:rsidR="00D54B93">
        <w:rPr>
          <w:rFonts w:eastAsia="Times New Roman" w:cs="Times New Roman"/>
          <w:szCs w:val="18"/>
          <w:lang w:eastAsia="en-AU"/>
        </w:rPr>
        <w:t>listed above.</w:t>
      </w:r>
      <w:r w:rsidR="006877E6">
        <w:rPr>
          <w:rFonts w:eastAsia="Times New Roman" w:cs="Times New Roman"/>
          <w:szCs w:val="18"/>
          <w:lang w:eastAsia="en-AU"/>
        </w:rPr>
        <w:t xml:space="preserve"> T</w:t>
      </w:r>
      <w:r w:rsidR="005103C0">
        <w:rPr>
          <w:rFonts w:eastAsia="Times New Roman" w:cs="Times New Roman"/>
          <w:szCs w:val="18"/>
          <w:lang w:eastAsia="en-AU"/>
        </w:rPr>
        <w:t xml:space="preserve">raining opportunities described across these </w:t>
      </w:r>
      <w:r w:rsidR="00127368">
        <w:rPr>
          <w:rFonts w:eastAsia="Times New Roman" w:cs="Times New Roman"/>
          <w:szCs w:val="18"/>
          <w:lang w:eastAsia="en-AU"/>
        </w:rPr>
        <w:t xml:space="preserve">strategies and plans focus </w:t>
      </w:r>
      <w:r w:rsidR="00116B22">
        <w:rPr>
          <w:rFonts w:eastAsia="Times New Roman" w:cs="Times New Roman"/>
          <w:szCs w:val="18"/>
          <w:lang w:eastAsia="en-AU"/>
        </w:rPr>
        <w:t xml:space="preserve">less on the assessment and accreditation pathways, and more on the </w:t>
      </w:r>
      <w:r w:rsidR="00326DCF">
        <w:rPr>
          <w:rFonts w:eastAsia="Times New Roman" w:cs="Times New Roman"/>
          <w:szCs w:val="18"/>
          <w:lang w:eastAsia="en-AU"/>
        </w:rPr>
        <w:t xml:space="preserve">pathways into the health system, specialty </w:t>
      </w:r>
      <w:r w:rsidR="006C29B5">
        <w:rPr>
          <w:rFonts w:eastAsia="Times New Roman" w:cs="Times New Roman"/>
          <w:szCs w:val="18"/>
          <w:lang w:eastAsia="en-AU"/>
        </w:rPr>
        <w:t xml:space="preserve">medical </w:t>
      </w:r>
      <w:r w:rsidR="00326DCF">
        <w:rPr>
          <w:rFonts w:eastAsia="Times New Roman" w:cs="Times New Roman"/>
          <w:szCs w:val="18"/>
          <w:lang w:eastAsia="en-AU"/>
        </w:rPr>
        <w:t>training</w:t>
      </w:r>
      <w:r w:rsidR="008A34A1">
        <w:rPr>
          <w:rFonts w:eastAsia="Times New Roman" w:cs="Times New Roman"/>
          <w:szCs w:val="18"/>
          <w:lang w:eastAsia="en-AU"/>
        </w:rPr>
        <w:t xml:space="preserve"> and opportunities to retain </w:t>
      </w:r>
      <w:r w:rsidR="00A86E97">
        <w:rPr>
          <w:rFonts w:eastAsia="Times New Roman" w:cs="Times New Roman"/>
          <w:szCs w:val="18"/>
          <w:lang w:eastAsia="en-AU"/>
        </w:rPr>
        <w:t>staff</w:t>
      </w:r>
      <w:r w:rsidR="0047136F">
        <w:rPr>
          <w:rFonts w:eastAsia="Times New Roman" w:cs="Times New Roman"/>
          <w:szCs w:val="18"/>
          <w:lang w:eastAsia="en-AU"/>
        </w:rPr>
        <w:t xml:space="preserve"> and </w:t>
      </w:r>
      <w:r w:rsidR="00E96B82">
        <w:rPr>
          <w:rFonts w:eastAsia="Times New Roman" w:cs="Times New Roman"/>
          <w:szCs w:val="18"/>
          <w:lang w:eastAsia="en-AU"/>
        </w:rPr>
        <w:t>to provide development opportunities</w:t>
      </w:r>
      <w:r w:rsidR="00795E62">
        <w:rPr>
          <w:rFonts w:eastAsia="Times New Roman" w:cs="Times New Roman"/>
          <w:szCs w:val="18"/>
          <w:lang w:eastAsia="en-AU"/>
        </w:rPr>
        <w:t xml:space="preserve">. </w:t>
      </w:r>
    </w:p>
    <w:p w14:paraId="75B6AE0E" w14:textId="3B3736F1" w:rsidR="00D45EF0" w:rsidRDefault="00D1361E" w:rsidP="004F521A">
      <w:pPr>
        <w:spacing w:before="180"/>
        <w:rPr>
          <w:rFonts w:eastAsia="Times New Roman" w:cs="Times New Roman"/>
          <w:szCs w:val="18"/>
          <w:lang w:eastAsia="en-AU"/>
        </w:rPr>
      </w:pPr>
      <w:r>
        <w:rPr>
          <w:rFonts w:eastAsia="Times New Roman" w:cs="Times New Roman"/>
          <w:szCs w:val="18"/>
          <w:lang w:eastAsia="en-AU"/>
        </w:rPr>
        <w:t xml:space="preserve">The MPS Program supports the development </w:t>
      </w:r>
      <w:r w:rsidR="005E1505">
        <w:rPr>
          <w:rFonts w:eastAsia="Times New Roman" w:cs="Times New Roman"/>
          <w:szCs w:val="18"/>
          <w:lang w:eastAsia="en-AU"/>
        </w:rPr>
        <w:t xml:space="preserve">and assessment </w:t>
      </w:r>
      <w:r>
        <w:rPr>
          <w:rFonts w:eastAsia="Times New Roman" w:cs="Times New Roman"/>
          <w:szCs w:val="18"/>
          <w:lang w:eastAsia="en-AU"/>
        </w:rPr>
        <w:t>of the TEAP curriculum</w:t>
      </w:r>
      <w:r w:rsidR="005E1505">
        <w:rPr>
          <w:rFonts w:eastAsia="Times New Roman" w:cs="Times New Roman"/>
          <w:szCs w:val="18"/>
          <w:lang w:eastAsia="en-AU"/>
        </w:rPr>
        <w:t>.</w:t>
      </w:r>
      <w:r w:rsidR="00CA53FD">
        <w:rPr>
          <w:rFonts w:eastAsia="Times New Roman" w:cs="Times New Roman"/>
          <w:szCs w:val="18"/>
          <w:lang w:eastAsia="en-AU"/>
        </w:rPr>
        <w:t xml:space="preserve"> </w:t>
      </w:r>
      <w:r w:rsidR="00955CD3">
        <w:rPr>
          <w:rFonts w:eastAsia="Times New Roman" w:cs="Times New Roman"/>
          <w:szCs w:val="18"/>
          <w:lang w:eastAsia="en-AU"/>
        </w:rPr>
        <w:t xml:space="preserve">Appropriate </w:t>
      </w:r>
      <w:r w:rsidR="00CA53FD">
        <w:rPr>
          <w:rFonts w:eastAsia="Times New Roman" w:cs="Times New Roman"/>
          <w:szCs w:val="18"/>
          <w:lang w:eastAsia="en-AU"/>
        </w:rPr>
        <w:t xml:space="preserve">training of </w:t>
      </w:r>
      <w:r w:rsidR="00CA53FD" w:rsidRPr="00CA53FD">
        <w:rPr>
          <w:rFonts w:eastAsia="Times New Roman" w:cs="Times New Roman"/>
          <w:szCs w:val="18"/>
          <w:lang w:eastAsia="en-AU"/>
        </w:rPr>
        <w:t>medical physicists and RPS</w:t>
      </w:r>
      <w:r w:rsidR="00955CD3">
        <w:rPr>
          <w:rFonts w:eastAsia="Times New Roman" w:cs="Times New Roman"/>
          <w:szCs w:val="18"/>
          <w:lang w:eastAsia="en-AU"/>
        </w:rPr>
        <w:t xml:space="preserve"> is critical in the safe delivery </w:t>
      </w:r>
      <w:r w:rsidR="00C824C3">
        <w:rPr>
          <w:rFonts w:eastAsia="Times New Roman" w:cs="Times New Roman"/>
          <w:szCs w:val="18"/>
          <w:lang w:eastAsia="en-AU"/>
        </w:rPr>
        <w:t>of a range of radiation and nuclear medicine procedures.</w:t>
      </w:r>
      <w:r w:rsidR="008F603E">
        <w:rPr>
          <w:rFonts w:eastAsia="Times New Roman" w:cs="Times New Roman"/>
          <w:szCs w:val="18"/>
          <w:lang w:eastAsia="en-AU"/>
        </w:rPr>
        <w:t xml:space="preserve"> And whilst this is more granular than the broad national and statewide workforce strategies above, the role training plays in the development of the health and medical workforce cannot be overlooked.</w:t>
      </w:r>
      <w:r w:rsidR="00D017D4">
        <w:rPr>
          <w:rFonts w:eastAsia="Times New Roman" w:cs="Times New Roman"/>
          <w:szCs w:val="18"/>
          <w:lang w:eastAsia="en-AU"/>
        </w:rPr>
        <w:t xml:space="preserve"> </w:t>
      </w:r>
      <w:r w:rsidR="00D72D6C">
        <w:rPr>
          <w:rFonts w:eastAsia="Times New Roman" w:cs="Times New Roman"/>
          <w:szCs w:val="18"/>
          <w:lang w:eastAsia="en-AU"/>
        </w:rPr>
        <w:t xml:space="preserve">This includes a range of strategies that use training opportunities to improve the distribution of the health and medical </w:t>
      </w:r>
      <w:r w:rsidR="00FF06D6">
        <w:rPr>
          <w:rFonts w:eastAsia="Times New Roman" w:cs="Times New Roman"/>
          <w:szCs w:val="18"/>
          <w:lang w:eastAsia="en-AU"/>
        </w:rPr>
        <w:t>workforce</w:t>
      </w:r>
      <w:r w:rsidR="00BE7093">
        <w:rPr>
          <w:rFonts w:eastAsia="Times New Roman" w:cs="Times New Roman"/>
          <w:szCs w:val="18"/>
          <w:lang w:eastAsia="en-AU"/>
        </w:rPr>
        <w:t>.</w:t>
      </w:r>
    </w:p>
    <w:p w14:paraId="410483D7" w14:textId="3DB8AFFA" w:rsidR="00452FBC" w:rsidRPr="00A13FCC" w:rsidRDefault="00A13FCC" w:rsidP="00DC27F5">
      <w:pPr>
        <w:pStyle w:val="Heading4"/>
        <w:rPr>
          <w:rFonts w:ascii="Arial" w:eastAsia="Times New Roman" w:hAnsi="Arial" w:cs="Times New Roman"/>
          <w:bCs/>
          <w:szCs w:val="18"/>
          <w:lang w:eastAsia="en-AU"/>
        </w:rPr>
      </w:pPr>
      <w:r w:rsidRPr="00DC27F5">
        <w:t>Funding</w:t>
      </w:r>
    </w:p>
    <w:p w14:paraId="54A41A83" w14:textId="0644A5FD" w:rsidR="00A13FCC" w:rsidRPr="00314CC6" w:rsidRDefault="003709CF" w:rsidP="004F521A">
      <w:pPr>
        <w:spacing w:before="180"/>
        <w:rPr>
          <w:rFonts w:eastAsia="Times New Roman" w:cs="Times New Roman"/>
          <w:szCs w:val="18"/>
          <w:lang w:eastAsia="en-AU"/>
        </w:rPr>
      </w:pPr>
      <w:r>
        <w:rPr>
          <w:rFonts w:eastAsia="Times New Roman" w:cs="Times New Roman"/>
          <w:szCs w:val="18"/>
          <w:lang w:eastAsia="en-AU"/>
        </w:rPr>
        <w:t xml:space="preserve">The Commonwealth </w:t>
      </w:r>
      <w:r w:rsidR="00B70FD3">
        <w:rPr>
          <w:rFonts w:eastAsia="Times New Roman" w:cs="Times New Roman"/>
          <w:szCs w:val="18"/>
          <w:lang w:eastAsia="en-AU"/>
        </w:rPr>
        <w:t xml:space="preserve">provides funding through a variety of programs to </w:t>
      </w:r>
      <w:r w:rsidR="00124724">
        <w:rPr>
          <w:rFonts w:eastAsia="Times New Roman" w:cs="Times New Roman"/>
          <w:szCs w:val="18"/>
          <w:lang w:eastAsia="en-AU"/>
        </w:rPr>
        <w:t xml:space="preserve">support workforce distribution including through </w:t>
      </w:r>
      <w:r w:rsidR="007E1702">
        <w:rPr>
          <w:rFonts w:eastAsia="Times New Roman" w:cs="Times New Roman"/>
          <w:szCs w:val="18"/>
          <w:lang w:eastAsia="en-AU"/>
        </w:rPr>
        <w:t xml:space="preserve">the </w:t>
      </w:r>
      <w:r>
        <w:rPr>
          <w:rFonts w:eastAsia="Times New Roman" w:cs="Times New Roman"/>
          <w:szCs w:val="18"/>
          <w:lang w:eastAsia="en-AU"/>
        </w:rPr>
        <w:t>STP</w:t>
      </w:r>
      <w:r w:rsidR="000B0F7F">
        <w:rPr>
          <w:rFonts w:eastAsia="Times New Roman" w:cs="Times New Roman"/>
          <w:szCs w:val="18"/>
          <w:lang w:eastAsia="en-AU"/>
        </w:rPr>
        <w:t xml:space="preserve">, which provides salary support </w:t>
      </w:r>
      <w:r w:rsidR="00EF2D7D">
        <w:rPr>
          <w:rFonts w:eastAsia="Times New Roman" w:cs="Times New Roman"/>
          <w:szCs w:val="18"/>
          <w:lang w:eastAsia="en-AU"/>
        </w:rPr>
        <w:t xml:space="preserve">and rural loadings </w:t>
      </w:r>
      <w:r w:rsidR="000B0F7F">
        <w:rPr>
          <w:rFonts w:eastAsia="Times New Roman" w:cs="Times New Roman"/>
          <w:szCs w:val="18"/>
          <w:lang w:eastAsia="en-AU"/>
        </w:rPr>
        <w:t>for trainees,</w:t>
      </w:r>
      <w:r w:rsidR="00EF2D7D">
        <w:rPr>
          <w:rFonts w:eastAsia="Times New Roman" w:cs="Times New Roman"/>
          <w:szCs w:val="18"/>
          <w:lang w:eastAsia="en-AU"/>
        </w:rPr>
        <w:t xml:space="preserve"> and other additional support</w:t>
      </w:r>
      <w:r w:rsidR="00DD4CA5">
        <w:rPr>
          <w:rFonts w:eastAsia="Times New Roman" w:cs="Times New Roman"/>
          <w:szCs w:val="18"/>
          <w:lang w:eastAsia="en-AU"/>
        </w:rPr>
        <w:t>s</w:t>
      </w:r>
      <w:r w:rsidR="00EF2D7D">
        <w:rPr>
          <w:rFonts w:eastAsia="Times New Roman" w:cs="Times New Roman"/>
          <w:szCs w:val="18"/>
          <w:lang w:eastAsia="en-AU"/>
        </w:rPr>
        <w:t xml:space="preserve"> to encourage </w:t>
      </w:r>
      <w:r w:rsidR="00A508B3">
        <w:rPr>
          <w:rFonts w:eastAsia="Times New Roman" w:cs="Times New Roman"/>
          <w:szCs w:val="18"/>
          <w:lang w:eastAsia="en-AU"/>
        </w:rPr>
        <w:t xml:space="preserve">medical speciality training in rural and remote </w:t>
      </w:r>
      <w:r w:rsidR="00715830">
        <w:rPr>
          <w:rFonts w:eastAsia="Times New Roman" w:cs="Times New Roman"/>
          <w:szCs w:val="18"/>
          <w:lang w:eastAsia="en-AU"/>
        </w:rPr>
        <w:t>areas.</w:t>
      </w:r>
      <w:r w:rsidR="003D2E66">
        <w:rPr>
          <w:rFonts w:eastAsia="Times New Roman" w:cs="Times New Roman"/>
          <w:szCs w:val="18"/>
          <w:lang w:eastAsia="en-AU"/>
        </w:rPr>
        <w:t xml:space="preserve"> </w:t>
      </w:r>
      <w:r w:rsidR="00314CC6">
        <w:rPr>
          <w:rFonts w:eastAsia="Times New Roman" w:cs="Times New Roman"/>
          <w:szCs w:val="18"/>
          <w:lang w:eastAsia="en-AU"/>
        </w:rPr>
        <w:t xml:space="preserve">Whilst the </w:t>
      </w:r>
      <w:r w:rsidR="00314CC6" w:rsidRPr="002E77F2">
        <w:rPr>
          <w:rFonts w:eastAsia="Times New Roman" w:cs="Times New Roman"/>
          <w:i/>
          <w:iCs/>
          <w:szCs w:val="18"/>
          <w:lang w:eastAsia="en-AU"/>
        </w:rPr>
        <w:t>National Medical Workforce Strategy</w:t>
      </w:r>
      <w:r w:rsidR="00B52CCB">
        <w:rPr>
          <w:rFonts w:eastAsia="Times New Roman" w:cs="Times New Roman"/>
          <w:i/>
          <w:iCs/>
          <w:szCs w:val="18"/>
          <w:lang w:eastAsia="en-AU"/>
        </w:rPr>
        <w:t xml:space="preserve"> 2021 – 2031</w:t>
      </w:r>
      <w:r w:rsidR="00B749E4" w:rsidRPr="00B749E4">
        <w:rPr>
          <w:rStyle w:val="FootnoteReference"/>
          <w:rFonts w:eastAsia="Times New Roman" w:cs="Times New Roman"/>
          <w:szCs w:val="18"/>
          <w:lang w:eastAsia="en-AU"/>
        </w:rPr>
        <w:t xml:space="preserve"> </w:t>
      </w:r>
      <w:bookmarkStart w:id="119" w:name="_Ref182581350"/>
      <w:r w:rsidR="001D1A3C">
        <w:rPr>
          <w:rFonts w:ascii="ZWAdobeF" w:eastAsia="Times New Roman" w:hAnsi="ZWAdobeF" w:cs="ZWAdobeF"/>
          <w:sz w:val="2"/>
          <w:szCs w:val="2"/>
          <w:lang w:eastAsia="en-AU"/>
        </w:rPr>
        <w:t>52F</w:t>
      </w:r>
      <w:r w:rsidR="005F7EBC">
        <w:rPr>
          <w:rFonts w:ascii="ZWAdobeF" w:eastAsia="Times New Roman" w:hAnsi="ZWAdobeF" w:cs="ZWAdobeF"/>
          <w:sz w:val="2"/>
          <w:szCs w:val="2"/>
          <w:lang w:eastAsia="en-AU"/>
        </w:rPr>
        <w:t>64F</w:t>
      </w:r>
      <w:r w:rsidR="00B52CCB" w:rsidRPr="00CD3546">
        <w:rPr>
          <w:rStyle w:val="FootnoteReference"/>
          <w:rFonts w:eastAsia="Times New Roman" w:cs="Times New Roman"/>
          <w:szCs w:val="18"/>
          <w:lang w:eastAsia="en-AU"/>
        </w:rPr>
        <w:footnoteReference w:id="66"/>
      </w:r>
      <w:bookmarkEnd w:id="119"/>
      <w:r w:rsidR="00314CC6">
        <w:rPr>
          <w:rFonts w:eastAsia="Times New Roman" w:cs="Times New Roman"/>
          <w:szCs w:val="18"/>
          <w:lang w:eastAsia="en-AU"/>
        </w:rPr>
        <w:t xml:space="preserve"> focuses on the medical workforce, it does </w:t>
      </w:r>
      <w:r w:rsidR="00690F38">
        <w:rPr>
          <w:rFonts w:eastAsia="Times New Roman" w:cs="Times New Roman"/>
          <w:szCs w:val="18"/>
          <w:lang w:eastAsia="en-AU"/>
        </w:rPr>
        <w:t xml:space="preserve">advocate for better utilising existing investment and funding models </w:t>
      </w:r>
      <w:r w:rsidR="009E0541">
        <w:rPr>
          <w:rFonts w:eastAsia="Times New Roman" w:cs="Times New Roman"/>
          <w:szCs w:val="18"/>
          <w:lang w:eastAsia="en-AU"/>
        </w:rPr>
        <w:t>including public hospital employment positions</w:t>
      </w:r>
      <w:r w:rsidR="009C432F">
        <w:rPr>
          <w:rFonts w:eastAsia="Times New Roman" w:cs="Times New Roman"/>
          <w:szCs w:val="18"/>
          <w:lang w:eastAsia="en-AU"/>
        </w:rPr>
        <w:t xml:space="preserve"> and the STP</w:t>
      </w:r>
      <w:r w:rsidR="008323A5">
        <w:rPr>
          <w:rFonts w:eastAsia="Times New Roman" w:cs="Times New Roman"/>
          <w:szCs w:val="18"/>
          <w:lang w:eastAsia="en-AU"/>
        </w:rPr>
        <w:t xml:space="preserve">, through improved targeting, </w:t>
      </w:r>
      <w:r w:rsidR="009C432F">
        <w:rPr>
          <w:rFonts w:eastAsia="Times New Roman" w:cs="Times New Roman"/>
          <w:szCs w:val="18"/>
          <w:lang w:eastAsia="en-AU"/>
        </w:rPr>
        <w:t xml:space="preserve">to increase the supply of trainees in undersupplied </w:t>
      </w:r>
      <w:r w:rsidR="00767E3C">
        <w:rPr>
          <w:rFonts w:eastAsia="Times New Roman" w:cs="Times New Roman"/>
          <w:szCs w:val="18"/>
          <w:lang w:eastAsia="en-AU"/>
        </w:rPr>
        <w:t>specialities</w:t>
      </w:r>
      <w:r w:rsidR="009C432F">
        <w:rPr>
          <w:rFonts w:eastAsia="Times New Roman" w:cs="Times New Roman"/>
          <w:szCs w:val="18"/>
          <w:lang w:eastAsia="en-AU"/>
        </w:rPr>
        <w:t xml:space="preserve">. </w:t>
      </w:r>
    </w:p>
    <w:p w14:paraId="4E413813" w14:textId="32445781" w:rsidR="00A13FCC" w:rsidRDefault="00B75105" w:rsidP="004F521A">
      <w:pPr>
        <w:spacing w:before="180"/>
        <w:rPr>
          <w:rFonts w:eastAsia="Times New Roman" w:cs="Times New Roman"/>
          <w:szCs w:val="18"/>
          <w:lang w:eastAsia="en-AU"/>
        </w:rPr>
      </w:pPr>
      <w:r>
        <w:rPr>
          <w:rFonts w:eastAsia="Times New Roman" w:cs="Times New Roman"/>
          <w:szCs w:val="18"/>
          <w:lang w:eastAsia="en-AU"/>
        </w:rPr>
        <w:t xml:space="preserve">A key </w:t>
      </w:r>
      <w:r w:rsidR="009B1EA9">
        <w:rPr>
          <w:rFonts w:eastAsia="Times New Roman" w:cs="Times New Roman"/>
          <w:szCs w:val="18"/>
          <w:lang w:eastAsia="en-AU"/>
        </w:rPr>
        <w:t xml:space="preserve">strategy of the </w:t>
      </w:r>
      <w:r w:rsidR="009B1EA9" w:rsidRPr="005574A1">
        <w:rPr>
          <w:rFonts w:eastAsia="Times New Roman" w:cs="Times New Roman"/>
          <w:i/>
          <w:iCs/>
          <w:szCs w:val="18"/>
          <w:lang w:eastAsia="en-AU"/>
        </w:rPr>
        <w:t>S</w:t>
      </w:r>
      <w:r w:rsidR="006F6293">
        <w:rPr>
          <w:rFonts w:eastAsia="Times New Roman" w:cs="Times New Roman"/>
          <w:i/>
          <w:iCs/>
          <w:szCs w:val="18"/>
          <w:lang w:eastAsia="en-AU"/>
        </w:rPr>
        <w:t>outh Australia (</w:t>
      </w:r>
      <w:r w:rsidR="009B1EA9" w:rsidRPr="005574A1">
        <w:rPr>
          <w:rFonts w:eastAsia="Times New Roman" w:cs="Times New Roman"/>
          <w:i/>
          <w:iCs/>
          <w:szCs w:val="18"/>
          <w:lang w:eastAsia="en-AU"/>
        </w:rPr>
        <w:t>SA</w:t>
      </w:r>
      <w:r w:rsidR="006F6293">
        <w:rPr>
          <w:rFonts w:eastAsia="Times New Roman" w:cs="Times New Roman"/>
          <w:i/>
          <w:iCs/>
          <w:szCs w:val="18"/>
          <w:lang w:eastAsia="en-AU"/>
        </w:rPr>
        <w:t>)</w:t>
      </w:r>
      <w:r w:rsidR="009B1EA9" w:rsidRPr="005574A1">
        <w:rPr>
          <w:rFonts w:eastAsia="Times New Roman" w:cs="Times New Roman"/>
          <w:i/>
          <w:iCs/>
          <w:szCs w:val="18"/>
          <w:lang w:eastAsia="en-AU"/>
        </w:rPr>
        <w:t xml:space="preserve"> Rural Allied and Scientific Health Workforce Plan</w:t>
      </w:r>
      <w:r w:rsidR="00A47809">
        <w:rPr>
          <w:rFonts w:eastAsia="Times New Roman" w:cs="Times New Roman"/>
          <w:i/>
          <w:szCs w:val="18"/>
          <w:lang w:eastAsia="en-AU"/>
        </w:rPr>
        <w:t xml:space="preserve"> </w:t>
      </w:r>
      <w:r w:rsidR="00A47809">
        <w:rPr>
          <w:rFonts w:eastAsia="Times New Roman" w:cs="Times New Roman"/>
          <w:i/>
          <w:iCs/>
          <w:szCs w:val="18"/>
          <w:lang w:eastAsia="en-AU"/>
        </w:rPr>
        <w:t>2021-26</w:t>
      </w:r>
      <w:r w:rsidR="001D1A3C">
        <w:rPr>
          <w:rFonts w:ascii="ZWAdobeF" w:eastAsia="Times New Roman" w:hAnsi="ZWAdobeF" w:cs="ZWAdobeF"/>
          <w:iCs/>
          <w:sz w:val="2"/>
          <w:szCs w:val="2"/>
          <w:lang w:eastAsia="en-AU"/>
        </w:rPr>
        <w:t>53F</w:t>
      </w:r>
      <w:r w:rsidR="005F7EBC">
        <w:rPr>
          <w:rFonts w:ascii="ZWAdobeF" w:eastAsia="Times New Roman" w:hAnsi="ZWAdobeF" w:cs="ZWAdobeF"/>
          <w:iCs/>
          <w:sz w:val="2"/>
          <w:szCs w:val="2"/>
          <w:lang w:eastAsia="en-AU"/>
        </w:rPr>
        <w:t>65F</w:t>
      </w:r>
      <w:r w:rsidR="008A0B3D">
        <w:rPr>
          <w:rStyle w:val="FootnoteReference"/>
          <w:rFonts w:eastAsia="Times New Roman" w:cs="Times New Roman"/>
          <w:i/>
          <w:iCs/>
          <w:szCs w:val="18"/>
          <w:lang w:eastAsia="en-AU"/>
        </w:rPr>
        <w:footnoteReference w:id="67"/>
      </w:r>
      <w:r w:rsidR="009B1EA9">
        <w:rPr>
          <w:rFonts w:eastAsia="Times New Roman" w:cs="Times New Roman"/>
          <w:szCs w:val="18"/>
          <w:lang w:eastAsia="en-AU"/>
        </w:rPr>
        <w:t xml:space="preserve"> </w:t>
      </w:r>
      <w:r w:rsidR="007316C5">
        <w:rPr>
          <w:rFonts w:eastAsia="Times New Roman" w:cs="Times New Roman"/>
          <w:szCs w:val="18"/>
          <w:lang w:eastAsia="en-AU"/>
        </w:rPr>
        <w:t>is to</w:t>
      </w:r>
      <w:r w:rsidR="006D3AA1">
        <w:rPr>
          <w:rFonts w:eastAsia="Times New Roman" w:cs="Times New Roman"/>
          <w:szCs w:val="18"/>
          <w:lang w:eastAsia="en-AU"/>
        </w:rPr>
        <w:t xml:space="preserve"> </w:t>
      </w:r>
      <w:r w:rsidR="007316C5">
        <w:rPr>
          <w:rFonts w:eastAsia="Times New Roman" w:cs="Times New Roman"/>
          <w:szCs w:val="18"/>
          <w:lang w:eastAsia="en-AU"/>
        </w:rPr>
        <w:t xml:space="preserve">create sustainable funding and support structures </w:t>
      </w:r>
      <w:r w:rsidR="006D3AA1">
        <w:rPr>
          <w:rFonts w:eastAsia="Times New Roman" w:cs="Times New Roman"/>
          <w:szCs w:val="18"/>
          <w:lang w:eastAsia="en-AU"/>
        </w:rPr>
        <w:t xml:space="preserve">to better allow </w:t>
      </w:r>
      <w:r w:rsidR="00FD67BE">
        <w:rPr>
          <w:rFonts w:eastAsia="Times New Roman" w:cs="Times New Roman"/>
          <w:szCs w:val="18"/>
          <w:lang w:eastAsia="en-AU"/>
        </w:rPr>
        <w:t>practitioner</w:t>
      </w:r>
      <w:r w:rsidR="006D3AA1">
        <w:rPr>
          <w:rFonts w:eastAsia="Times New Roman" w:cs="Times New Roman"/>
          <w:szCs w:val="18"/>
          <w:lang w:eastAsia="en-AU"/>
        </w:rPr>
        <w:t xml:space="preserve"> to access specialist training opportunities.</w:t>
      </w:r>
      <w:r w:rsidR="00545DCB">
        <w:rPr>
          <w:rFonts w:eastAsia="Times New Roman" w:cs="Times New Roman"/>
          <w:szCs w:val="18"/>
          <w:lang w:eastAsia="en-AU"/>
        </w:rPr>
        <w:t xml:space="preserve"> The </w:t>
      </w:r>
      <w:r w:rsidR="008F0B77" w:rsidRPr="00595A5B">
        <w:rPr>
          <w:rFonts w:eastAsia="Times New Roman" w:cs="Times New Roman"/>
          <w:i/>
          <w:iCs/>
          <w:szCs w:val="18"/>
          <w:lang w:eastAsia="en-AU"/>
        </w:rPr>
        <w:t>Victorian Health Workforce Strategy</w:t>
      </w:r>
      <w:bookmarkStart w:id="120" w:name="_Ref182581371"/>
      <w:r w:rsidR="001D1A3C">
        <w:rPr>
          <w:rFonts w:ascii="ZWAdobeF" w:eastAsia="Times New Roman" w:hAnsi="ZWAdobeF" w:cs="ZWAdobeF"/>
          <w:iCs/>
          <w:sz w:val="2"/>
          <w:szCs w:val="2"/>
          <w:lang w:eastAsia="en-AU"/>
        </w:rPr>
        <w:t>54F</w:t>
      </w:r>
      <w:r w:rsidR="005F7EBC">
        <w:rPr>
          <w:rFonts w:ascii="ZWAdobeF" w:eastAsia="Times New Roman" w:hAnsi="ZWAdobeF" w:cs="ZWAdobeF"/>
          <w:iCs/>
          <w:sz w:val="2"/>
          <w:szCs w:val="2"/>
          <w:lang w:eastAsia="en-AU"/>
        </w:rPr>
        <w:t>66F</w:t>
      </w:r>
      <w:r w:rsidR="00EF7F93">
        <w:rPr>
          <w:rStyle w:val="FootnoteReference"/>
          <w:rFonts w:eastAsia="Times New Roman" w:cs="Times New Roman"/>
          <w:i/>
          <w:iCs/>
          <w:szCs w:val="18"/>
          <w:lang w:eastAsia="en-AU"/>
        </w:rPr>
        <w:footnoteReference w:id="68"/>
      </w:r>
      <w:bookmarkEnd w:id="120"/>
      <w:r w:rsidR="008F0B77" w:rsidRPr="00595A5B">
        <w:rPr>
          <w:rFonts w:eastAsia="Times New Roman" w:cs="Times New Roman"/>
          <w:i/>
          <w:iCs/>
          <w:szCs w:val="18"/>
          <w:lang w:eastAsia="en-AU"/>
        </w:rPr>
        <w:t xml:space="preserve"> </w:t>
      </w:r>
      <w:r w:rsidR="008F0B77">
        <w:rPr>
          <w:rFonts w:eastAsia="Times New Roman" w:cs="Times New Roman"/>
          <w:szCs w:val="18"/>
          <w:lang w:eastAsia="en-AU"/>
        </w:rPr>
        <w:t>has a similar focus o</w:t>
      </w:r>
      <w:r w:rsidR="00765DC9">
        <w:rPr>
          <w:rFonts w:eastAsia="Times New Roman" w:cs="Times New Roman"/>
          <w:szCs w:val="18"/>
          <w:lang w:eastAsia="en-AU"/>
        </w:rPr>
        <w:t>n</w:t>
      </w:r>
      <w:r w:rsidR="008F0B77">
        <w:rPr>
          <w:rFonts w:eastAsia="Times New Roman" w:cs="Times New Roman"/>
          <w:szCs w:val="18"/>
          <w:lang w:eastAsia="en-AU"/>
        </w:rPr>
        <w:t xml:space="preserve"> exploring innovative funding </w:t>
      </w:r>
      <w:r w:rsidR="0094278E">
        <w:rPr>
          <w:rFonts w:eastAsia="Times New Roman" w:cs="Times New Roman"/>
          <w:szCs w:val="18"/>
          <w:lang w:eastAsia="en-AU"/>
        </w:rPr>
        <w:t xml:space="preserve">models to allow for career </w:t>
      </w:r>
      <w:r w:rsidR="0074082C">
        <w:rPr>
          <w:rFonts w:eastAsia="Times New Roman" w:cs="Times New Roman"/>
          <w:szCs w:val="18"/>
          <w:lang w:eastAsia="en-AU"/>
        </w:rPr>
        <w:t>flexibility</w:t>
      </w:r>
      <w:r w:rsidR="0094278E">
        <w:rPr>
          <w:rFonts w:eastAsia="Times New Roman" w:cs="Times New Roman"/>
          <w:szCs w:val="18"/>
          <w:lang w:eastAsia="en-AU"/>
        </w:rPr>
        <w:t>.</w:t>
      </w:r>
      <w:r w:rsidR="005B475D">
        <w:rPr>
          <w:rFonts w:eastAsia="Times New Roman" w:cs="Times New Roman"/>
          <w:szCs w:val="18"/>
          <w:lang w:eastAsia="en-AU"/>
        </w:rPr>
        <w:t xml:space="preserve"> As part of </w:t>
      </w:r>
      <w:r w:rsidR="00FD67BE">
        <w:rPr>
          <w:rFonts w:eastAsia="Times New Roman" w:cs="Times New Roman"/>
          <w:szCs w:val="18"/>
          <w:lang w:eastAsia="en-AU"/>
        </w:rPr>
        <w:t>its</w:t>
      </w:r>
      <w:r w:rsidR="005B475D">
        <w:rPr>
          <w:rFonts w:eastAsia="Times New Roman" w:cs="Times New Roman"/>
          <w:szCs w:val="18"/>
          <w:lang w:eastAsia="en-AU"/>
        </w:rPr>
        <w:t xml:space="preserve"> strategy, </w:t>
      </w:r>
      <w:r w:rsidR="00FD67BE">
        <w:rPr>
          <w:rFonts w:eastAsia="Times New Roman" w:cs="Times New Roman"/>
          <w:szCs w:val="18"/>
          <w:lang w:eastAsia="en-AU"/>
        </w:rPr>
        <w:t>the Victorian government</w:t>
      </w:r>
      <w:r w:rsidR="005B475D">
        <w:rPr>
          <w:rFonts w:eastAsia="Times New Roman" w:cs="Times New Roman"/>
          <w:szCs w:val="18"/>
          <w:lang w:eastAsia="en-AU"/>
        </w:rPr>
        <w:t xml:space="preserve"> has committed $440.3 million for the </w:t>
      </w:r>
      <w:r w:rsidR="006013D2">
        <w:rPr>
          <w:rFonts w:eastAsia="Times New Roman" w:cs="Times New Roman"/>
          <w:szCs w:val="18"/>
          <w:lang w:eastAsia="en-AU"/>
        </w:rPr>
        <w:t>training of graduates and supporting postgraduate studies.</w:t>
      </w:r>
    </w:p>
    <w:p w14:paraId="039DCFAA" w14:textId="3D5E149F" w:rsidR="007316C5" w:rsidRPr="009B1EA9" w:rsidRDefault="007316C5" w:rsidP="004F521A">
      <w:pPr>
        <w:spacing w:before="180"/>
        <w:rPr>
          <w:rFonts w:eastAsia="Times New Roman" w:cs="Times New Roman"/>
          <w:szCs w:val="18"/>
          <w:lang w:eastAsia="en-AU"/>
        </w:rPr>
      </w:pPr>
      <w:r>
        <w:rPr>
          <w:rFonts w:eastAsia="Times New Roman" w:cs="Times New Roman"/>
          <w:szCs w:val="18"/>
          <w:lang w:eastAsia="en-AU"/>
        </w:rPr>
        <w:t xml:space="preserve">Outside the STP, the MPS Program is unique in the </w:t>
      </w:r>
      <w:r w:rsidR="00F81E13">
        <w:rPr>
          <w:rFonts w:eastAsia="Times New Roman" w:cs="Times New Roman"/>
          <w:szCs w:val="18"/>
          <w:lang w:eastAsia="en-AU"/>
        </w:rPr>
        <w:t xml:space="preserve">financial </w:t>
      </w:r>
      <w:r>
        <w:rPr>
          <w:rFonts w:eastAsia="Times New Roman" w:cs="Times New Roman"/>
          <w:szCs w:val="18"/>
          <w:lang w:eastAsia="en-AU"/>
        </w:rPr>
        <w:t>support that is provided to trainees</w:t>
      </w:r>
      <w:r w:rsidR="00F81E13">
        <w:rPr>
          <w:rFonts w:eastAsia="Times New Roman" w:cs="Times New Roman"/>
          <w:szCs w:val="18"/>
          <w:lang w:eastAsia="en-AU"/>
        </w:rPr>
        <w:t xml:space="preserve">. </w:t>
      </w:r>
      <w:r w:rsidR="00D16A7B">
        <w:rPr>
          <w:rFonts w:eastAsia="Times New Roman" w:cs="Times New Roman"/>
          <w:szCs w:val="18"/>
          <w:lang w:eastAsia="en-AU"/>
        </w:rPr>
        <w:t xml:space="preserve">It should also be noted that the STP provides funding </w:t>
      </w:r>
      <w:r w:rsidR="00F62BC1">
        <w:rPr>
          <w:rFonts w:eastAsia="Times New Roman" w:cs="Times New Roman"/>
          <w:szCs w:val="18"/>
          <w:lang w:eastAsia="en-AU"/>
        </w:rPr>
        <w:t>to encourage</w:t>
      </w:r>
      <w:r w:rsidR="00D16A7B">
        <w:rPr>
          <w:rFonts w:eastAsia="Times New Roman" w:cs="Times New Roman"/>
          <w:szCs w:val="18"/>
          <w:lang w:eastAsia="en-AU"/>
        </w:rPr>
        <w:t xml:space="preserve"> the training of med</w:t>
      </w:r>
      <w:r w:rsidR="00F62BC1">
        <w:rPr>
          <w:rFonts w:eastAsia="Times New Roman" w:cs="Times New Roman"/>
          <w:szCs w:val="18"/>
          <w:lang w:eastAsia="en-AU"/>
        </w:rPr>
        <w:t xml:space="preserve">ical doctors across a range of </w:t>
      </w:r>
      <w:r w:rsidR="0074082C">
        <w:rPr>
          <w:rFonts w:eastAsia="Times New Roman" w:cs="Times New Roman"/>
          <w:szCs w:val="18"/>
          <w:lang w:eastAsia="en-AU"/>
        </w:rPr>
        <w:t>specialties</w:t>
      </w:r>
      <w:r w:rsidR="00F62BC1">
        <w:rPr>
          <w:rFonts w:eastAsia="Times New Roman" w:cs="Times New Roman"/>
          <w:szCs w:val="18"/>
          <w:lang w:eastAsia="en-AU"/>
        </w:rPr>
        <w:t xml:space="preserve"> in regional and remote areas. Despite having a focus on MMM2-</w:t>
      </w:r>
      <w:r w:rsidR="00277F1B">
        <w:rPr>
          <w:rFonts w:eastAsia="Times New Roman" w:cs="Times New Roman"/>
          <w:szCs w:val="18"/>
          <w:lang w:eastAsia="en-AU"/>
        </w:rPr>
        <w:t>7 and</w:t>
      </w:r>
      <w:r w:rsidR="0074082C">
        <w:rPr>
          <w:rFonts w:eastAsia="Times New Roman" w:cs="Times New Roman"/>
          <w:szCs w:val="18"/>
          <w:lang w:eastAsia="en-AU"/>
        </w:rPr>
        <w:t xml:space="preserve"> noting the difficulties in supporting trainees</w:t>
      </w:r>
      <w:r w:rsidR="00F424B0">
        <w:rPr>
          <w:rFonts w:eastAsia="Times New Roman" w:cs="Times New Roman"/>
          <w:szCs w:val="18"/>
          <w:lang w:eastAsia="en-AU"/>
        </w:rPr>
        <w:t xml:space="preserve"> through equipment and </w:t>
      </w:r>
      <w:r w:rsidR="00DE50C5">
        <w:rPr>
          <w:rFonts w:eastAsia="Times New Roman" w:cs="Times New Roman"/>
          <w:szCs w:val="18"/>
          <w:lang w:eastAsia="en-AU"/>
        </w:rPr>
        <w:t>S</w:t>
      </w:r>
      <w:r w:rsidR="00F424B0">
        <w:rPr>
          <w:rFonts w:eastAsia="Times New Roman" w:cs="Times New Roman"/>
          <w:szCs w:val="18"/>
          <w:lang w:eastAsia="en-AU"/>
        </w:rPr>
        <w:t>upervisor access</w:t>
      </w:r>
      <w:r w:rsidR="0074082C">
        <w:rPr>
          <w:rFonts w:eastAsia="Times New Roman" w:cs="Times New Roman"/>
          <w:szCs w:val="18"/>
          <w:lang w:eastAsia="en-AU"/>
        </w:rPr>
        <w:t xml:space="preserve"> in these areas,</w:t>
      </w:r>
      <w:r w:rsidR="00F62BC1">
        <w:rPr>
          <w:rFonts w:eastAsia="Times New Roman" w:cs="Times New Roman"/>
          <w:szCs w:val="18"/>
          <w:lang w:eastAsia="en-AU"/>
        </w:rPr>
        <w:t xml:space="preserve"> the MPS Program mostly provides su</w:t>
      </w:r>
      <w:r w:rsidR="00F424B0">
        <w:rPr>
          <w:rFonts w:eastAsia="Times New Roman" w:cs="Times New Roman"/>
          <w:szCs w:val="18"/>
          <w:lang w:eastAsia="en-AU"/>
        </w:rPr>
        <w:t>pport to individuals undertaking TEAP in metropolitan areas</w:t>
      </w:r>
      <w:r w:rsidR="00715830">
        <w:rPr>
          <w:rFonts w:eastAsia="Times New Roman" w:cs="Times New Roman"/>
          <w:szCs w:val="18"/>
          <w:lang w:eastAsia="en-AU"/>
        </w:rPr>
        <w:t>.</w:t>
      </w:r>
      <w:r w:rsidR="00277F1B">
        <w:rPr>
          <w:rFonts w:eastAsia="Times New Roman" w:cs="Times New Roman"/>
          <w:szCs w:val="18"/>
          <w:lang w:eastAsia="en-AU"/>
        </w:rPr>
        <w:t xml:space="preserve"> The MPS Program is also unique because it provides funding to ACPSEM to develop the TEA</w:t>
      </w:r>
      <w:r w:rsidR="00872F7E">
        <w:rPr>
          <w:rFonts w:eastAsia="Times New Roman" w:cs="Times New Roman"/>
          <w:szCs w:val="18"/>
          <w:lang w:eastAsia="en-AU"/>
        </w:rPr>
        <w:t>P curriculum.</w:t>
      </w:r>
    </w:p>
    <w:p w14:paraId="25A797BF" w14:textId="63E86B6C" w:rsidR="00A13FCC" w:rsidRPr="00DC27F5" w:rsidRDefault="00A13FCC" w:rsidP="00DC27F5">
      <w:pPr>
        <w:pStyle w:val="Heading4"/>
        <w:rPr>
          <w:b w:val="0"/>
        </w:rPr>
      </w:pPr>
      <w:r w:rsidRPr="00DC27F5">
        <w:t>Workforce Distribution</w:t>
      </w:r>
    </w:p>
    <w:p w14:paraId="48D3E389" w14:textId="228E5A65" w:rsidR="00452FBC" w:rsidRPr="005574A1" w:rsidRDefault="003049D6" w:rsidP="004F521A">
      <w:pPr>
        <w:spacing w:before="180"/>
        <w:rPr>
          <w:rFonts w:eastAsia="Times New Roman" w:cs="Times New Roman"/>
          <w:szCs w:val="18"/>
          <w:lang w:eastAsia="en-AU"/>
        </w:rPr>
      </w:pPr>
      <w:r>
        <w:rPr>
          <w:rFonts w:eastAsia="Times New Roman" w:cs="Times New Roman"/>
          <w:szCs w:val="18"/>
          <w:lang w:eastAsia="en-AU"/>
        </w:rPr>
        <w:t xml:space="preserve">Rural and remote areas have significant barriers to attracting and retaining </w:t>
      </w:r>
      <w:r w:rsidR="00D121FA">
        <w:rPr>
          <w:rFonts w:eastAsia="Times New Roman" w:cs="Times New Roman"/>
          <w:szCs w:val="18"/>
          <w:lang w:eastAsia="en-AU"/>
        </w:rPr>
        <w:t xml:space="preserve">a qualified and skilled health and medical workforce. Each of the plans and strategies have key </w:t>
      </w:r>
      <w:r w:rsidR="00613372">
        <w:rPr>
          <w:rFonts w:eastAsia="Times New Roman" w:cs="Times New Roman"/>
          <w:szCs w:val="18"/>
          <w:lang w:eastAsia="en-AU"/>
        </w:rPr>
        <w:t>components</w:t>
      </w:r>
      <w:r w:rsidR="00D121FA">
        <w:rPr>
          <w:rFonts w:eastAsia="Times New Roman" w:cs="Times New Roman"/>
          <w:szCs w:val="18"/>
          <w:lang w:eastAsia="en-AU"/>
        </w:rPr>
        <w:t xml:space="preserve"> that focus on </w:t>
      </w:r>
      <w:r w:rsidR="000B05C7">
        <w:rPr>
          <w:rFonts w:eastAsia="Times New Roman" w:cs="Times New Roman"/>
          <w:szCs w:val="18"/>
          <w:lang w:eastAsia="en-AU"/>
        </w:rPr>
        <w:t xml:space="preserve">improving the distribution of the health and medical workforce in rural and remote areas. </w:t>
      </w:r>
      <w:r w:rsidR="00613372">
        <w:rPr>
          <w:rFonts w:eastAsia="Times New Roman" w:cs="Times New Roman"/>
          <w:szCs w:val="18"/>
          <w:lang w:eastAsia="en-AU"/>
        </w:rPr>
        <w:t xml:space="preserve">The focus of the STP is </w:t>
      </w:r>
      <w:r w:rsidR="00235EE9">
        <w:rPr>
          <w:rFonts w:eastAsia="Times New Roman" w:cs="Times New Roman"/>
          <w:szCs w:val="18"/>
          <w:lang w:eastAsia="en-AU"/>
        </w:rPr>
        <w:t xml:space="preserve">to </w:t>
      </w:r>
      <w:r w:rsidR="00BF6AF9" w:rsidRPr="00BF6AF9">
        <w:rPr>
          <w:rFonts w:eastAsia="Times New Roman" w:cs="Times New Roman"/>
          <w:szCs w:val="18"/>
          <w:lang w:eastAsia="en-AU"/>
        </w:rPr>
        <w:t>extend vocational training for specialist registrars</w:t>
      </w:r>
      <w:r w:rsidR="00BF6AF9">
        <w:rPr>
          <w:rFonts w:eastAsia="Times New Roman" w:cs="Times New Roman"/>
          <w:szCs w:val="18"/>
          <w:lang w:eastAsia="en-AU"/>
        </w:rPr>
        <w:t xml:space="preserve"> </w:t>
      </w:r>
      <w:r w:rsidR="00BF6AF9" w:rsidRPr="00BF6AF9">
        <w:rPr>
          <w:rFonts w:eastAsia="Times New Roman" w:cs="Times New Roman"/>
          <w:szCs w:val="18"/>
          <w:lang w:eastAsia="en-AU"/>
        </w:rPr>
        <w:t>into settings outside traditional metropolitan teaching hospitals, including regional, rural, remote and private facilities</w:t>
      </w:r>
      <w:r w:rsidR="00BF6AF9">
        <w:rPr>
          <w:rFonts w:eastAsia="Times New Roman" w:cs="Times New Roman"/>
          <w:szCs w:val="18"/>
          <w:lang w:eastAsia="en-AU"/>
        </w:rPr>
        <w:t xml:space="preserve">. </w:t>
      </w:r>
      <w:r w:rsidR="009A34C6">
        <w:rPr>
          <w:rFonts w:eastAsia="Times New Roman" w:cs="Times New Roman"/>
          <w:szCs w:val="18"/>
          <w:lang w:eastAsia="en-AU"/>
        </w:rPr>
        <w:t xml:space="preserve">Additionally, the </w:t>
      </w:r>
      <w:r w:rsidR="009A34C6" w:rsidRPr="005574A1">
        <w:rPr>
          <w:rFonts w:eastAsia="Times New Roman" w:cs="Times New Roman"/>
          <w:i/>
          <w:iCs/>
          <w:szCs w:val="18"/>
          <w:lang w:eastAsia="en-AU"/>
        </w:rPr>
        <w:t xml:space="preserve">SA </w:t>
      </w:r>
      <w:r w:rsidR="005574A1" w:rsidRPr="005574A1">
        <w:rPr>
          <w:rFonts w:eastAsia="Times New Roman" w:cs="Times New Roman"/>
          <w:i/>
          <w:iCs/>
          <w:szCs w:val="18"/>
          <w:lang w:eastAsia="en-AU"/>
        </w:rPr>
        <w:t>Rural Allied and Scientific Health Workforce Plan</w:t>
      </w:r>
      <w:r w:rsidR="009A34C6" w:rsidRPr="005574A1">
        <w:rPr>
          <w:rFonts w:eastAsia="Times New Roman" w:cs="Times New Roman"/>
          <w:i/>
          <w:iCs/>
          <w:szCs w:val="18"/>
          <w:lang w:eastAsia="en-AU"/>
        </w:rPr>
        <w:t xml:space="preserve"> </w:t>
      </w:r>
      <w:r w:rsidR="001C1992">
        <w:rPr>
          <w:rFonts w:eastAsia="Times New Roman" w:cs="Times New Roman"/>
          <w:szCs w:val="18"/>
          <w:lang w:eastAsia="en-AU"/>
        </w:rPr>
        <w:t xml:space="preserve">has a sole focus on the </w:t>
      </w:r>
      <w:r w:rsidR="0083791E">
        <w:rPr>
          <w:rFonts w:eastAsia="Times New Roman" w:cs="Times New Roman"/>
          <w:szCs w:val="18"/>
          <w:lang w:eastAsia="en-AU"/>
        </w:rPr>
        <w:t xml:space="preserve">recruitment, training and development of the health professionals needed to support </w:t>
      </w:r>
      <w:r w:rsidR="008E0E13">
        <w:rPr>
          <w:rFonts w:eastAsia="Times New Roman" w:cs="Times New Roman"/>
          <w:szCs w:val="18"/>
          <w:lang w:eastAsia="en-AU"/>
        </w:rPr>
        <w:t>the delivery of health care in rural and remote areas.</w:t>
      </w:r>
    </w:p>
    <w:p w14:paraId="6DE725D6" w14:textId="3D658F4C" w:rsidR="00FB7A2A" w:rsidRDefault="00970BFF" w:rsidP="004F521A">
      <w:pPr>
        <w:spacing w:before="180"/>
        <w:rPr>
          <w:rFonts w:eastAsia="Times New Roman" w:cs="Times New Roman"/>
          <w:szCs w:val="18"/>
          <w:lang w:eastAsia="en-AU"/>
        </w:rPr>
      </w:pPr>
      <w:r>
        <w:rPr>
          <w:rFonts w:eastAsia="Times New Roman" w:cs="Times New Roman"/>
          <w:szCs w:val="18"/>
          <w:lang w:eastAsia="en-AU"/>
        </w:rPr>
        <w:t xml:space="preserve">Across </w:t>
      </w:r>
      <w:r w:rsidR="00A7304C">
        <w:rPr>
          <w:rFonts w:eastAsia="Times New Roman" w:cs="Times New Roman"/>
          <w:szCs w:val="18"/>
          <w:lang w:eastAsia="en-AU"/>
        </w:rPr>
        <w:t xml:space="preserve">strategies, </w:t>
      </w:r>
      <w:r w:rsidR="0094243E">
        <w:rPr>
          <w:rFonts w:eastAsia="Times New Roman" w:cs="Times New Roman"/>
          <w:szCs w:val="18"/>
          <w:lang w:eastAsia="en-AU"/>
        </w:rPr>
        <w:t>increasing the training and development opportunities in rural and remote areas is often cited as a key component to improve workforce in these underserved areas.</w:t>
      </w:r>
      <w:r w:rsidR="00E947E4">
        <w:rPr>
          <w:rFonts w:eastAsia="Times New Roman" w:cs="Times New Roman"/>
          <w:szCs w:val="18"/>
          <w:lang w:eastAsia="en-AU"/>
        </w:rPr>
        <w:t xml:space="preserve"> The </w:t>
      </w:r>
      <w:r w:rsidR="00314CC6" w:rsidRPr="002E77F2">
        <w:rPr>
          <w:rFonts w:eastAsia="Times New Roman" w:cs="Times New Roman"/>
          <w:i/>
          <w:iCs/>
          <w:szCs w:val="18"/>
          <w:lang w:eastAsia="en-AU"/>
        </w:rPr>
        <w:t xml:space="preserve">National Medical Workforce Strategy </w:t>
      </w:r>
      <w:r w:rsidR="002E77F2">
        <w:rPr>
          <w:rFonts w:eastAsia="Times New Roman" w:cs="Times New Roman"/>
          <w:szCs w:val="18"/>
          <w:lang w:eastAsia="en-AU"/>
        </w:rPr>
        <w:t xml:space="preserve">has specific actions in place to </w:t>
      </w:r>
      <w:r w:rsidR="007053F0">
        <w:rPr>
          <w:rFonts w:eastAsia="Times New Roman" w:cs="Times New Roman"/>
          <w:szCs w:val="18"/>
          <w:lang w:eastAsia="en-AU"/>
        </w:rPr>
        <w:t>incentivise</w:t>
      </w:r>
      <w:r w:rsidR="004673F4">
        <w:rPr>
          <w:rFonts w:eastAsia="Times New Roman" w:cs="Times New Roman"/>
          <w:szCs w:val="18"/>
          <w:lang w:eastAsia="en-AU"/>
        </w:rPr>
        <w:t xml:space="preserve"> rural and remote practice through training pathways and posts available in rural and remote areas</w:t>
      </w:r>
      <w:r w:rsidR="006A71A0">
        <w:rPr>
          <w:rFonts w:eastAsia="Times New Roman" w:cs="Times New Roman"/>
          <w:szCs w:val="18"/>
          <w:lang w:eastAsia="en-AU"/>
        </w:rPr>
        <w:t xml:space="preserve">, the </w:t>
      </w:r>
      <w:r w:rsidR="00915CF2">
        <w:rPr>
          <w:rFonts w:eastAsia="Times New Roman" w:cs="Times New Roman"/>
          <w:szCs w:val="18"/>
          <w:lang w:eastAsia="en-AU"/>
        </w:rPr>
        <w:t>prioritisation</w:t>
      </w:r>
      <w:r w:rsidR="006A71A0">
        <w:rPr>
          <w:rFonts w:eastAsia="Times New Roman" w:cs="Times New Roman"/>
          <w:szCs w:val="18"/>
          <w:lang w:eastAsia="en-AU"/>
        </w:rPr>
        <w:t xml:space="preserve"> of rural and remote training positions, </w:t>
      </w:r>
      <w:r w:rsidR="00E3028C">
        <w:rPr>
          <w:rFonts w:eastAsia="Times New Roman" w:cs="Times New Roman"/>
          <w:szCs w:val="18"/>
          <w:lang w:eastAsia="en-AU"/>
        </w:rPr>
        <w:t xml:space="preserve">formalised training </w:t>
      </w:r>
      <w:r w:rsidR="0079126E">
        <w:rPr>
          <w:rFonts w:eastAsia="Times New Roman" w:cs="Times New Roman"/>
          <w:szCs w:val="18"/>
          <w:lang w:eastAsia="en-AU"/>
        </w:rPr>
        <w:t>networks that build connections between rural and metropolitan health services</w:t>
      </w:r>
      <w:r w:rsidR="00EA2D58">
        <w:rPr>
          <w:rFonts w:eastAsia="Times New Roman" w:cs="Times New Roman"/>
          <w:szCs w:val="18"/>
          <w:lang w:eastAsia="en-AU"/>
        </w:rPr>
        <w:t>,</w:t>
      </w:r>
      <w:r w:rsidR="00BA61E2">
        <w:rPr>
          <w:rFonts w:eastAsia="Times New Roman" w:cs="Times New Roman"/>
          <w:szCs w:val="18"/>
          <w:lang w:eastAsia="en-AU"/>
        </w:rPr>
        <w:t xml:space="preserve"> and having selections processes in place tha</w:t>
      </w:r>
      <w:r w:rsidR="00047E64">
        <w:rPr>
          <w:rFonts w:eastAsia="Times New Roman" w:cs="Times New Roman"/>
          <w:szCs w:val="18"/>
          <w:lang w:eastAsia="en-AU"/>
        </w:rPr>
        <w:t>t target skills and characteristics such as rural origin</w:t>
      </w:r>
      <w:r w:rsidR="005725EF">
        <w:rPr>
          <w:rFonts w:eastAsia="Times New Roman" w:cs="Times New Roman"/>
          <w:szCs w:val="18"/>
          <w:lang w:eastAsia="en-AU"/>
        </w:rPr>
        <w:t xml:space="preserve"> and</w:t>
      </w:r>
      <w:r w:rsidR="00047E64">
        <w:rPr>
          <w:rFonts w:eastAsia="Times New Roman" w:cs="Times New Roman"/>
          <w:szCs w:val="18"/>
          <w:lang w:eastAsia="en-AU"/>
        </w:rPr>
        <w:t xml:space="preserve"> </w:t>
      </w:r>
      <w:r w:rsidR="005725EF">
        <w:rPr>
          <w:rFonts w:eastAsia="Times New Roman" w:cs="Times New Roman"/>
          <w:szCs w:val="18"/>
          <w:lang w:eastAsia="en-AU"/>
        </w:rPr>
        <w:t>Aboriginal and Torres Strait Islander health experience.</w:t>
      </w:r>
      <w:r w:rsidR="007C22CE" w:rsidRPr="00DC27F5">
        <w:rPr>
          <w:rFonts w:eastAsia="Times New Roman" w:cs="Times New Roman"/>
          <w:szCs w:val="18"/>
          <w:vertAlign w:val="superscript"/>
          <w:lang w:eastAsia="en-AU"/>
        </w:rPr>
        <w:fldChar w:fldCharType="begin"/>
      </w:r>
      <w:r w:rsidR="007C22CE" w:rsidRPr="00DC27F5">
        <w:rPr>
          <w:rFonts w:eastAsia="Times New Roman" w:cs="Times New Roman"/>
          <w:szCs w:val="18"/>
          <w:vertAlign w:val="superscript"/>
          <w:lang w:eastAsia="en-AU"/>
        </w:rPr>
        <w:instrText xml:space="preserve"> NOTEREF _Ref182581350 \h </w:instrText>
      </w:r>
      <w:r w:rsidR="007C22CE">
        <w:rPr>
          <w:rFonts w:eastAsia="Times New Roman" w:cs="Times New Roman"/>
          <w:szCs w:val="18"/>
          <w:vertAlign w:val="superscript"/>
          <w:lang w:eastAsia="en-AU"/>
        </w:rPr>
        <w:instrText xml:space="preserve"> \* MERGEFORMAT </w:instrText>
      </w:r>
      <w:r w:rsidR="007C22CE" w:rsidRPr="00DC27F5">
        <w:rPr>
          <w:rFonts w:eastAsia="Times New Roman" w:cs="Times New Roman"/>
          <w:szCs w:val="18"/>
          <w:vertAlign w:val="superscript"/>
          <w:lang w:eastAsia="en-AU"/>
        </w:rPr>
      </w:r>
      <w:r w:rsidR="007C22CE" w:rsidRPr="00DC27F5">
        <w:rPr>
          <w:rFonts w:eastAsia="Times New Roman" w:cs="Times New Roman"/>
          <w:szCs w:val="18"/>
          <w:vertAlign w:val="superscript"/>
          <w:lang w:eastAsia="en-AU"/>
        </w:rPr>
        <w:fldChar w:fldCharType="separate"/>
      </w:r>
      <w:r w:rsidR="005F7EBC">
        <w:rPr>
          <w:rFonts w:eastAsia="Times New Roman" w:cs="Times New Roman"/>
          <w:szCs w:val="18"/>
          <w:vertAlign w:val="superscript"/>
          <w:lang w:eastAsia="en-AU"/>
        </w:rPr>
        <w:t>65</w:t>
      </w:r>
      <w:r w:rsidR="007C22CE" w:rsidRPr="00DC27F5">
        <w:rPr>
          <w:rFonts w:eastAsia="Times New Roman" w:cs="Times New Roman"/>
          <w:szCs w:val="18"/>
          <w:vertAlign w:val="superscript"/>
          <w:lang w:eastAsia="en-AU"/>
        </w:rPr>
        <w:fldChar w:fldCharType="end"/>
      </w:r>
    </w:p>
    <w:p w14:paraId="64372EFF" w14:textId="7C37220F" w:rsidR="00452FBC" w:rsidRDefault="00903DED" w:rsidP="004F521A">
      <w:pPr>
        <w:spacing w:before="180"/>
        <w:rPr>
          <w:rFonts w:eastAsia="Times New Roman" w:cs="Times New Roman"/>
          <w:szCs w:val="18"/>
          <w:lang w:eastAsia="en-AU"/>
        </w:rPr>
      </w:pPr>
      <w:r>
        <w:rPr>
          <w:rFonts w:eastAsia="Times New Roman" w:cs="Times New Roman"/>
          <w:szCs w:val="18"/>
          <w:lang w:eastAsia="en-AU"/>
        </w:rPr>
        <w:t xml:space="preserve">The </w:t>
      </w:r>
      <w:r w:rsidR="006067F1" w:rsidRPr="00122FAB">
        <w:rPr>
          <w:rFonts w:eastAsia="Times New Roman" w:cs="Times New Roman"/>
          <w:i/>
          <w:iCs/>
          <w:szCs w:val="18"/>
          <w:lang w:eastAsia="en-AU"/>
        </w:rPr>
        <w:t>Victoria</w:t>
      </w:r>
      <w:r w:rsidRPr="00122FAB">
        <w:rPr>
          <w:rFonts w:eastAsia="Times New Roman" w:cs="Times New Roman"/>
          <w:i/>
          <w:iCs/>
          <w:szCs w:val="18"/>
          <w:lang w:eastAsia="en-AU"/>
        </w:rPr>
        <w:t xml:space="preserve">n Health Workforce </w:t>
      </w:r>
      <w:r w:rsidR="00051D98" w:rsidRPr="00122FAB">
        <w:rPr>
          <w:rFonts w:eastAsia="Times New Roman" w:cs="Times New Roman"/>
          <w:i/>
          <w:iCs/>
          <w:szCs w:val="18"/>
          <w:lang w:eastAsia="en-AU"/>
        </w:rPr>
        <w:t>Strategy</w:t>
      </w:r>
      <w:r w:rsidR="00051D98">
        <w:rPr>
          <w:rFonts w:eastAsia="Times New Roman" w:cs="Times New Roman"/>
          <w:szCs w:val="18"/>
          <w:lang w:eastAsia="en-AU"/>
        </w:rPr>
        <w:t xml:space="preserve"> has a range of </w:t>
      </w:r>
      <w:r w:rsidR="00556A1D">
        <w:rPr>
          <w:rFonts w:eastAsia="Times New Roman" w:cs="Times New Roman"/>
          <w:szCs w:val="18"/>
          <w:lang w:eastAsia="en-AU"/>
        </w:rPr>
        <w:t>activities</w:t>
      </w:r>
      <w:r w:rsidR="00051D98">
        <w:rPr>
          <w:rFonts w:eastAsia="Times New Roman" w:cs="Times New Roman"/>
          <w:szCs w:val="18"/>
          <w:lang w:eastAsia="en-AU"/>
        </w:rPr>
        <w:t xml:space="preserve"> aimed at workforce distribution</w:t>
      </w:r>
      <w:r w:rsidR="00A85077">
        <w:rPr>
          <w:rFonts w:eastAsia="Times New Roman" w:cs="Times New Roman"/>
          <w:szCs w:val="18"/>
          <w:lang w:eastAsia="en-AU"/>
        </w:rPr>
        <w:t>.</w:t>
      </w:r>
      <w:r w:rsidR="007C22CE" w:rsidRPr="00DC27F5">
        <w:rPr>
          <w:rFonts w:eastAsia="Times New Roman" w:cs="Times New Roman"/>
          <w:szCs w:val="18"/>
          <w:vertAlign w:val="superscript"/>
          <w:lang w:eastAsia="en-AU"/>
        </w:rPr>
        <w:fldChar w:fldCharType="begin"/>
      </w:r>
      <w:r w:rsidR="007C22CE" w:rsidRPr="00DC27F5">
        <w:rPr>
          <w:rFonts w:eastAsia="Times New Roman" w:cs="Times New Roman"/>
          <w:szCs w:val="18"/>
          <w:vertAlign w:val="superscript"/>
          <w:lang w:eastAsia="en-AU"/>
        </w:rPr>
        <w:instrText xml:space="preserve"> NOTEREF _Ref182581371 \h </w:instrText>
      </w:r>
      <w:r w:rsidR="007C22CE">
        <w:rPr>
          <w:rFonts w:eastAsia="Times New Roman" w:cs="Times New Roman"/>
          <w:szCs w:val="18"/>
          <w:vertAlign w:val="superscript"/>
          <w:lang w:eastAsia="en-AU"/>
        </w:rPr>
        <w:instrText xml:space="preserve"> \* MERGEFORMAT </w:instrText>
      </w:r>
      <w:r w:rsidR="007C22CE" w:rsidRPr="00DC27F5">
        <w:rPr>
          <w:rFonts w:eastAsia="Times New Roman" w:cs="Times New Roman"/>
          <w:szCs w:val="18"/>
          <w:vertAlign w:val="superscript"/>
          <w:lang w:eastAsia="en-AU"/>
        </w:rPr>
      </w:r>
      <w:r w:rsidR="007C22CE" w:rsidRPr="00DC27F5">
        <w:rPr>
          <w:rFonts w:eastAsia="Times New Roman" w:cs="Times New Roman"/>
          <w:szCs w:val="18"/>
          <w:vertAlign w:val="superscript"/>
          <w:lang w:eastAsia="en-AU"/>
        </w:rPr>
        <w:fldChar w:fldCharType="separate"/>
      </w:r>
      <w:r w:rsidR="005F7EBC">
        <w:rPr>
          <w:rFonts w:eastAsia="Times New Roman" w:cs="Times New Roman"/>
          <w:szCs w:val="18"/>
          <w:vertAlign w:val="superscript"/>
          <w:lang w:eastAsia="en-AU"/>
        </w:rPr>
        <w:t>67</w:t>
      </w:r>
      <w:r w:rsidR="007C22CE" w:rsidRPr="00DC27F5">
        <w:rPr>
          <w:rFonts w:eastAsia="Times New Roman" w:cs="Times New Roman"/>
          <w:szCs w:val="18"/>
          <w:vertAlign w:val="superscript"/>
          <w:lang w:eastAsia="en-AU"/>
        </w:rPr>
        <w:fldChar w:fldCharType="end"/>
      </w:r>
      <w:r w:rsidR="00A85077">
        <w:rPr>
          <w:rFonts w:eastAsia="Times New Roman" w:cs="Times New Roman"/>
          <w:szCs w:val="18"/>
          <w:lang w:eastAsia="en-AU"/>
        </w:rPr>
        <w:t xml:space="preserve"> These include attracting and retaining health workers in areas with known shortage, </w:t>
      </w:r>
      <w:r w:rsidR="00302697">
        <w:rPr>
          <w:rFonts w:eastAsia="Times New Roman" w:cs="Times New Roman"/>
          <w:szCs w:val="18"/>
          <w:lang w:eastAsia="en-AU"/>
        </w:rPr>
        <w:t xml:space="preserve">including the development of a suite of career planning supports </w:t>
      </w:r>
      <w:r w:rsidR="00556A1D">
        <w:rPr>
          <w:rFonts w:eastAsia="Times New Roman" w:cs="Times New Roman"/>
          <w:szCs w:val="18"/>
          <w:lang w:eastAsia="en-AU"/>
        </w:rPr>
        <w:t>for</w:t>
      </w:r>
      <w:r w:rsidR="00302697">
        <w:rPr>
          <w:rFonts w:eastAsia="Times New Roman" w:cs="Times New Roman"/>
          <w:szCs w:val="18"/>
          <w:lang w:eastAsia="en-AU"/>
        </w:rPr>
        <w:t xml:space="preserve"> prospective students and jobseekers</w:t>
      </w:r>
      <w:r w:rsidR="00556A1D">
        <w:rPr>
          <w:rFonts w:eastAsia="Times New Roman" w:cs="Times New Roman"/>
          <w:szCs w:val="18"/>
          <w:lang w:eastAsia="en-AU"/>
        </w:rPr>
        <w:t>.</w:t>
      </w:r>
      <w:r w:rsidR="006067F1">
        <w:rPr>
          <w:rFonts w:eastAsia="Times New Roman" w:cs="Times New Roman"/>
          <w:szCs w:val="18"/>
          <w:lang w:eastAsia="en-AU"/>
        </w:rPr>
        <w:t xml:space="preserve"> </w:t>
      </w:r>
      <w:r w:rsidR="00122FAB" w:rsidRPr="00122FAB">
        <w:rPr>
          <w:rFonts w:eastAsia="Times New Roman" w:cs="Times New Roman"/>
          <w:i/>
          <w:iCs/>
          <w:szCs w:val="18"/>
          <w:lang w:eastAsia="en-AU"/>
        </w:rPr>
        <w:t>Victorian Health Workforce Strategy</w:t>
      </w:r>
      <w:r w:rsidR="00122FAB">
        <w:rPr>
          <w:rFonts w:eastAsia="Times New Roman" w:cs="Times New Roman"/>
          <w:szCs w:val="18"/>
          <w:lang w:eastAsia="en-AU"/>
        </w:rPr>
        <w:t xml:space="preserve"> also lo</w:t>
      </w:r>
      <w:r w:rsidR="00216BD8">
        <w:rPr>
          <w:rFonts w:eastAsia="Times New Roman" w:cs="Times New Roman"/>
          <w:szCs w:val="18"/>
          <w:lang w:eastAsia="en-AU"/>
        </w:rPr>
        <w:t xml:space="preserve">oks to develop </w:t>
      </w:r>
      <w:r w:rsidR="007358FD">
        <w:rPr>
          <w:rFonts w:eastAsia="Times New Roman" w:cs="Times New Roman"/>
          <w:szCs w:val="18"/>
          <w:lang w:eastAsia="en-AU"/>
        </w:rPr>
        <w:t>strategies</w:t>
      </w:r>
      <w:r w:rsidR="00216BD8">
        <w:rPr>
          <w:rFonts w:eastAsia="Times New Roman" w:cs="Times New Roman"/>
          <w:szCs w:val="18"/>
          <w:lang w:eastAsia="en-AU"/>
        </w:rPr>
        <w:t xml:space="preserve"> for priority r</w:t>
      </w:r>
      <w:r w:rsidR="0054711D">
        <w:rPr>
          <w:rFonts w:eastAsia="Times New Roman" w:cs="Times New Roman"/>
          <w:szCs w:val="18"/>
          <w:lang w:eastAsia="en-AU"/>
        </w:rPr>
        <w:t>o</w:t>
      </w:r>
      <w:r w:rsidR="00216BD8">
        <w:rPr>
          <w:rFonts w:eastAsia="Times New Roman" w:cs="Times New Roman"/>
          <w:szCs w:val="18"/>
          <w:lang w:eastAsia="en-AU"/>
        </w:rPr>
        <w:t xml:space="preserve">les, including working across Government and with service provides and </w:t>
      </w:r>
      <w:r w:rsidR="007358FD">
        <w:rPr>
          <w:rFonts w:eastAsia="Times New Roman" w:cs="Times New Roman"/>
          <w:szCs w:val="18"/>
          <w:lang w:eastAsia="en-AU"/>
        </w:rPr>
        <w:t xml:space="preserve">training and accreditation bodies, and to ensure those in priority roles </w:t>
      </w:r>
      <w:proofErr w:type="gramStart"/>
      <w:r w:rsidR="007358FD">
        <w:rPr>
          <w:rFonts w:eastAsia="Times New Roman" w:cs="Times New Roman"/>
          <w:szCs w:val="18"/>
          <w:lang w:eastAsia="en-AU"/>
        </w:rPr>
        <w:t>are able to</w:t>
      </w:r>
      <w:proofErr w:type="gramEnd"/>
      <w:r w:rsidR="007358FD">
        <w:rPr>
          <w:rFonts w:eastAsia="Times New Roman" w:cs="Times New Roman"/>
          <w:szCs w:val="18"/>
          <w:lang w:eastAsia="en-AU"/>
        </w:rPr>
        <w:t xml:space="preserve"> practice at the top of their scope. </w:t>
      </w:r>
      <w:r w:rsidR="00AF0BAF">
        <w:rPr>
          <w:rFonts w:eastAsia="Times New Roman" w:cs="Times New Roman"/>
          <w:szCs w:val="18"/>
          <w:lang w:eastAsia="en-AU"/>
        </w:rPr>
        <w:t>Finally,</w:t>
      </w:r>
      <w:r w:rsidR="007358FD">
        <w:rPr>
          <w:rFonts w:eastAsia="Times New Roman" w:cs="Times New Roman"/>
          <w:szCs w:val="18"/>
          <w:lang w:eastAsia="en-AU"/>
        </w:rPr>
        <w:t xml:space="preserve"> the strategy </w:t>
      </w:r>
      <w:r w:rsidR="00AF0BAF">
        <w:rPr>
          <w:rFonts w:eastAsia="Times New Roman" w:cs="Times New Roman"/>
          <w:szCs w:val="18"/>
          <w:lang w:eastAsia="en-AU"/>
        </w:rPr>
        <w:t>looks to provide support of more new entrants, re-entrants and role transitions.</w:t>
      </w:r>
    </w:p>
    <w:p w14:paraId="6720B807" w14:textId="7549C31E" w:rsidR="007E71F2" w:rsidRPr="00CB7954" w:rsidRDefault="0045408E" w:rsidP="007E71F2">
      <w:pPr>
        <w:pStyle w:val="BodyText"/>
      </w:pPr>
      <w:r w:rsidRPr="00CB7954">
        <w:rPr>
          <w:rFonts w:eastAsia="Times New Roman" w:cs="Times New Roman"/>
          <w:szCs w:val="18"/>
          <w:lang w:eastAsia="en-AU"/>
        </w:rPr>
        <w:t xml:space="preserve">A key objective of the MPS </w:t>
      </w:r>
      <w:r w:rsidR="004E098C">
        <w:rPr>
          <w:rFonts w:eastAsia="Times New Roman" w:cs="Times New Roman"/>
          <w:szCs w:val="18"/>
          <w:lang w:eastAsia="en-AU"/>
        </w:rPr>
        <w:t>P</w:t>
      </w:r>
      <w:r w:rsidRPr="00CB7954">
        <w:rPr>
          <w:rFonts w:eastAsia="Times New Roman" w:cs="Times New Roman"/>
          <w:szCs w:val="18"/>
          <w:lang w:eastAsia="en-AU"/>
        </w:rPr>
        <w:t>rogram is support the optimal distribution of</w:t>
      </w:r>
      <w:r w:rsidR="007E71F2" w:rsidRPr="00CB7954">
        <w:t xml:space="preserve"> the medical physicist and RPS workforce. Whilst the strategies and plans listed in </w:t>
      </w:r>
      <w:r w:rsidR="006E3E5C">
        <w:fldChar w:fldCharType="begin" w:fldLock="1"/>
      </w:r>
      <w:r w:rsidR="006E3E5C">
        <w:instrText xml:space="preserve"> REF _Ref182580921 \h </w:instrText>
      </w:r>
      <w:r w:rsidR="006E3E5C">
        <w:fldChar w:fldCharType="separate"/>
      </w:r>
      <w:r w:rsidR="00D35A75">
        <w:t xml:space="preserve">Table </w:t>
      </w:r>
      <w:r w:rsidR="00D35A75">
        <w:rPr>
          <w:noProof/>
        </w:rPr>
        <w:t>7</w:t>
      </w:r>
      <w:r w:rsidR="006E3E5C">
        <w:fldChar w:fldCharType="end"/>
      </w:r>
      <w:r w:rsidR="007E71F2" w:rsidRPr="00CB7954">
        <w:t xml:space="preserve"> have a statewide or national focus, and do not specifically relate to the medical physicist and RPS workforce, the MPS Program is broadly aligned to the objectives </w:t>
      </w:r>
      <w:r w:rsidR="009661DF" w:rsidRPr="00CB7954">
        <w:t xml:space="preserve">to State and Commonwealth Governments in ensuring that rural and remote areas have access to </w:t>
      </w:r>
      <w:r w:rsidR="00CB7954" w:rsidRPr="00CB7954">
        <w:t>a skilled and qualified health and medical workforce, including medical physicists and RPS</w:t>
      </w:r>
      <w:r w:rsidR="009015B5">
        <w:t>s</w:t>
      </w:r>
      <w:r w:rsidR="00CB7954" w:rsidRPr="00CB7954">
        <w:t>.</w:t>
      </w:r>
    </w:p>
    <w:p w14:paraId="54400F59" w14:textId="58D0DB5A" w:rsidR="00452FBC" w:rsidRDefault="00F9356C" w:rsidP="004F521A">
      <w:pPr>
        <w:spacing w:before="180"/>
        <w:rPr>
          <w:rFonts w:eastAsia="Times New Roman" w:cs="Times New Roman"/>
          <w:szCs w:val="18"/>
          <w:lang w:eastAsia="en-AU"/>
        </w:rPr>
      </w:pPr>
      <w:r>
        <w:rPr>
          <w:rFonts w:eastAsia="Times New Roman" w:cs="Times New Roman"/>
          <w:szCs w:val="18"/>
          <w:lang w:eastAsia="en-AU"/>
        </w:rPr>
        <w:t>At both the Commonwealth and State level</w:t>
      </w:r>
      <w:r w:rsidR="00C53C4B">
        <w:rPr>
          <w:rFonts w:eastAsia="Times New Roman" w:cs="Times New Roman"/>
          <w:szCs w:val="18"/>
          <w:lang w:eastAsia="en-AU"/>
        </w:rPr>
        <w:t xml:space="preserve">, the development and distribution of the health and medical workforce is a major priority. There are significant shortages of skilled and qualified professionals in a range of areas and the </w:t>
      </w:r>
      <w:r w:rsidR="00F5498C">
        <w:rPr>
          <w:rFonts w:eastAsia="Times New Roman" w:cs="Times New Roman"/>
          <w:szCs w:val="18"/>
          <w:lang w:eastAsia="en-AU"/>
        </w:rPr>
        <w:t xml:space="preserve">strategies and plans listed above demonstrate the importance that the future health and medical workforce </w:t>
      </w:r>
      <w:proofErr w:type="gramStart"/>
      <w:r w:rsidR="0093059B">
        <w:rPr>
          <w:rFonts w:eastAsia="Times New Roman" w:cs="Times New Roman"/>
          <w:szCs w:val="18"/>
          <w:lang w:eastAsia="en-AU"/>
        </w:rPr>
        <w:t>has</w:t>
      </w:r>
      <w:proofErr w:type="gramEnd"/>
      <w:r w:rsidR="0093059B">
        <w:rPr>
          <w:rFonts w:eastAsia="Times New Roman" w:cs="Times New Roman"/>
          <w:szCs w:val="18"/>
          <w:lang w:eastAsia="en-AU"/>
        </w:rPr>
        <w:t xml:space="preserve"> on the health of Australians. The MPS Program supports the development of a small but critical workforce</w:t>
      </w:r>
      <w:r w:rsidR="008833E9">
        <w:rPr>
          <w:rFonts w:eastAsia="Times New Roman" w:cs="Times New Roman"/>
          <w:szCs w:val="18"/>
          <w:lang w:eastAsia="en-AU"/>
        </w:rPr>
        <w:t xml:space="preserve">, including providing incentives for individuals to undertake training in rural and remote settings. </w:t>
      </w:r>
    </w:p>
    <w:p w14:paraId="52B27099" w14:textId="34EA3E82" w:rsidR="00FA40A6" w:rsidRPr="00BD24AD" w:rsidRDefault="00FA40A6" w:rsidP="002F2209">
      <w:pPr>
        <w:spacing w:before="180"/>
        <w:rPr>
          <w:rFonts w:cs="Arial"/>
          <w:szCs w:val="20"/>
        </w:rPr>
      </w:pPr>
      <w:r w:rsidRPr="00DC27F5">
        <w:rPr>
          <w:rFonts w:eastAsia="Times New Roman" w:cs="Times New Roman"/>
          <w:szCs w:val="18"/>
          <w:lang w:eastAsia="en-AU"/>
        </w:rPr>
        <w:t xml:space="preserve">As described above </w:t>
      </w:r>
      <w:r w:rsidR="00941783" w:rsidRPr="00DC27F5">
        <w:rPr>
          <w:rFonts w:eastAsia="Times New Roman" w:cs="Times New Roman"/>
          <w:szCs w:val="18"/>
          <w:lang w:eastAsia="en-AU"/>
        </w:rPr>
        <w:t>t</w:t>
      </w:r>
      <w:r w:rsidR="00DD4186" w:rsidRPr="00DC27F5">
        <w:rPr>
          <w:rFonts w:eastAsia="Times New Roman" w:cs="Times New Roman"/>
          <w:szCs w:val="18"/>
          <w:lang w:eastAsia="en-AU"/>
        </w:rPr>
        <w:t xml:space="preserve">he MPS Program </w:t>
      </w:r>
      <w:r w:rsidR="00FA0561" w:rsidRPr="00DC27F5">
        <w:rPr>
          <w:rFonts w:eastAsia="Times New Roman" w:cs="Times New Roman"/>
          <w:szCs w:val="18"/>
          <w:lang w:eastAsia="en-AU"/>
        </w:rPr>
        <w:t xml:space="preserve">prioritises </w:t>
      </w:r>
      <w:r w:rsidR="00660BD7" w:rsidRPr="00DC27F5">
        <w:rPr>
          <w:rFonts w:eastAsia="Times New Roman" w:cs="Times New Roman"/>
          <w:szCs w:val="18"/>
          <w:lang w:eastAsia="en-AU"/>
        </w:rPr>
        <w:t>training within MMM 2-7 facilities whenever possible</w:t>
      </w:r>
      <w:r w:rsidR="00314E42" w:rsidRPr="00DC27F5">
        <w:rPr>
          <w:i/>
          <w:szCs w:val="20"/>
        </w:rPr>
        <w:t>.</w:t>
      </w:r>
      <w:r w:rsidR="00BD24AD" w:rsidRPr="00DC27F5">
        <w:rPr>
          <w:szCs w:val="20"/>
        </w:rPr>
        <w:t xml:space="preserve"> </w:t>
      </w:r>
      <w:r w:rsidR="000221D3" w:rsidRPr="00DC27F5">
        <w:rPr>
          <w:rFonts w:cs="Arial"/>
          <w:szCs w:val="20"/>
        </w:rPr>
        <w:t xml:space="preserve">Within the </w:t>
      </w:r>
      <w:r w:rsidR="003625B9" w:rsidRPr="00DC27F5">
        <w:rPr>
          <w:rFonts w:cs="Arial"/>
          <w:szCs w:val="20"/>
        </w:rPr>
        <w:t xml:space="preserve">STP, </w:t>
      </w:r>
      <w:r w:rsidR="00E2091A" w:rsidRPr="00DC27F5">
        <w:rPr>
          <w:rFonts w:cs="Arial"/>
          <w:szCs w:val="20"/>
        </w:rPr>
        <w:t>regional, rural and remote locations in MMM2-</w:t>
      </w:r>
      <w:r w:rsidR="00D8298F" w:rsidRPr="00DC27F5">
        <w:rPr>
          <w:rFonts w:cs="Arial"/>
          <w:szCs w:val="20"/>
        </w:rPr>
        <w:t>7</w:t>
      </w:r>
      <w:r w:rsidR="00B31D52" w:rsidRPr="00DC27F5">
        <w:rPr>
          <w:rFonts w:cs="Arial"/>
          <w:szCs w:val="20"/>
        </w:rPr>
        <w:t xml:space="preserve"> </w:t>
      </w:r>
      <w:r w:rsidR="004C2489" w:rsidRPr="00DC27F5">
        <w:rPr>
          <w:rFonts w:cs="Arial"/>
          <w:szCs w:val="20"/>
        </w:rPr>
        <w:t>are key priority setting</w:t>
      </w:r>
      <w:r w:rsidR="0058216C">
        <w:rPr>
          <w:rFonts w:cs="Arial"/>
          <w:szCs w:val="20"/>
        </w:rPr>
        <w:t>s</w:t>
      </w:r>
      <w:r w:rsidR="004C2489" w:rsidRPr="00DC27F5">
        <w:rPr>
          <w:rFonts w:cs="Arial"/>
          <w:szCs w:val="20"/>
        </w:rPr>
        <w:t xml:space="preserve">, </w:t>
      </w:r>
      <w:r w:rsidR="00B31D52" w:rsidRPr="00DC27F5">
        <w:rPr>
          <w:rFonts w:cs="Arial"/>
          <w:szCs w:val="20"/>
        </w:rPr>
        <w:t xml:space="preserve">with </w:t>
      </w:r>
      <w:r w:rsidR="00F36136" w:rsidRPr="00DC27F5">
        <w:rPr>
          <w:rFonts w:cs="Arial"/>
          <w:szCs w:val="20"/>
        </w:rPr>
        <w:t>regional, rural and remote locations</w:t>
      </w:r>
      <w:r w:rsidR="00F60BB9" w:rsidRPr="00DC27F5">
        <w:rPr>
          <w:rFonts w:cs="Arial"/>
          <w:szCs w:val="20"/>
        </w:rPr>
        <w:t xml:space="preserve"> being </w:t>
      </w:r>
      <w:r w:rsidR="007178EC" w:rsidRPr="00DC27F5">
        <w:rPr>
          <w:rFonts w:cs="Arial"/>
          <w:szCs w:val="20"/>
        </w:rPr>
        <w:t>one of</w:t>
      </w:r>
      <w:r w:rsidR="00F60BB9" w:rsidRPr="00DC27F5">
        <w:rPr>
          <w:rFonts w:cs="Arial"/>
          <w:szCs w:val="20"/>
        </w:rPr>
        <w:t xml:space="preserve"> </w:t>
      </w:r>
      <w:r w:rsidR="00471013" w:rsidRPr="00DC27F5">
        <w:rPr>
          <w:rFonts w:cs="Arial"/>
          <w:szCs w:val="20"/>
        </w:rPr>
        <w:t xml:space="preserve">seven </w:t>
      </w:r>
      <w:r w:rsidR="007C22CE" w:rsidRPr="007C22CE">
        <w:rPr>
          <w:rFonts w:cs="Arial"/>
          <w:szCs w:val="20"/>
        </w:rPr>
        <w:t>eligibility</w:t>
      </w:r>
      <w:r w:rsidR="00471013" w:rsidRPr="00DC27F5">
        <w:rPr>
          <w:rFonts w:cs="Arial"/>
          <w:szCs w:val="20"/>
        </w:rPr>
        <w:t xml:space="preserve"> criteria for funding under the STP</w:t>
      </w:r>
      <w:r w:rsidR="00926158" w:rsidRPr="00DC27F5">
        <w:rPr>
          <w:rFonts w:cs="Arial"/>
          <w:szCs w:val="20"/>
        </w:rPr>
        <w:t>.</w:t>
      </w:r>
      <w:r w:rsidR="004E77F9" w:rsidRPr="00DC27F5">
        <w:rPr>
          <w:rFonts w:cs="Arial"/>
          <w:szCs w:val="20"/>
        </w:rPr>
        <w:t xml:space="preserve"> </w:t>
      </w:r>
      <w:r w:rsidR="001377CE" w:rsidRPr="00DC27F5">
        <w:rPr>
          <w:rFonts w:cs="Arial"/>
          <w:szCs w:val="20"/>
        </w:rPr>
        <w:t>However</w:t>
      </w:r>
      <w:r w:rsidR="004E1043">
        <w:rPr>
          <w:rFonts w:cs="Arial"/>
          <w:szCs w:val="20"/>
        </w:rPr>
        <w:t>,</w:t>
      </w:r>
      <w:r w:rsidR="001377CE" w:rsidRPr="00DC27F5">
        <w:rPr>
          <w:rFonts w:cs="Arial"/>
          <w:szCs w:val="20"/>
        </w:rPr>
        <w:t xml:space="preserve"> within the STP, there is</w:t>
      </w:r>
      <w:r w:rsidR="00121231" w:rsidRPr="00DC27F5">
        <w:rPr>
          <w:rFonts w:cs="Arial"/>
          <w:szCs w:val="20"/>
        </w:rPr>
        <w:t xml:space="preserve"> ongoing </w:t>
      </w:r>
      <w:r w:rsidR="00557114" w:rsidRPr="00DC27F5">
        <w:rPr>
          <w:rFonts w:cs="Arial"/>
          <w:szCs w:val="20"/>
        </w:rPr>
        <w:t>consultation and collaboration with State and Territory health departments</w:t>
      </w:r>
      <w:r w:rsidR="00EA1358" w:rsidRPr="00DC27F5">
        <w:rPr>
          <w:rFonts w:cs="Arial"/>
          <w:szCs w:val="20"/>
        </w:rPr>
        <w:t xml:space="preserve"> to understand </w:t>
      </w:r>
      <w:r w:rsidR="009239C3" w:rsidRPr="00DC27F5">
        <w:rPr>
          <w:rFonts w:cs="Arial"/>
          <w:szCs w:val="20"/>
        </w:rPr>
        <w:t xml:space="preserve">areas of </w:t>
      </w:r>
      <w:r w:rsidR="004122E9" w:rsidRPr="00DC27F5">
        <w:rPr>
          <w:rFonts w:cs="Arial"/>
          <w:szCs w:val="20"/>
        </w:rPr>
        <w:t>w</w:t>
      </w:r>
      <w:r w:rsidR="009239C3" w:rsidRPr="00DC27F5">
        <w:rPr>
          <w:rFonts w:cs="Arial"/>
          <w:szCs w:val="20"/>
        </w:rPr>
        <w:t>orkforce need</w:t>
      </w:r>
      <w:r w:rsidR="00B57A03" w:rsidRPr="00DC27F5">
        <w:rPr>
          <w:rFonts w:cs="Arial"/>
          <w:szCs w:val="20"/>
        </w:rPr>
        <w:t xml:space="preserve">, and to address the maldistribution of </w:t>
      </w:r>
      <w:r w:rsidR="00843277" w:rsidRPr="00DC27F5">
        <w:rPr>
          <w:rFonts w:cs="Arial"/>
          <w:szCs w:val="20"/>
        </w:rPr>
        <w:t xml:space="preserve">services that are specific to that jurisdiction and any workforce planning </w:t>
      </w:r>
      <w:r w:rsidR="00D93D22" w:rsidRPr="001A5920">
        <w:rPr>
          <w:rFonts w:cs="Arial"/>
          <w:szCs w:val="20"/>
        </w:rPr>
        <w:t>initiatives</w:t>
      </w:r>
      <w:r w:rsidR="00843277" w:rsidRPr="00DC27F5">
        <w:rPr>
          <w:rFonts w:cs="Arial"/>
          <w:szCs w:val="20"/>
        </w:rPr>
        <w:t xml:space="preserve"> being developed at the State or Territory level.</w:t>
      </w:r>
      <w:r w:rsidR="007B3FC5" w:rsidRPr="00DC27F5">
        <w:rPr>
          <w:rFonts w:cs="Arial"/>
          <w:szCs w:val="20"/>
        </w:rPr>
        <w:t xml:space="preserve"> The allocation of MPS </w:t>
      </w:r>
      <w:r w:rsidR="00F31952">
        <w:rPr>
          <w:rFonts w:cs="Arial"/>
          <w:szCs w:val="20"/>
        </w:rPr>
        <w:t>Program</w:t>
      </w:r>
      <w:r w:rsidR="007B3FC5" w:rsidRPr="00DC27F5">
        <w:rPr>
          <w:rFonts w:cs="Arial"/>
          <w:szCs w:val="20"/>
        </w:rPr>
        <w:t xml:space="preserve"> </w:t>
      </w:r>
      <w:r w:rsidR="00B367E7" w:rsidRPr="00DC27F5">
        <w:rPr>
          <w:rFonts w:cs="Arial"/>
          <w:szCs w:val="20"/>
        </w:rPr>
        <w:t xml:space="preserve">funded positions </w:t>
      </w:r>
      <w:r w:rsidR="00574712" w:rsidRPr="00DC27F5">
        <w:rPr>
          <w:rFonts w:cs="Arial"/>
          <w:szCs w:val="20"/>
        </w:rPr>
        <w:t xml:space="preserve">does not consider </w:t>
      </w:r>
      <w:r w:rsidR="00D602F1" w:rsidRPr="00DC27F5">
        <w:rPr>
          <w:rFonts w:cs="Arial"/>
          <w:szCs w:val="20"/>
        </w:rPr>
        <w:t xml:space="preserve">the needs of each </w:t>
      </w:r>
      <w:r w:rsidR="00A379BF" w:rsidRPr="00DC27F5">
        <w:rPr>
          <w:rFonts w:cs="Arial"/>
          <w:szCs w:val="20"/>
        </w:rPr>
        <w:t>jurisdiction, with little consultation between ACPSEM and the broader health workforce planning functions of State and Territory health departments, or private providers.</w:t>
      </w:r>
    </w:p>
    <w:p w14:paraId="73859F0B" w14:textId="089C1684" w:rsidR="00441198" w:rsidRPr="008A676F" w:rsidRDefault="00FA722A" w:rsidP="002F2209">
      <w:pPr>
        <w:spacing w:before="180"/>
        <w:rPr>
          <w:rFonts w:eastAsia="Times New Roman" w:cs="Times New Roman"/>
          <w:szCs w:val="18"/>
          <w:lang w:eastAsia="en-AU"/>
        </w:rPr>
      </w:pPr>
      <w:r>
        <w:rPr>
          <w:rFonts w:eastAsia="Times New Roman" w:cs="Times New Roman"/>
          <w:szCs w:val="18"/>
          <w:lang w:eastAsia="en-AU"/>
        </w:rPr>
        <w:t>T</w:t>
      </w:r>
      <w:r w:rsidR="0078126C">
        <w:rPr>
          <w:rFonts w:eastAsia="Times New Roman" w:cs="Times New Roman"/>
          <w:szCs w:val="18"/>
          <w:lang w:eastAsia="en-AU"/>
        </w:rPr>
        <w:t xml:space="preserve">he ROMP workforce is a key contributor to the treatment </w:t>
      </w:r>
      <w:r w:rsidR="0016099F">
        <w:rPr>
          <w:rFonts w:eastAsia="Times New Roman" w:cs="Times New Roman"/>
          <w:szCs w:val="18"/>
          <w:lang w:eastAsia="en-AU"/>
        </w:rPr>
        <w:t xml:space="preserve">provided to cancer patients in Australia. The </w:t>
      </w:r>
      <w:r w:rsidR="006C6E9D" w:rsidRPr="002A4DEA">
        <w:rPr>
          <w:rFonts w:eastAsia="Times New Roman" w:cs="Times New Roman"/>
          <w:i/>
          <w:szCs w:val="18"/>
          <w:lang w:eastAsia="en-AU"/>
        </w:rPr>
        <w:t>Australian</w:t>
      </w:r>
      <w:r w:rsidR="0016099F" w:rsidRPr="002A4DEA">
        <w:rPr>
          <w:rFonts w:eastAsia="Times New Roman" w:cs="Times New Roman"/>
          <w:i/>
          <w:szCs w:val="18"/>
          <w:lang w:eastAsia="en-AU"/>
        </w:rPr>
        <w:t xml:space="preserve"> Cancer Plan</w:t>
      </w:r>
      <w:r w:rsidR="0016099F">
        <w:rPr>
          <w:rFonts w:eastAsia="Times New Roman" w:cs="Times New Roman"/>
          <w:szCs w:val="18"/>
          <w:lang w:eastAsia="en-AU"/>
        </w:rPr>
        <w:t xml:space="preserve"> acknowledges the rapid changes in </w:t>
      </w:r>
      <w:r w:rsidR="006C6E9D">
        <w:rPr>
          <w:rFonts w:eastAsia="Times New Roman" w:cs="Times New Roman"/>
          <w:szCs w:val="18"/>
          <w:lang w:eastAsia="en-AU"/>
        </w:rPr>
        <w:t>technology and the role that the training</w:t>
      </w:r>
      <w:r w:rsidR="00004A85">
        <w:rPr>
          <w:rFonts w:eastAsia="Times New Roman" w:cs="Times New Roman"/>
          <w:szCs w:val="18"/>
          <w:lang w:eastAsia="en-AU"/>
        </w:rPr>
        <w:t xml:space="preserve">, recruitment and management of the cancer care workforce, which includes medical physicists, </w:t>
      </w:r>
      <w:r w:rsidR="005F68E6">
        <w:rPr>
          <w:rFonts w:eastAsia="Times New Roman" w:cs="Times New Roman"/>
          <w:szCs w:val="18"/>
          <w:lang w:eastAsia="en-AU"/>
        </w:rPr>
        <w:t>is to optimal cancer care.</w:t>
      </w:r>
    </w:p>
    <w:p w14:paraId="14B1A86A" w14:textId="77777777" w:rsidR="007E76AD" w:rsidRDefault="007E76AD">
      <w:pPr>
        <w:spacing w:before="0" w:after="160" w:line="259" w:lineRule="auto"/>
        <w:rPr>
          <w:rFonts w:ascii="KPMG Bold" w:eastAsiaTheme="majorEastAsia" w:hAnsi="KPMG Bold" w:cstheme="majorBidi"/>
          <w:color w:val="1E49E2" w:themeColor="accent2"/>
          <w:sz w:val="40"/>
          <w:szCs w:val="26"/>
        </w:rPr>
      </w:pPr>
      <w:bookmarkStart w:id="121" w:name="_Ref182567666"/>
      <w:bookmarkStart w:id="122" w:name="_Ref182571352"/>
      <w:r>
        <w:br w:type="page"/>
      </w:r>
    </w:p>
    <w:p w14:paraId="549CCBF1" w14:textId="624E5E54" w:rsidR="00910494" w:rsidRDefault="00910494" w:rsidP="00273E1A">
      <w:pPr>
        <w:pStyle w:val="Heading2"/>
      </w:pPr>
      <w:bookmarkStart w:id="123" w:name="_Ref184198990"/>
      <w:bookmarkStart w:id="124" w:name="_Toc184396569"/>
      <w:bookmarkStart w:id="125" w:name="_Toc216711588"/>
      <w:bookmarkStart w:id="126" w:name="_Toc216791997"/>
      <w:r>
        <w:t>KEQ3: How efficient is the MPS Program?</w:t>
      </w:r>
      <w:bookmarkEnd w:id="121"/>
      <w:bookmarkEnd w:id="122"/>
      <w:bookmarkEnd w:id="123"/>
      <w:bookmarkEnd w:id="124"/>
      <w:bookmarkEnd w:id="125"/>
      <w:bookmarkEnd w:id="126"/>
    </w:p>
    <w:p w14:paraId="5BDCDFDB" w14:textId="29CF3C2D" w:rsidR="002B5D1E" w:rsidRPr="00242835" w:rsidRDefault="00B3611E" w:rsidP="00242835">
      <w:r w:rsidRPr="00242835">
        <w:t xml:space="preserve">The efficiency domain is focused on the extent to which the MPS Program resources are used well to achieve outputs. The domain is being examined through both a financial and administrative lens and includes the identification of existing inefficiencies or opportunities for improvement. </w:t>
      </w:r>
      <w:r w:rsidR="002B5D1E" w:rsidRPr="00242835">
        <w:t>This Section investigates the following sub-questions:</w:t>
      </w:r>
    </w:p>
    <w:p w14:paraId="092C0F43" w14:textId="77777777" w:rsidR="00F218F0" w:rsidRDefault="00F218F0">
      <w:pPr>
        <w:spacing w:before="0" w:after="160" w:line="259" w:lineRule="auto"/>
      </w:pPr>
      <w:r w:rsidRPr="00F218F0">
        <w:t xml:space="preserve">3.1 How well have resources been used in delivering the key outputs for the MPS Program? </w:t>
      </w:r>
    </w:p>
    <w:p w14:paraId="4DF4D88B" w14:textId="15001325" w:rsidR="00BE2454" w:rsidRDefault="00BE2454">
      <w:pPr>
        <w:spacing w:before="0" w:after="160" w:line="259" w:lineRule="auto"/>
      </w:pPr>
      <w:r w:rsidRPr="00BE2454">
        <w:t>3.2 How efficient is the administrative model of the MPS Program?</w:t>
      </w:r>
    </w:p>
    <w:p w14:paraId="5DB5DE91" w14:textId="1CC21EB1" w:rsidR="00BE2454" w:rsidRDefault="00496306">
      <w:pPr>
        <w:spacing w:before="0" w:after="160" w:line="259" w:lineRule="auto"/>
      </w:pPr>
      <w:r w:rsidRPr="00496306">
        <w:t>3.3 How could funding be used more efficiently towards delivery of key outputs or achieving intended outcomes?</w:t>
      </w:r>
    </w:p>
    <w:p w14:paraId="04E8ABE3" w14:textId="77777777" w:rsidR="00EF2548" w:rsidRPr="00EF2548" w:rsidRDefault="00EF2548" w:rsidP="00EF2548">
      <w:pPr>
        <w:spacing w:before="0" w:after="160" w:line="259" w:lineRule="auto"/>
      </w:pPr>
      <w:r w:rsidRPr="00EF2548">
        <w:t xml:space="preserve">3.4 Are there any operational challenges or inefficiencies in the administration of the MPS Program? </w:t>
      </w:r>
    </w:p>
    <w:p w14:paraId="6B9ECEA9" w14:textId="6D16CC73" w:rsidR="00496306" w:rsidRDefault="00EF2548" w:rsidP="00EF2548">
      <w:pPr>
        <w:spacing w:before="0" w:after="160" w:line="259" w:lineRule="auto"/>
      </w:pPr>
      <w:r w:rsidRPr="00EF2548">
        <w:t>•</w:t>
      </w:r>
      <w:r w:rsidRPr="00EF2548">
        <w:tab/>
        <w:t>What steps can be taken to streamline processes and improve efficiency?</w:t>
      </w:r>
    </w:p>
    <w:tbl>
      <w:tblPr>
        <w:tblStyle w:val="TableGrid"/>
        <w:tblW w:w="9870" w:type="dxa"/>
        <w:tblLook w:val="04A0" w:firstRow="1" w:lastRow="0" w:firstColumn="1" w:lastColumn="0" w:noHBand="0" w:noVBand="1"/>
      </w:tblPr>
      <w:tblGrid>
        <w:gridCol w:w="1408"/>
        <w:gridCol w:w="8462"/>
      </w:tblGrid>
      <w:tr w:rsidR="00963C28" w14:paraId="54BD2252" w14:textId="77777777">
        <w:trPr>
          <w:cnfStyle w:val="100000000000" w:firstRow="1" w:lastRow="0" w:firstColumn="0" w:lastColumn="0" w:oddVBand="0" w:evenVBand="0" w:oddHBand="0" w:evenHBand="0" w:firstRowFirstColumn="0" w:firstRowLastColumn="0" w:lastRowFirstColumn="0" w:lastRowLastColumn="0"/>
          <w:trHeight w:val="148"/>
        </w:trPr>
        <w:tc>
          <w:tcPr>
            <w:tcW w:w="1408" w:type="dxa"/>
            <w:tcMar>
              <w:top w:w="113" w:type="dxa"/>
              <w:left w:w="227" w:type="dxa"/>
              <w:bottom w:w="113" w:type="dxa"/>
              <w:right w:w="113" w:type="dxa"/>
            </w:tcMar>
          </w:tcPr>
          <w:p w14:paraId="5DD53ECE" w14:textId="77777777" w:rsidR="00963C28" w:rsidRPr="00DC6578" w:rsidRDefault="00963C28">
            <w:pPr>
              <w:rPr>
                <w:rFonts w:cs="Arial"/>
                <w:b/>
                <w:bCs/>
              </w:rPr>
            </w:pPr>
            <w:r>
              <w:rPr>
                <w:rFonts w:cs="Arial"/>
                <w:b/>
                <w:bCs/>
                <w:noProof/>
              </w:rPr>
              <w:drawing>
                <wp:inline distT="0" distB="0" distL="0" distR="0" wp14:anchorId="36B4F602" wp14:editId="4F63EE94">
                  <wp:extent cx="283780" cy="283780"/>
                  <wp:effectExtent l="0" t="0" r="0" b="0"/>
                  <wp:docPr id="1254589268"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89268" name="Graphic 37">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flipH="1">
                            <a:off x="0" y="0"/>
                            <a:ext cx="292646" cy="292646"/>
                          </a:xfrm>
                          <a:prstGeom prst="rect">
                            <a:avLst/>
                          </a:prstGeom>
                        </pic:spPr>
                      </pic:pic>
                    </a:graphicData>
                  </a:graphic>
                </wp:inline>
              </w:drawing>
            </w:r>
          </w:p>
        </w:tc>
        <w:tc>
          <w:tcPr>
            <w:tcW w:w="8462" w:type="dxa"/>
            <w:vAlign w:val="center"/>
          </w:tcPr>
          <w:p w14:paraId="58D73FF3" w14:textId="77777777" w:rsidR="00963C28" w:rsidRPr="00DC6578" w:rsidRDefault="00963C28">
            <w:pPr>
              <w:rPr>
                <w:rFonts w:cs="Arial"/>
                <w:b/>
                <w:bCs/>
              </w:rPr>
            </w:pPr>
            <w:r w:rsidRPr="00DC6578">
              <w:rPr>
                <w:rFonts w:cs="Arial"/>
                <w:b/>
                <w:bCs/>
              </w:rPr>
              <w:t>Key</w:t>
            </w:r>
            <w:r>
              <w:rPr>
                <w:rFonts w:cs="Arial"/>
                <w:b/>
                <w:bCs/>
              </w:rPr>
              <w:t xml:space="preserve"> </w:t>
            </w:r>
            <w:r w:rsidRPr="00DC6578">
              <w:rPr>
                <w:rFonts w:cs="Arial"/>
                <w:b/>
                <w:bCs/>
              </w:rPr>
              <w:t>findings</w:t>
            </w:r>
          </w:p>
        </w:tc>
      </w:tr>
      <w:tr w:rsidR="00963C28" w14:paraId="3800F06D" w14:textId="77777777">
        <w:trPr>
          <w:cnfStyle w:val="000000100000" w:firstRow="0" w:lastRow="0" w:firstColumn="0" w:lastColumn="0" w:oddVBand="0" w:evenVBand="0" w:oddHBand="1" w:evenHBand="0" w:firstRowFirstColumn="0" w:firstRowLastColumn="0" w:lastRowFirstColumn="0" w:lastRowLastColumn="0"/>
          <w:trHeight w:val="148"/>
        </w:trPr>
        <w:tc>
          <w:tcPr>
            <w:tcW w:w="9870" w:type="dxa"/>
            <w:gridSpan w:val="2"/>
            <w:tcBorders>
              <w:bottom w:val="single" w:sz="2" w:space="0" w:color="1E49E2"/>
            </w:tcBorders>
            <w:shd w:val="clear" w:color="auto" w:fill="F1F4FE"/>
            <w:tcMar>
              <w:top w:w="113" w:type="dxa"/>
              <w:left w:w="227" w:type="dxa"/>
              <w:bottom w:w="113" w:type="dxa"/>
              <w:right w:w="113" w:type="dxa"/>
            </w:tcMar>
          </w:tcPr>
          <w:p w14:paraId="76DA83D8" w14:textId="25849662" w:rsidR="00963C28" w:rsidRPr="00DC6578" w:rsidRDefault="00963C28">
            <w:pPr>
              <w:rPr>
                <w:rFonts w:cs="Arial"/>
                <w:b/>
                <w:bCs/>
              </w:rPr>
            </w:pPr>
            <w:r w:rsidRPr="00963C28">
              <w:rPr>
                <w:rFonts w:cs="Arial"/>
                <w:b/>
                <w:bCs/>
                <w:color w:val="1E49E2" w:themeColor="accent2"/>
              </w:rPr>
              <w:t>Due to substantial data limitations, an accurate assessment of the efficiency of resource use by the MPS Program could not be made. However, some administrative inefficiencies exist</w:t>
            </w:r>
            <w:r w:rsidRPr="00850B5E">
              <w:rPr>
                <w:rFonts w:cs="Arial"/>
                <w:b/>
                <w:bCs/>
                <w:color w:val="1E49E2" w:themeColor="accent2"/>
              </w:rPr>
              <w:t>.</w:t>
            </w:r>
          </w:p>
        </w:tc>
      </w:tr>
      <w:tr w:rsidR="00963C28" w14:paraId="040B5873" w14:textId="77777777">
        <w:trPr>
          <w:trHeight w:val="148"/>
        </w:trPr>
        <w:tc>
          <w:tcPr>
            <w:tcW w:w="9870" w:type="dxa"/>
            <w:gridSpan w:val="2"/>
            <w:tcBorders>
              <w:top w:val="single" w:sz="2" w:space="0" w:color="1E49E2"/>
              <w:bottom w:val="single" w:sz="2" w:space="0" w:color="1E49E2"/>
            </w:tcBorders>
            <w:shd w:val="clear" w:color="auto" w:fill="F2F2F2" w:themeFill="background1" w:themeFillShade="F2"/>
            <w:tcMar>
              <w:top w:w="113" w:type="dxa"/>
              <w:left w:w="227" w:type="dxa"/>
              <w:bottom w:w="113" w:type="dxa"/>
              <w:right w:w="113" w:type="dxa"/>
            </w:tcMar>
          </w:tcPr>
          <w:p w14:paraId="17146249" w14:textId="0E4461F1" w:rsidR="00963C28" w:rsidRPr="00FC52D1" w:rsidRDefault="00963C28">
            <w:pPr>
              <w:rPr>
                <w:rFonts w:cs="Arial"/>
                <w:i/>
              </w:rPr>
            </w:pPr>
            <w:r w:rsidRPr="008E2AB5">
              <w:rPr>
                <w:rFonts w:cs="Arial"/>
                <w:b/>
                <w:bCs/>
                <w:color w:val="1E49E2" w:themeColor="accent2"/>
              </w:rPr>
              <w:t>Strength of evidence:</w:t>
            </w:r>
            <w:r>
              <w:rPr>
                <w:rFonts w:cs="Arial"/>
                <w:b/>
                <w:bCs/>
              </w:rPr>
              <w:t xml:space="preserve"> </w:t>
            </w:r>
            <w:r w:rsidRPr="0043131F">
              <w:rPr>
                <w:rFonts w:cs="Arial"/>
              </w:rPr>
              <w:t>There is</w:t>
            </w:r>
            <w:r>
              <w:rPr>
                <w:rFonts w:cs="Arial"/>
              </w:rPr>
              <w:t xml:space="preserve"> </w:t>
            </w:r>
            <w:r>
              <w:rPr>
                <w:rFonts w:cs="Arial"/>
                <w:b/>
                <w:bCs/>
              </w:rPr>
              <w:t xml:space="preserve">weak evidence </w:t>
            </w:r>
            <w:r>
              <w:rPr>
                <w:rFonts w:cs="Arial"/>
              </w:rPr>
              <w:t>to support financial efficiency findings, and</w:t>
            </w:r>
            <w:r>
              <w:rPr>
                <w:rFonts w:cs="Arial"/>
                <w:b/>
                <w:bCs/>
              </w:rPr>
              <w:t xml:space="preserve"> s</w:t>
            </w:r>
            <w:r w:rsidRPr="0043131F">
              <w:rPr>
                <w:rFonts w:cs="Arial"/>
                <w:b/>
                <w:bCs/>
              </w:rPr>
              <w:t>ome</w:t>
            </w:r>
            <w:r w:rsidRPr="0043131F">
              <w:rPr>
                <w:rFonts w:cs="Arial"/>
                <w:b/>
              </w:rPr>
              <w:t xml:space="preserve"> evidence</w:t>
            </w:r>
            <w:r>
              <w:rPr>
                <w:rFonts w:cs="Arial"/>
                <w:b/>
                <w:bCs/>
              </w:rPr>
              <w:t xml:space="preserve"> </w:t>
            </w:r>
            <w:r w:rsidRPr="0043131F">
              <w:rPr>
                <w:rFonts w:cs="Arial"/>
              </w:rPr>
              <w:t xml:space="preserve">to support </w:t>
            </w:r>
            <w:r>
              <w:rPr>
                <w:rFonts w:cs="Arial"/>
              </w:rPr>
              <w:t>administrative efficiency findings.</w:t>
            </w:r>
          </w:p>
        </w:tc>
      </w:tr>
      <w:tr w:rsidR="00963C28" w14:paraId="54633CAC" w14:textId="77777777" w:rsidTr="00963C28">
        <w:trPr>
          <w:cnfStyle w:val="000000100000" w:firstRow="0" w:lastRow="0" w:firstColumn="0" w:lastColumn="0" w:oddVBand="0" w:evenVBand="0" w:oddHBand="1" w:evenHBand="0" w:firstRowFirstColumn="0" w:firstRowLastColumn="0" w:lastRowFirstColumn="0" w:lastRowLastColumn="0"/>
          <w:trHeight w:val="1497"/>
        </w:trPr>
        <w:tc>
          <w:tcPr>
            <w:tcW w:w="9870" w:type="dxa"/>
            <w:gridSpan w:val="2"/>
            <w:tcBorders>
              <w:top w:val="single" w:sz="2" w:space="0" w:color="1E49E2"/>
              <w:bottom w:val="single" w:sz="2" w:space="0" w:color="1E49E2"/>
            </w:tcBorders>
            <w:tcMar>
              <w:top w:w="113" w:type="dxa"/>
              <w:left w:w="227" w:type="dxa"/>
              <w:bottom w:w="113" w:type="dxa"/>
              <w:right w:w="113" w:type="dxa"/>
            </w:tcMar>
          </w:tcPr>
          <w:p w14:paraId="424CE3A8" w14:textId="77777777" w:rsidR="00963C28" w:rsidRDefault="00963C28">
            <w:pPr>
              <w:pStyle w:val="Tablelistbullet"/>
              <w:numPr>
                <w:ilvl w:val="0"/>
                <w:numId w:val="0"/>
              </w:numPr>
              <w:ind w:left="360" w:hanging="360"/>
            </w:pPr>
            <w:r>
              <w:rPr>
                <w:rFonts w:cs="Arial"/>
                <w:b/>
                <w:bCs/>
                <w:color w:val="1E49E2" w:themeColor="accent2"/>
              </w:rPr>
              <w:t>Key findings</w:t>
            </w:r>
          </w:p>
          <w:p w14:paraId="760A03A8" w14:textId="77777777" w:rsidR="00963C28" w:rsidRDefault="00963C28" w:rsidP="00963C28">
            <w:pPr>
              <w:pStyle w:val="Tablelistbullet"/>
            </w:pPr>
            <w:r w:rsidRPr="00B808BB">
              <w:t>There are challenges to determining financial efficiency of the MPS Program due to inconsistent reporting and activities over time, financial data limitations, and a lack of benchmarking data.</w:t>
            </w:r>
          </w:p>
          <w:p w14:paraId="149FE00E" w14:textId="706E1AFD" w:rsidR="00963C28" w:rsidRPr="00FC52D1" w:rsidRDefault="00963C28" w:rsidP="00963C28">
            <w:pPr>
              <w:pStyle w:val="Tablelistbullet"/>
            </w:pPr>
            <w:r>
              <w:t xml:space="preserve">Supervisor and Registrars </w:t>
            </w:r>
            <w:r w:rsidRPr="007B425A">
              <w:t>commonly encounter</w:t>
            </w:r>
            <w:r>
              <w:t xml:space="preserve"> administrative </w:t>
            </w:r>
            <w:r w:rsidRPr="007B425A">
              <w:t>inefficiencies</w:t>
            </w:r>
            <w:r>
              <w:t xml:space="preserve">, citing challenges with </w:t>
            </w:r>
            <w:r w:rsidR="002C62D5">
              <w:t>ACPSEM</w:t>
            </w:r>
            <w:r>
              <w:t xml:space="preserve"> response times as well as the user friendliness and efficiency of the LMS, ALEX</w:t>
            </w:r>
            <w:r w:rsidRPr="008034E8">
              <w:t>.</w:t>
            </w:r>
          </w:p>
        </w:tc>
      </w:tr>
      <w:tr w:rsidR="00963C28" w14:paraId="7C2BC86D" w14:textId="77777777">
        <w:trPr>
          <w:trHeight w:val="333"/>
        </w:trPr>
        <w:tc>
          <w:tcPr>
            <w:tcW w:w="9870" w:type="dxa"/>
            <w:gridSpan w:val="2"/>
            <w:tcBorders>
              <w:top w:val="single" w:sz="2" w:space="0" w:color="1E49E2"/>
            </w:tcBorders>
            <w:shd w:val="clear" w:color="auto" w:fill="F2F2F2" w:themeFill="background1" w:themeFillShade="F2"/>
            <w:tcMar>
              <w:top w:w="113" w:type="dxa"/>
              <w:left w:w="227" w:type="dxa"/>
              <w:bottom w:w="113" w:type="dxa"/>
              <w:right w:w="113" w:type="dxa"/>
            </w:tcMar>
          </w:tcPr>
          <w:p w14:paraId="7E1B662D" w14:textId="4B0E3DD7" w:rsidR="00963C28" w:rsidRPr="00582C82" w:rsidRDefault="00963C28">
            <w:pPr>
              <w:pStyle w:val="Tablelistbullet"/>
              <w:numPr>
                <w:ilvl w:val="0"/>
                <w:numId w:val="0"/>
              </w:numPr>
            </w:pPr>
            <w:r w:rsidRPr="00E34DB1">
              <w:rPr>
                <w:rFonts w:cs="Arial"/>
                <w:b/>
                <w:color w:val="1E49E2" w:themeColor="accent2"/>
              </w:rPr>
              <w:t>Limitations:</w:t>
            </w:r>
            <w:r>
              <w:t xml:space="preserve"> </w:t>
            </w:r>
            <w:r w:rsidRPr="00963C28">
              <w:rPr>
                <w:rFonts w:cs="Arial"/>
              </w:rPr>
              <w:t>Applicable data limitations for KEQ3 include third party information, multiple data sources, stakeholder consultation pool and RPS limitations</w:t>
            </w:r>
            <w:r>
              <w:rPr>
                <w:rFonts w:cs="Arial"/>
              </w:rPr>
              <w:t>.</w:t>
            </w:r>
          </w:p>
        </w:tc>
      </w:tr>
    </w:tbl>
    <w:p w14:paraId="74002163" w14:textId="2E3B5ACD" w:rsidR="009E59AF" w:rsidRPr="00AE349D" w:rsidRDefault="00BF76B2" w:rsidP="00AE349D">
      <w:pPr>
        <w:pStyle w:val="Heading3"/>
      </w:pPr>
      <w:bookmarkStart w:id="127" w:name="_Ref184195740"/>
      <w:bookmarkStart w:id="128" w:name="_Toc216711589"/>
      <w:r w:rsidRPr="00AE349D">
        <w:t>Financial efficiency</w:t>
      </w:r>
      <w:bookmarkEnd w:id="127"/>
      <w:bookmarkEnd w:id="128"/>
    </w:p>
    <w:p w14:paraId="3138C252" w14:textId="4A69A041" w:rsidR="000B43D3" w:rsidRPr="008F6876" w:rsidRDefault="000B43D3" w:rsidP="000B43D3">
      <w:pPr>
        <w:pStyle w:val="BodyText"/>
        <w:rPr>
          <w:lang w:val="en-US"/>
        </w:rPr>
      </w:pPr>
      <w:r>
        <w:rPr>
          <w:lang w:val="en-US"/>
        </w:rPr>
        <w:t>Financial reporting, with appropriate evidence, ensures that work has occurred</w:t>
      </w:r>
      <w:r w:rsidR="00BF76B2">
        <w:rPr>
          <w:lang w:val="en-US"/>
        </w:rPr>
        <w:t xml:space="preserve"> and</w:t>
      </w:r>
      <w:r>
        <w:rPr>
          <w:lang w:val="en-US"/>
        </w:rPr>
        <w:t xml:space="preserve"> funding has been </w:t>
      </w:r>
      <w:r w:rsidRPr="00510C69">
        <w:rPr>
          <w:lang w:val="en-US"/>
        </w:rPr>
        <w:t>used and expended appropriately in line with the grant agreement.</w:t>
      </w:r>
      <w:r>
        <w:rPr>
          <w:lang w:val="en-US"/>
        </w:rPr>
        <w:t xml:space="preserve"> </w:t>
      </w:r>
      <w:r w:rsidRPr="008F6876">
        <w:t>As part of the funding agreement, ACPSEM is required to provide the following</w:t>
      </w:r>
      <w:r>
        <w:t xml:space="preserve"> financial information</w:t>
      </w:r>
      <w:r w:rsidRPr="008F6876">
        <w:t xml:space="preserve">: </w:t>
      </w:r>
    </w:p>
    <w:p w14:paraId="69839E26" w14:textId="403A55BB" w:rsidR="000B43D3" w:rsidRPr="008F6876" w:rsidRDefault="000B43D3" w:rsidP="00584EC6">
      <w:pPr>
        <w:pStyle w:val="BodyText"/>
        <w:numPr>
          <w:ilvl w:val="0"/>
          <w:numId w:val="55"/>
        </w:numPr>
      </w:pPr>
      <w:r w:rsidRPr="008F6876">
        <w:t>A</w:t>
      </w:r>
      <w:r w:rsidR="00CE55CE">
        <w:t>WP</w:t>
      </w:r>
      <w:r w:rsidRPr="008F6876">
        <w:t xml:space="preserve"> and Budget (annually</w:t>
      </w:r>
      <w:proofErr w:type="gramStart"/>
      <w:r w:rsidRPr="008F6876">
        <w:t>)</w:t>
      </w:r>
      <w:r w:rsidR="00BC1002">
        <w:t>;</w:t>
      </w:r>
      <w:proofErr w:type="gramEnd"/>
      <w:r w:rsidRPr="008F6876">
        <w:t xml:space="preserve"> </w:t>
      </w:r>
    </w:p>
    <w:p w14:paraId="79571A40" w14:textId="5227CBFF" w:rsidR="000B43D3" w:rsidRPr="008F6876" w:rsidRDefault="000B43D3" w:rsidP="00584EC6">
      <w:pPr>
        <w:pStyle w:val="BodyText"/>
        <w:numPr>
          <w:ilvl w:val="0"/>
          <w:numId w:val="55"/>
        </w:numPr>
      </w:pPr>
      <w:r w:rsidRPr="008F6876">
        <w:t>Performance Report</w:t>
      </w:r>
      <w:r w:rsidR="00FF0AA6">
        <w:t>,</w:t>
      </w:r>
      <w:r w:rsidRPr="008F6876">
        <w:t xml:space="preserve"> including an Income and Expenditure Statement for the calendar year (annually)</w:t>
      </w:r>
      <w:r w:rsidR="00BC1002">
        <w:t xml:space="preserve">; and </w:t>
      </w:r>
    </w:p>
    <w:p w14:paraId="1D971285" w14:textId="77777777" w:rsidR="000B43D3" w:rsidRPr="008F6876" w:rsidRDefault="000B43D3" w:rsidP="00584EC6">
      <w:pPr>
        <w:pStyle w:val="BodyText"/>
        <w:numPr>
          <w:ilvl w:val="0"/>
          <w:numId w:val="55"/>
        </w:numPr>
      </w:pPr>
      <w:r w:rsidRPr="008F6876">
        <w:t xml:space="preserve">Financial Acquittal Report, which includes a Financial Declaration and Non-audited Income and Expenditure Statement for the Grant Agreement activity period. </w:t>
      </w:r>
    </w:p>
    <w:p w14:paraId="08B5F2F9" w14:textId="61D0D137" w:rsidR="000B43D3" w:rsidRDefault="00A91CEA" w:rsidP="00A91CEA">
      <w:pPr>
        <w:pStyle w:val="BodyText"/>
      </w:pPr>
      <w:r>
        <w:t>A</w:t>
      </w:r>
      <w:r w:rsidR="000B43D3">
        <w:t xml:space="preserve">nalysis </w:t>
      </w:r>
      <w:r>
        <w:t xml:space="preserve">of </w:t>
      </w:r>
      <w:r w:rsidR="004E098C">
        <w:t>MPS P</w:t>
      </w:r>
      <w:r>
        <w:t xml:space="preserve">rogram expenditure </w:t>
      </w:r>
      <w:r w:rsidR="000B43D3">
        <w:t xml:space="preserve">has been undertaken for the periods: </w:t>
      </w:r>
    </w:p>
    <w:p w14:paraId="4736DD73" w14:textId="2D820228" w:rsidR="000B43D3" w:rsidRDefault="000B43D3" w:rsidP="00584EC6">
      <w:pPr>
        <w:pStyle w:val="BodyText"/>
        <w:numPr>
          <w:ilvl w:val="0"/>
          <w:numId w:val="55"/>
        </w:numPr>
      </w:pPr>
      <w:r>
        <w:t>1 July 2018 to 30 June 2019, (2018</w:t>
      </w:r>
      <w:proofErr w:type="gramStart"/>
      <w:r>
        <w:t>)</w:t>
      </w:r>
      <w:r w:rsidR="0011699C">
        <w:t>;</w:t>
      </w:r>
      <w:proofErr w:type="gramEnd"/>
    </w:p>
    <w:p w14:paraId="1EDA57F3" w14:textId="6D9785F6" w:rsidR="000B43D3" w:rsidRDefault="000B43D3" w:rsidP="00584EC6">
      <w:pPr>
        <w:pStyle w:val="BodyText"/>
        <w:numPr>
          <w:ilvl w:val="0"/>
          <w:numId w:val="55"/>
        </w:numPr>
      </w:pPr>
      <w:r>
        <w:t>1 July 2019 to 30 June 2020 (2019</w:t>
      </w:r>
      <w:proofErr w:type="gramStart"/>
      <w:r>
        <w:t>)</w:t>
      </w:r>
      <w:r w:rsidR="0011699C">
        <w:t>;</w:t>
      </w:r>
      <w:proofErr w:type="gramEnd"/>
      <w:r>
        <w:t xml:space="preserve"> </w:t>
      </w:r>
    </w:p>
    <w:p w14:paraId="396CD095" w14:textId="074D67C1" w:rsidR="000B43D3" w:rsidRDefault="000B43D3" w:rsidP="00584EC6">
      <w:pPr>
        <w:pStyle w:val="BodyText"/>
        <w:numPr>
          <w:ilvl w:val="0"/>
          <w:numId w:val="55"/>
        </w:numPr>
      </w:pPr>
      <w:r>
        <w:t>1 January 2021 to 31 March 2022 (2021</w:t>
      </w:r>
      <w:proofErr w:type="gramStart"/>
      <w:r>
        <w:t>)</w:t>
      </w:r>
      <w:r w:rsidR="0011699C">
        <w:t>;</w:t>
      </w:r>
      <w:proofErr w:type="gramEnd"/>
      <w:r>
        <w:t xml:space="preserve"> </w:t>
      </w:r>
    </w:p>
    <w:p w14:paraId="1E8AACA9" w14:textId="62761FF6" w:rsidR="000B43D3" w:rsidRDefault="000B43D3" w:rsidP="00584EC6">
      <w:pPr>
        <w:pStyle w:val="BodyText"/>
        <w:numPr>
          <w:ilvl w:val="0"/>
          <w:numId w:val="55"/>
        </w:numPr>
      </w:pPr>
      <w:r>
        <w:t>1 March 2022 to 31 December 2022 (2022)</w:t>
      </w:r>
      <w:r w:rsidR="0011699C">
        <w:t>;</w:t>
      </w:r>
      <w:r>
        <w:t xml:space="preserve"> and </w:t>
      </w:r>
    </w:p>
    <w:p w14:paraId="490EA2A4" w14:textId="68B51D0C" w:rsidR="000B43D3" w:rsidRDefault="000B43D3" w:rsidP="00584EC6">
      <w:pPr>
        <w:pStyle w:val="BodyText"/>
        <w:numPr>
          <w:ilvl w:val="0"/>
          <w:numId w:val="55"/>
        </w:numPr>
      </w:pPr>
      <w:r>
        <w:t>1 January 2023 to 31 December 2023 (2023)</w:t>
      </w:r>
      <w:r w:rsidR="0011699C">
        <w:t>.</w:t>
      </w:r>
    </w:p>
    <w:p w14:paraId="6504D349" w14:textId="615E6DB8" w:rsidR="00992AA6" w:rsidRDefault="00992AA6" w:rsidP="00992AA6">
      <w:pPr>
        <w:pStyle w:val="BodyText"/>
      </w:pPr>
      <w:r>
        <w:t xml:space="preserve">In reviewing </w:t>
      </w:r>
      <w:r w:rsidR="00A91CEA">
        <w:t>expenditure</w:t>
      </w:r>
      <w:r>
        <w:t xml:space="preserve"> information, the following data limitations </w:t>
      </w:r>
      <w:r w:rsidR="00230EEC">
        <w:t>should</w:t>
      </w:r>
      <w:r>
        <w:t xml:space="preserve"> be considered. </w:t>
      </w:r>
    </w:p>
    <w:p w14:paraId="052A7A5B" w14:textId="4369D4C8" w:rsidR="00992AA6" w:rsidRDefault="00992AA6" w:rsidP="00584EC6">
      <w:pPr>
        <w:pStyle w:val="BodyText"/>
        <w:numPr>
          <w:ilvl w:val="0"/>
          <w:numId w:val="55"/>
        </w:numPr>
      </w:pPr>
      <w:r w:rsidRPr="009E28D0">
        <w:rPr>
          <w:b/>
          <w:bCs/>
        </w:rPr>
        <w:t>Availability of information:</w:t>
      </w:r>
      <w:r>
        <w:t xml:space="preserve"> </w:t>
      </w:r>
      <w:r w:rsidR="00E34488">
        <w:t>n</w:t>
      </w:r>
      <w:r>
        <w:t xml:space="preserve">ot all reports from the period 2018 – 2023 have been made available. This limits the range and depth of financial analysis that can currently be conducted. Refer to Appendix </w:t>
      </w:r>
      <w:r w:rsidR="0041459A">
        <w:t>D</w:t>
      </w:r>
      <w:r>
        <w:t xml:space="preserve"> </w:t>
      </w:r>
      <w:r w:rsidR="00B22A40">
        <w:t>f</w:t>
      </w:r>
      <w:r>
        <w:t xml:space="preserve">or a breakdown of available grant funding reporting to date. </w:t>
      </w:r>
    </w:p>
    <w:p w14:paraId="4A492FBC" w14:textId="1025F2E5" w:rsidR="008426A1" w:rsidRDefault="00992AA6" w:rsidP="00584EC6">
      <w:pPr>
        <w:pStyle w:val="BodyText"/>
        <w:numPr>
          <w:ilvl w:val="0"/>
          <w:numId w:val="55"/>
        </w:numPr>
      </w:pPr>
      <w:r w:rsidRPr="009E28D0">
        <w:rPr>
          <w:b/>
          <w:bCs/>
        </w:rPr>
        <w:t>Multiple data sources:</w:t>
      </w:r>
      <w:r>
        <w:t xml:space="preserve"> </w:t>
      </w:r>
      <w:r w:rsidR="00E34488">
        <w:t>i</w:t>
      </w:r>
      <w:r>
        <w:t xml:space="preserve">t should be noted that due to information availability, the tables and graphs presented in this </w:t>
      </w:r>
      <w:r w:rsidR="00F549C9">
        <w:t>S</w:t>
      </w:r>
      <w:r>
        <w:t xml:space="preserve">ection use </w:t>
      </w:r>
      <w:r w:rsidR="005D4723">
        <w:t xml:space="preserve">program </w:t>
      </w:r>
      <w:r>
        <w:t xml:space="preserve">data from various sources. </w:t>
      </w:r>
    </w:p>
    <w:p w14:paraId="588E6023" w14:textId="1F39FA0C" w:rsidR="00812640" w:rsidRDefault="002A40B9" w:rsidP="00584EC6">
      <w:pPr>
        <w:pStyle w:val="BodyText"/>
        <w:numPr>
          <w:ilvl w:val="0"/>
          <w:numId w:val="55"/>
        </w:numPr>
      </w:pPr>
      <w:r w:rsidRPr="002A40B9">
        <w:rPr>
          <w:b/>
          <w:bCs/>
        </w:rPr>
        <w:t>Grouping of line items:</w:t>
      </w:r>
      <w:r>
        <w:t xml:space="preserve"> </w:t>
      </w:r>
      <w:r w:rsidR="00E34488">
        <w:t>i</w:t>
      </w:r>
      <w:r w:rsidR="00495952">
        <w:t>n financial reporting for the Training, Education and Assessment stream</w:t>
      </w:r>
      <w:r w:rsidR="00812640" w:rsidRPr="009D2974">
        <w:t>, more detailed line items were utilised</w:t>
      </w:r>
      <w:r w:rsidR="00495952">
        <w:t xml:space="preserve"> b</w:t>
      </w:r>
      <w:r w:rsidR="00495952" w:rsidRPr="009D2974">
        <w:t>etween 2018 to 2021 periods</w:t>
      </w:r>
      <w:r w:rsidR="00812640">
        <w:t>.</w:t>
      </w:r>
      <w:r w:rsidR="00812640" w:rsidRPr="009D2974">
        <w:t xml:space="preserve"> </w:t>
      </w:r>
      <w:r w:rsidR="00812640">
        <w:t>T</w:t>
      </w:r>
      <w:r w:rsidR="00812640" w:rsidRPr="009D2974">
        <w:t>o allow for comparison across all periods</w:t>
      </w:r>
      <w:r w:rsidR="00812640">
        <w:t>, e</w:t>
      </w:r>
      <w:r w:rsidR="00812640" w:rsidRPr="009D2974">
        <w:t xml:space="preserve">xpenditure line items were grouped into high level areas more consistent with the latest reporting layout. </w:t>
      </w:r>
      <w:r w:rsidR="00495952">
        <w:t>In financial reporting for the Medical Physicist Trainee Support Stream, there were</w:t>
      </w:r>
      <w:r w:rsidR="00747DA2" w:rsidRPr="00747DA2">
        <w:t xml:space="preserve"> substantial inconsistencies in reporting against line items and grouping of line items over time, with all line items except for Grants Payable only reported against for just one or two years. Analysis of expenditure against activities over time </w:t>
      </w:r>
      <w:r w:rsidR="00495952">
        <w:t xml:space="preserve">for this stream </w:t>
      </w:r>
      <w:r w:rsidR="00747DA2" w:rsidRPr="00747DA2">
        <w:t>is therefore limited.</w:t>
      </w:r>
    </w:p>
    <w:p w14:paraId="6C868663" w14:textId="7FDE690A" w:rsidR="00392CD6" w:rsidRPr="002E1C65" w:rsidRDefault="00392CD6" w:rsidP="00DC27F5">
      <w:pPr>
        <w:pStyle w:val="Heading4"/>
      </w:pPr>
      <w:r w:rsidRPr="002E1C65">
        <w:t>Training, Education and Assessment Stream</w:t>
      </w:r>
    </w:p>
    <w:p w14:paraId="6C4BECB7" w14:textId="4F426D23" w:rsidR="008A27CD" w:rsidRDefault="008A27CD" w:rsidP="008A27CD">
      <w:pPr>
        <w:pStyle w:val="BodyText"/>
      </w:pPr>
      <w:r>
        <w:t>The allocation of funding excluding GST for the Training, Education and Assessment stream from 2018 until 2025 (calendar years) is shown in</w:t>
      </w:r>
      <w:r w:rsidR="00023C61">
        <w:t xml:space="preserve"> </w:t>
      </w:r>
      <w:r w:rsidR="00023C61">
        <w:fldChar w:fldCharType="begin" w:fldLock="1"/>
      </w:r>
      <w:r w:rsidR="00023C61">
        <w:instrText xml:space="preserve"> REF _Ref182493372 \h </w:instrText>
      </w:r>
      <w:r w:rsidR="00023C61">
        <w:fldChar w:fldCharType="separate"/>
      </w:r>
      <w:r w:rsidR="00D35A75">
        <w:t xml:space="preserve">Table </w:t>
      </w:r>
      <w:r w:rsidR="00D35A75">
        <w:rPr>
          <w:noProof/>
        </w:rPr>
        <w:t>8</w:t>
      </w:r>
      <w:r w:rsidR="00023C61">
        <w:fldChar w:fldCharType="end"/>
      </w:r>
      <w:r>
        <w:t xml:space="preserve">. </w:t>
      </w:r>
    </w:p>
    <w:p w14:paraId="37C520D1" w14:textId="31AC6E85" w:rsidR="008A27CD" w:rsidRDefault="008A27CD" w:rsidP="008A27CD">
      <w:pPr>
        <w:pStyle w:val="Caption"/>
      </w:pPr>
      <w:bookmarkStart w:id="129" w:name="_Ref182493372"/>
      <w:r>
        <w:t xml:space="preserve">Table </w:t>
      </w:r>
      <w:r>
        <w:fldChar w:fldCharType="begin"/>
      </w:r>
      <w:r>
        <w:instrText xml:space="preserve"> SEQ Table \* ARABIC </w:instrText>
      </w:r>
      <w:r>
        <w:fldChar w:fldCharType="separate"/>
      </w:r>
      <w:r w:rsidR="005F7EBC">
        <w:rPr>
          <w:noProof/>
        </w:rPr>
        <w:t>8</w:t>
      </w:r>
      <w:r>
        <w:rPr>
          <w:noProof/>
        </w:rPr>
        <w:fldChar w:fldCharType="end"/>
      </w:r>
      <w:bookmarkEnd w:id="129"/>
      <w:r>
        <w:t xml:space="preserve">: MPS Program grant funding for the Training, Education and Assessment stream (GST exclusive), 2018 – 2025 </w:t>
      </w:r>
    </w:p>
    <w:tbl>
      <w:tblPr>
        <w:tblStyle w:val="GridTable1Light-Accent1"/>
        <w:tblW w:w="0" w:type="auto"/>
        <w:tblBorders>
          <w:top w:val="none" w:sz="0" w:space="0" w:color="auto"/>
          <w:left w:val="none" w:sz="0" w:space="0" w:color="auto"/>
          <w:bottom w:val="none" w:sz="0" w:space="0" w:color="auto"/>
          <w:right w:val="none" w:sz="0" w:space="0" w:color="auto"/>
          <w:insideH w:val="single" w:sz="12" w:space="0" w:color="2171FF" w:themeColor="accent1" w:themeTint="99"/>
        </w:tblBorders>
        <w:tblLayout w:type="fixed"/>
        <w:tblLook w:val="04A0" w:firstRow="1" w:lastRow="0" w:firstColumn="1" w:lastColumn="0" w:noHBand="0" w:noVBand="1"/>
      </w:tblPr>
      <w:tblGrid>
        <w:gridCol w:w="1980"/>
        <w:gridCol w:w="956"/>
        <w:gridCol w:w="956"/>
        <w:gridCol w:w="956"/>
        <w:gridCol w:w="956"/>
        <w:gridCol w:w="956"/>
        <w:gridCol w:w="956"/>
        <w:gridCol w:w="956"/>
        <w:gridCol w:w="956"/>
      </w:tblGrid>
      <w:tr w:rsidR="009600BB" w14:paraId="116144A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1F4FE"/>
          </w:tcPr>
          <w:p w14:paraId="2E218F16" w14:textId="77777777" w:rsidR="009600BB" w:rsidRPr="009E0D93" w:rsidRDefault="009600BB">
            <w:pPr>
              <w:pStyle w:val="BodyText"/>
            </w:pPr>
            <w:r w:rsidRPr="009E0D93">
              <w:t>Year</w:t>
            </w:r>
          </w:p>
        </w:tc>
        <w:tc>
          <w:tcPr>
            <w:tcW w:w="956" w:type="dxa"/>
          </w:tcPr>
          <w:p w14:paraId="587B1070" w14:textId="77777777" w:rsidR="009600BB" w:rsidRPr="009E0D93" w:rsidRDefault="009600BB">
            <w:pPr>
              <w:pStyle w:val="BodyText"/>
              <w:cnfStyle w:val="100000000000" w:firstRow="1" w:lastRow="0" w:firstColumn="0" w:lastColumn="0" w:oddVBand="0" w:evenVBand="0" w:oddHBand="0" w:evenHBand="0" w:firstRowFirstColumn="0" w:firstRowLastColumn="0" w:lastRowFirstColumn="0" w:lastRowLastColumn="0"/>
            </w:pPr>
            <w:r w:rsidRPr="009E0D93">
              <w:t>2018</w:t>
            </w:r>
          </w:p>
        </w:tc>
        <w:tc>
          <w:tcPr>
            <w:tcW w:w="956" w:type="dxa"/>
          </w:tcPr>
          <w:p w14:paraId="0432838A" w14:textId="77777777" w:rsidR="009600BB" w:rsidRPr="009E0D93" w:rsidRDefault="009600BB">
            <w:pPr>
              <w:pStyle w:val="BodyText"/>
              <w:cnfStyle w:val="100000000000" w:firstRow="1" w:lastRow="0" w:firstColumn="0" w:lastColumn="0" w:oddVBand="0" w:evenVBand="0" w:oddHBand="0" w:evenHBand="0" w:firstRowFirstColumn="0" w:firstRowLastColumn="0" w:lastRowFirstColumn="0" w:lastRowLastColumn="0"/>
            </w:pPr>
            <w:r w:rsidRPr="009E0D93">
              <w:t>2019</w:t>
            </w:r>
          </w:p>
        </w:tc>
        <w:tc>
          <w:tcPr>
            <w:tcW w:w="956" w:type="dxa"/>
          </w:tcPr>
          <w:p w14:paraId="20ECF95C" w14:textId="77777777" w:rsidR="009600BB" w:rsidRPr="009E0D93" w:rsidRDefault="009600BB">
            <w:pPr>
              <w:pStyle w:val="BodyText"/>
              <w:cnfStyle w:val="100000000000" w:firstRow="1" w:lastRow="0" w:firstColumn="0" w:lastColumn="0" w:oddVBand="0" w:evenVBand="0" w:oddHBand="0" w:evenHBand="0" w:firstRowFirstColumn="0" w:firstRowLastColumn="0" w:lastRowFirstColumn="0" w:lastRowLastColumn="0"/>
            </w:pPr>
            <w:r w:rsidRPr="009E0D93">
              <w:t>2020</w:t>
            </w:r>
          </w:p>
        </w:tc>
        <w:tc>
          <w:tcPr>
            <w:tcW w:w="956" w:type="dxa"/>
          </w:tcPr>
          <w:p w14:paraId="3E27090D" w14:textId="77777777" w:rsidR="009600BB" w:rsidRPr="009E0D93" w:rsidRDefault="009600BB">
            <w:pPr>
              <w:pStyle w:val="BodyText"/>
              <w:cnfStyle w:val="100000000000" w:firstRow="1" w:lastRow="0" w:firstColumn="0" w:lastColumn="0" w:oddVBand="0" w:evenVBand="0" w:oddHBand="0" w:evenHBand="0" w:firstRowFirstColumn="0" w:firstRowLastColumn="0" w:lastRowFirstColumn="0" w:lastRowLastColumn="0"/>
            </w:pPr>
            <w:r w:rsidRPr="009E0D93">
              <w:t>2021</w:t>
            </w:r>
          </w:p>
        </w:tc>
        <w:tc>
          <w:tcPr>
            <w:tcW w:w="956" w:type="dxa"/>
          </w:tcPr>
          <w:p w14:paraId="7A930E43" w14:textId="77777777" w:rsidR="009600BB" w:rsidRPr="009E0D93" w:rsidRDefault="009600BB">
            <w:pPr>
              <w:pStyle w:val="BodyText"/>
              <w:cnfStyle w:val="100000000000" w:firstRow="1" w:lastRow="0" w:firstColumn="0" w:lastColumn="0" w:oddVBand="0" w:evenVBand="0" w:oddHBand="0" w:evenHBand="0" w:firstRowFirstColumn="0" w:firstRowLastColumn="0" w:lastRowFirstColumn="0" w:lastRowLastColumn="0"/>
            </w:pPr>
            <w:r w:rsidRPr="009E0D93">
              <w:t>2022</w:t>
            </w:r>
          </w:p>
        </w:tc>
        <w:tc>
          <w:tcPr>
            <w:tcW w:w="956" w:type="dxa"/>
          </w:tcPr>
          <w:p w14:paraId="769718AC" w14:textId="77777777" w:rsidR="009600BB" w:rsidRPr="009E0D93" w:rsidRDefault="009600BB">
            <w:pPr>
              <w:pStyle w:val="BodyText"/>
              <w:cnfStyle w:val="100000000000" w:firstRow="1" w:lastRow="0" w:firstColumn="0" w:lastColumn="0" w:oddVBand="0" w:evenVBand="0" w:oddHBand="0" w:evenHBand="0" w:firstRowFirstColumn="0" w:firstRowLastColumn="0" w:lastRowFirstColumn="0" w:lastRowLastColumn="0"/>
            </w:pPr>
            <w:r w:rsidRPr="009E0D93">
              <w:t>2023</w:t>
            </w:r>
          </w:p>
        </w:tc>
        <w:tc>
          <w:tcPr>
            <w:tcW w:w="956" w:type="dxa"/>
          </w:tcPr>
          <w:p w14:paraId="1D9A73E6" w14:textId="77777777" w:rsidR="009600BB" w:rsidRPr="009E0D93" w:rsidRDefault="009600BB">
            <w:pPr>
              <w:pStyle w:val="BodyText"/>
              <w:cnfStyle w:val="100000000000" w:firstRow="1" w:lastRow="0" w:firstColumn="0" w:lastColumn="0" w:oddVBand="0" w:evenVBand="0" w:oddHBand="0" w:evenHBand="0" w:firstRowFirstColumn="0" w:firstRowLastColumn="0" w:lastRowFirstColumn="0" w:lastRowLastColumn="0"/>
            </w:pPr>
            <w:r w:rsidRPr="009E0D93">
              <w:t>2024</w:t>
            </w:r>
          </w:p>
        </w:tc>
        <w:tc>
          <w:tcPr>
            <w:tcW w:w="956" w:type="dxa"/>
          </w:tcPr>
          <w:p w14:paraId="495D0A4F" w14:textId="77777777" w:rsidR="009600BB" w:rsidRPr="009E0D93" w:rsidRDefault="009600BB">
            <w:pPr>
              <w:pStyle w:val="BodyText"/>
              <w:cnfStyle w:val="100000000000" w:firstRow="1" w:lastRow="0" w:firstColumn="0" w:lastColumn="0" w:oddVBand="0" w:evenVBand="0" w:oddHBand="0" w:evenHBand="0" w:firstRowFirstColumn="0" w:firstRowLastColumn="0" w:lastRowFirstColumn="0" w:lastRowLastColumn="0"/>
            </w:pPr>
            <w:r w:rsidRPr="009E0D93">
              <w:t>2025</w:t>
            </w:r>
          </w:p>
        </w:tc>
      </w:tr>
      <w:tr w:rsidR="009600BB" w14:paraId="2DD37154" w14:textId="77777777">
        <w:tc>
          <w:tcPr>
            <w:cnfStyle w:val="001000000000" w:firstRow="0" w:lastRow="0" w:firstColumn="1" w:lastColumn="0" w:oddVBand="0" w:evenVBand="0" w:oddHBand="0" w:evenHBand="0" w:firstRowFirstColumn="0" w:firstRowLastColumn="0" w:lastRowFirstColumn="0" w:lastRowLastColumn="0"/>
            <w:tcW w:w="1980" w:type="dxa"/>
            <w:shd w:val="clear" w:color="auto" w:fill="F1F4FE"/>
          </w:tcPr>
          <w:p w14:paraId="5B9481BB" w14:textId="209FC223" w:rsidR="009600BB" w:rsidRPr="009600BB" w:rsidRDefault="009600BB" w:rsidP="009600BB">
            <w:pPr>
              <w:pStyle w:val="BodyText"/>
            </w:pPr>
            <w:r w:rsidRPr="009600BB">
              <w:t>Funding for the Training, Education and Assessment</w:t>
            </w:r>
          </w:p>
        </w:tc>
        <w:tc>
          <w:tcPr>
            <w:tcW w:w="956" w:type="dxa"/>
            <w:vAlign w:val="center"/>
          </w:tcPr>
          <w:p w14:paraId="6B41B773" w14:textId="2BE77D47" w:rsidR="009600BB" w:rsidRPr="009F51B1" w:rsidRDefault="009600BB" w:rsidP="009600BB">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$4.125m</w:t>
            </w:r>
          </w:p>
        </w:tc>
        <w:tc>
          <w:tcPr>
            <w:tcW w:w="956" w:type="dxa"/>
            <w:vAlign w:val="center"/>
          </w:tcPr>
          <w:p w14:paraId="5327B2C8" w14:textId="6ABDC7FC" w:rsidR="009600BB" w:rsidRPr="009F51B1" w:rsidRDefault="009600BB" w:rsidP="009600BB">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w:t>
            </w:r>
          </w:p>
        </w:tc>
        <w:tc>
          <w:tcPr>
            <w:tcW w:w="956" w:type="dxa"/>
            <w:vAlign w:val="center"/>
          </w:tcPr>
          <w:p w14:paraId="3502942C" w14:textId="0DADFB6C" w:rsidR="009600BB" w:rsidRPr="009F51B1" w:rsidRDefault="009600BB" w:rsidP="009600BB">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 xml:space="preserve">- </w:t>
            </w:r>
          </w:p>
        </w:tc>
        <w:tc>
          <w:tcPr>
            <w:tcW w:w="956" w:type="dxa"/>
            <w:vAlign w:val="center"/>
          </w:tcPr>
          <w:p w14:paraId="3EFB3CF1" w14:textId="66930EC9" w:rsidR="009600BB" w:rsidRPr="009F51B1" w:rsidRDefault="009600BB" w:rsidP="009600BB">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$1.50</w:t>
            </w:r>
            <w:r>
              <w:rPr>
                <w:sz w:val="18"/>
                <w:szCs w:val="20"/>
              </w:rPr>
              <w:t>0</w:t>
            </w:r>
            <w:r w:rsidRPr="009F51B1">
              <w:rPr>
                <w:sz w:val="18"/>
                <w:szCs w:val="20"/>
              </w:rPr>
              <w:t>m</w:t>
            </w:r>
          </w:p>
        </w:tc>
        <w:tc>
          <w:tcPr>
            <w:tcW w:w="956" w:type="dxa"/>
            <w:vAlign w:val="center"/>
          </w:tcPr>
          <w:p w14:paraId="475DC50A" w14:textId="32AB29D5" w:rsidR="009600BB" w:rsidRPr="009F51B1" w:rsidRDefault="009600BB" w:rsidP="009600BB">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$1.5</w:t>
            </w:r>
            <w:r>
              <w:rPr>
                <w:sz w:val="18"/>
                <w:szCs w:val="20"/>
              </w:rPr>
              <w:t>0</w:t>
            </w:r>
            <w:r w:rsidRPr="009F51B1">
              <w:rPr>
                <w:sz w:val="18"/>
                <w:szCs w:val="20"/>
              </w:rPr>
              <w:t>0m</w:t>
            </w:r>
          </w:p>
        </w:tc>
        <w:tc>
          <w:tcPr>
            <w:tcW w:w="956" w:type="dxa"/>
            <w:vAlign w:val="center"/>
          </w:tcPr>
          <w:p w14:paraId="735CE227" w14:textId="6B70B109" w:rsidR="009600BB" w:rsidRPr="009F51B1" w:rsidRDefault="009600BB" w:rsidP="009600BB">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$1.50</w:t>
            </w:r>
            <w:r>
              <w:rPr>
                <w:sz w:val="18"/>
                <w:szCs w:val="20"/>
              </w:rPr>
              <w:t>0</w:t>
            </w:r>
            <w:r w:rsidRPr="009F51B1">
              <w:rPr>
                <w:sz w:val="18"/>
                <w:szCs w:val="20"/>
              </w:rPr>
              <w:t>m</w:t>
            </w:r>
          </w:p>
        </w:tc>
        <w:tc>
          <w:tcPr>
            <w:tcW w:w="956" w:type="dxa"/>
            <w:vAlign w:val="center"/>
          </w:tcPr>
          <w:p w14:paraId="4D5CE3FC" w14:textId="5D448C3F" w:rsidR="009600BB" w:rsidRPr="009F51B1" w:rsidRDefault="009600BB" w:rsidP="009600BB">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$1.5</w:t>
            </w:r>
            <w:r>
              <w:rPr>
                <w:sz w:val="18"/>
                <w:szCs w:val="20"/>
              </w:rPr>
              <w:t>0</w:t>
            </w:r>
            <w:r w:rsidRPr="009F51B1">
              <w:rPr>
                <w:sz w:val="18"/>
                <w:szCs w:val="20"/>
              </w:rPr>
              <w:t>0m</w:t>
            </w:r>
          </w:p>
        </w:tc>
        <w:tc>
          <w:tcPr>
            <w:tcW w:w="956" w:type="dxa"/>
            <w:vAlign w:val="center"/>
          </w:tcPr>
          <w:p w14:paraId="7FA31116" w14:textId="29C52EF8" w:rsidR="009600BB" w:rsidRPr="009F51B1" w:rsidRDefault="009600BB" w:rsidP="009600BB">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$1.50</w:t>
            </w:r>
            <w:r>
              <w:rPr>
                <w:sz w:val="18"/>
                <w:szCs w:val="20"/>
              </w:rPr>
              <w:t>0</w:t>
            </w:r>
            <w:r w:rsidRPr="009F51B1">
              <w:rPr>
                <w:sz w:val="18"/>
                <w:szCs w:val="20"/>
              </w:rPr>
              <w:t>m</w:t>
            </w:r>
          </w:p>
        </w:tc>
      </w:tr>
    </w:tbl>
    <w:p w14:paraId="3E9D9BF1" w14:textId="77777777" w:rsidR="008A27CD" w:rsidRPr="00074AC0" w:rsidRDefault="008A27CD" w:rsidP="008A27CD">
      <w:pPr>
        <w:pStyle w:val="Caption"/>
        <w:rPr>
          <w:szCs w:val="24"/>
        </w:rPr>
      </w:pPr>
      <w:r w:rsidRPr="00074AC0">
        <w:rPr>
          <w:szCs w:val="24"/>
        </w:rPr>
        <w:t>Source: MPS Program Grant Agreements</w:t>
      </w:r>
      <w:r>
        <w:rPr>
          <w:szCs w:val="24"/>
        </w:rPr>
        <w:t xml:space="preserve"> and 2021 MPS Program Acquittal Outcome Letter</w:t>
      </w:r>
    </w:p>
    <w:p w14:paraId="51823FD9" w14:textId="1620D910" w:rsidR="000B43D3" w:rsidRPr="009D2974" w:rsidRDefault="000B43D3" w:rsidP="000B43D3">
      <w:pPr>
        <w:pStyle w:val="BodyText"/>
      </w:pPr>
      <w:r>
        <w:fldChar w:fldCharType="begin" w:fldLock="1"/>
      </w:r>
      <w:r>
        <w:instrText xml:space="preserve"> REF _Ref174697652 \h </w:instrText>
      </w:r>
      <w:r>
        <w:fldChar w:fldCharType="separate"/>
      </w:r>
      <w:r w:rsidR="00D35A75">
        <w:t xml:space="preserve">Figure </w:t>
      </w:r>
      <w:r w:rsidR="00DD65F3" w:rsidDel="00BA2814">
        <w:rPr>
          <w:noProof/>
        </w:rPr>
        <w:t>6</w:t>
      </w:r>
      <w:r>
        <w:fldChar w:fldCharType="end"/>
      </w:r>
      <w:r>
        <w:t xml:space="preserve"> </w:t>
      </w:r>
      <w:r w:rsidRPr="009D2974">
        <w:t>shows the expenditure breakdown</w:t>
      </w:r>
      <w:r w:rsidR="00C22127">
        <w:t xml:space="preserve"> for the Training, Education and Assessment Stream</w:t>
      </w:r>
      <w:r w:rsidRPr="009D2974">
        <w:t xml:space="preserve"> for each period. The following has been observed:</w:t>
      </w:r>
    </w:p>
    <w:p w14:paraId="0CD8529C" w14:textId="0F73EB5A" w:rsidR="000B43D3" w:rsidRPr="009D2974" w:rsidRDefault="000B43D3" w:rsidP="00584EC6">
      <w:pPr>
        <w:pStyle w:val="BodyText"/>
        <w:numPr>
          <w:ilvl w:val="0"/>
          <w:numId w:val="55"/>
        </w:numPr>
      </w:pPr>
      <w:r w:rsidRPr="009D2974">
        <w:t xml:space="preserve">Employment expenses </w:t>
      </w:r>
      <w:r w:rsidR="00FF4102">
        <w:t>are</w:t>
      </w:r>
      <w:r w:rsidRPr="009D2974">
        <w:t xml:space="preserve"> consistently the largest expenditure item, ranging from 4</w:t>
      </w:r>
      <w:r w:rsidR="0090267E">
        <w:t>4</w:t>
      </w:r>
      <w:r w:rsidRPr="009D2974">
        <w:t>% of total expenses</w:t>
      </w:r>
      <w:r w:rsidR="003E7A4E">
        <w:t xml:space="preserve"> in 2018 to </w:t>
      </w:r>
      <w:r w:rsidR="003E7A4E" w:rsidRPr="009D2974">
        <w:t>67%</w:t>
      </w:r>
      <w:r w:rsidR="003E7A4E">
        <w:t xml:space="preserve"> in 2023</w:t>
      </w:r>
      <w:r w:rsidRPr="009D2974">
        <w:t xml:space="preserve">. </w:t>
      </w:r>
      <w:r w:rsidR="00176308">
        <w:t>Employment expenses grew at a compound annual growth rate of 6.1% over the period 2018 to 2023.</w:t>
      </w:r>
    </w:p>
    <w:p w14:paraId="61E5D7ED" w14:textId="165DE2F9" w:rsidR="000B43D3" w:rsidRPr="009D2974" w:rsidRDefault="000B43D3" w:rsidP="00584EC6">
      <w:pPr>
        <w:pStyle w:val="BodyText"/>
        <w:numPr>
          <w:ilvl w:val="0"/>
          <w:numId w:val="55"/>
        </w:numPr>
      </w:pPr>
      <w:r w:rsidRPr="009D2974">
        <w:t xml:space="preserve">Until 2023, </w:t>
      </w:r>
      <w:r w:rsidR="00625443">
        <w:t>c</w:t>
      </w:r>
      <w:r w:rsidRPr="009D2974">
        <w:t xml:space="preserve">ontractors </w:t>
      </w:r>
      <w:r w:rsidR="00B66BB5">
        <w:t>were</w:t>
      </w:r>
      <w:r w:rsidRPr="009D2974">
        <w:t xml:space="preserve"> the second largest expenditure item. In the 2023 period, </w:t>
      </w:r>
      <w:r w:rsidR="00AB5481">
        <w:t xml:space="preserve">there was a notable reduction in </w:t>
      </w:r>
      <w:r w:rsidRPr="009D2974">
        <w:t xml:space="preserve">expenditure </w:t>
      </w:r>
      <w:r w:rsidR="006541DB">
        <w:t xml:space="preserve">on </w:t>
      </w:r>
      <w:r w:rsidR="00625443">
        <w:t>c</w:t>
      </w:r>
      <w:r w:rsidR="006541DB">
        <w:t xml:space="preserve">ontractors </w:t>
      </w:r>
      <w:r w:rsidR="00AB5481">
        <w:t xml:space="preserve">of </w:t>
      </w:r>
      <w:r w:rsidRPr="009D2974">
        <w:t xml:space="preserve">$123,775 or 59%. This appears to be partially offset by an increase in employment expenses by $98,271. </w:t>
      </w:r>
    </w:p>
    <w:p w14:paraId="49999436" w14:textId="77777777" w:rsidR="000B43D3" w:rsidRPr="009D2974" w:rsidRDefault="000B43D3" w:rsidP="00584EC6">
      <w:pPr>
        <w:pStyle w:val="BodyText"/>
        <w:numPr>
          <w:ilvl w:val="0"/>
          <w:numId w:val="55"/>
        </w:numPr>
      </w:pPr>
      <w:r w:rsidRPr="009D2974">
        <w:t xml:space="preserve">Travel expenses significantly increased in the 2022 period by $60,315 (569%) and maintained a similar level in the 2023 period. </w:t>
      </w:r>
    </w:p>
    <w:p w14:paraId="23D7B1C9" w14:textId="3CE750C2" w:rsidR="000B43D3" w:rsidRDefault="000B43D3" w:rsidP="00584EC6">
      <w:pPr>
        <w:pStyle w:val="BodyText"/>
        <w:numPr>
          <w:ilvl w:val="0"/>
          <w:numId w:val="55"/>
        </w:numPr>
      </w:pPr>
      <w:r w:rsidRPr="009D2974">
        <w:t xml:space="preserve">Depreciation and grant add from interest or G1 expenditure items only occurred in the 2018 and 2019 periods.  </w:t>
      </w:r>
    </w:p>
    <w:p w14:paraId="3F3775D0" w14:textId="420491BB" w:rsidR="00B141E8" w:rsidRDefault="00B141E8" w:rsidP="00855A61">
      <w:pPr>
        <w:pStyle w:val="BodyText"/>
      </w:pPr>
      <w:r>
        <w:t xml:space="preserve">While employment expenses comprise a large proportion of </w:t>
      </w:r>
      <w:r w:rsidR="00A72A4D">
        <w:t>expenditure under this stream, a</w:t>
      </w:r>
      <w:r w:rsidR="000537BB">
        <w:t>n absence of</w:t>
      </w:r>
      <w:r>
        <w:t xml:space="preserve"> granular</w:t>
      </w:r>
      <w:r w:rsidR="000537BB">
        <w:t xml:space="preserve"> </w:t>
      </w:r>
      <w:r>
        <w:t xml:space="preserve">employee </w:t>
      </w:r>
      <w:r w:rsidR="00A72A4D">
        <w:t>data including a breakdown of staff time/expenditure allocations to activities</w:t>
      </w:r>
      <w:r w:rsidR="007B20D6">
        <w:t xml:space="preserve"> mean it is challenging to assess efficiency. </w:t>
      </w:r>
      <w:r w:rsidR="001E3F90">
        <w:t>This analysis would be supported</w:t>
      </w:r>
      <w:r w:rsidR="007E6B52">
        <w:t xml:space="preserve"> by </w:t>
      </w:r>
      <w:r w:rsidR="00536652">
        <w:t xml:space="preserve">more granular data and benchmarking data enabling comparisons of </w:t>
      </w:r>
      <w:r w:rsidR="007A49FB">
        <w:t xml:space="preserve">funding arrangements and </w:t>
      </w:r>
      <w:r w:rsidR="00536652">
        <w:t xml:space="preserve">expenditure </w:t>
      </w:r>
      <w:r w:rsidR="001363FF">
        <w:t>to similar programs.</w:t>
      </w:r>
    </w:p>
    <w:p w14:paraId="4BC565E9" w14:textId="7FE8BBD7" w:rsidR="003D46E1" w:rsidRDefault="001A5920">
      <w:pPr>
        <w:spacing w:before="0" w:after="160" w:line="259" w:lineRule="auto"/>
        <w:rPr>
          <w:rFonts w:eastAsia="Times New Roman" w:cs="Times New Roman"/>
          <w:i/>
          <w:color w:val="00338D" w:themeColor="accent1"/>
          <w:sz w:val="18"/>
          <w:szCs w:val="20"/>
          <w:lang w:eastAsia="en-AU"/>
        </w:rPr>
      </w:pPr>
      <w:r>
        <w:br w:type="page"/>
      </w:r>
    </w:p>
    <w:p w14:paraId="24CC4184" w14:textId="08BB02A7" w:rsidR="000B43D3" w:rsidRPr="005E4259" w:rsidRDefault="000B43D3" w:rsidP="000B43D3">
      <w:pPr>
        <w:pStyle w:val="Caption"/>
      </w:pPr>
      <w:bookmarkStart w:id="130" w:name="_Ref174697652"/>
      <w:r>
        <w:t xml:space="preserve">Figure </w:t>
      </w:r>
      <w:r>
        <w:fldChar w:fldCharType="begin"/>
      </w:r>
      <w:r>
        <w:instrText xml:space="preserve"> SEQ Figure \* ARABIC </w:instrText>
      </w:r>
      <w:r>
        <w:fldChar w:fldCharType="separate"/>
      </w:r>
      <w:r w:rsidR="005F7EBC">
        <w:rPr>
          <w:noProof/>
        </w:rPr>
        <w:t>6</w:t>
      </w:r>
      <w:r>
        <w:rPr>
          <w:noProof/>
        </w:rPr>
        <w:fldChar w:fldCharType="end"/>
      </w:r>
      <w:bookmarkEnd w:id="130"/>
      <w:r>
        <w:t>: Training, Education and Assessment Stream Expenditure, 20</w:t>
      </w:r>
      <w:r w:rsidR="00E148C7">
        <w:t xml:space="preserve">18 – 2023 </w:t>
      </w:r>
    </w:p>
    <w:p w14:paraId="4AFA2218" w14:textId="535D6D5E" w:rsidR="000B43D3" w:rsidRDefault="00A176AB" w:rsidP="000B43D3">
      <w:pPr>
        <w:pStyle w:val="BodyText"/>
      </w:pPr>
      <w:r>
        <w:rPr>
          <w:noProof/>
        </w:rPr>
        <w:drawing>
          <wp:inline distT="0" distB="0" distL="0" distR="0" wp14:anchorId="7AF3D3CB" wp14:editId="3B64476D">
            <wp:extent cx="5897880" cy="3726180"/>
            <wp:effectExtent l="0" t="0" r="7620" b="7620"/>
            <wp:docPr id="3" name="Chart 3" descr="Figure 6 shows a bar chart of Training, Education and Assessment Stream Expenditure 2018 - 2023.&#10;Expenses include:&#10;Miscellaneous&#10;Unexpended grants&#10;Grant add (interest/G1)&#10;Reparis/Maintenance&#10;Honorariums&#10;ICT / Telecommunications&#10;Business systems&#10;Contractors&#10;Travel Expenses&#10;Employment Expenses&#10;Insurances&#10;Legal and accounting&#10;Office&#10;Facility Fees (workshops)&#10;Depreciation&#10;Bank Charges. &#10;The largest expense over all years was employment expenses, followed by contractors and honorariums.">
              <a:extLst xmlns:a="http://schemas.openxmlformats.org/drawingml/2006/main">
                <a:ext uri="{FF2B5EF4-FFF2-40B4-BE49-F238E27FC236}">
                  <a16:creationId xmlns:a16="http://schemas.microsoft.com/office/drawing/2014/main" id="{0265AB1A-85D3-2424-635B-0C32BFB5A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8FAD4F2" w14:textId="77777777" w:rsidR="000B43D3" w:rsidRDefault="000B43D3" w:rsidP="000B43D3">
      <w:pPr>
        <w:pStyle w:val="Caption"/>
        <w:rPr>
          <w:szCs w:val="24"/>
        </w:rPr>
      </w:pPr>
      <w:r>
        <w:rPr>
          <w:szCs w:val="24"/>
        </w:rPr>
        <w:t>S</w:t>
      </w:r>
      <w:r w:rsidRPr="00074AC0">
        <w:rPr>
          <w:szCs w:val="24"/>
        </w:rPr>
        <w:t xml:space="preserve">ource: </w:t>
      </w:r>
      <w:r>
        <w:rPr>
          <w:szCs w:val="24"/>
        </w:rPr>
        <w:t xml:space="preserve">KPMG analysis of </w:t>
      </w:r>
      <w:r w:rsidRPr="00074AC0">
        <w:rPr>
          <w:szCs w:val="24"/>
        </w:rPr>
        <w:t xml:space="preserve">MPS Program </w:t>
      </w:r>
      <w:r>
        <w:rPr>
          <w:szCs w:val="24"/>
        </w:rPr>
        <w:t>data</w:t>
      </w:r>
    </w:p>
    <w:p w14:paraId="1BBCC512" w14:textId="77777777" w:rsidR="008A32CC" w:rsidRDefault="008A32CC" w:rsidP="008A32CC">
      <w:pPr>
        <w:pStyle w:val="BodyText"/>
      </w:pPr>
      <w:r>
        <w:t>At the end of the 2018 – 2021 Grant Funding Agreement, an underspend of $51,159.00 existed in the Training, Education and Assessment stream. The budget for this stream was reported to be balanced (no surplus or deficit) in 2023.</w:t>
      </w:r>
    </w:p>
    <w:p w14:paraId="5099A049" w14:textId="23A0EAD9" w:rsidR="00055635" w:rsidRDefault="00055635" w:rsidP="00055635">
      <w:pPr>
        <w:pStyle w:val="BodyText"/>
      </w:pPr>
      <w:r>
        <w:t>In line with the Grant Agreement, the Commonwealth funds received through the Training, Education and Assessment Stream are used by ACPSEM to fund:</w:t>
      </w:r>
    </w:p>
    <w:p w14:paraId="19540A8A" w14:textId="0301F528" w:rsidR="003C2CAB" w:rsidRDefault="003C2CAB" w:rsidP="00584EC6">
      <w:pPr>
        <w:pStyle w:val="BodyText"/>
        <w:numPr>
          <w:ilvl w:val="0"/>
          <w:numId w:val="42"/>
        </w:numPr>
      </w:pPr>
      <w:r w:rsidRPr="00C51723">
        <w:rPr>
          <w:b/>
          <w:bCs/>
        </w:rPr>
        <w:t>Developing the curricula and coordinating training through TEAP</w:t>
      </w:r>
      <w:r>
        <w:t xml:space="preserve">, with funded activities </w:t>
      </w:r>
      <w:r w:rsidR="00885AB5">
        <w:t>such as</w:t>
      </w:r>
      <w:r>
        <w:t xml:space="preserve"> </w:t>
      </w:r>
      <w:r w:rsidRPr="00D31379">
        <w:t xml:space="preserve">dynamic curriculum review, programmatic assessment, </w:t>
      </w:r>
      <w:r w:rsidR="00EF4034">
        <w:t>R</w:t>
      </w:r>
      <w:r w:rsidRPr="00D31379">
        <w:t>egistrar progression management, continuous exam question bank renewal, learning management,</w:t>
      </w:r>
      <w:r>
        <w:t xml:space="preserve"> and</w:t>
      </w:r>
      <w:r w:rsidRPr="00D31379">
        <w:t xml:space="preserve"> site accreditation</w:t>
      </w:r>
      <w:r w:rsidR="00C51723">
        <w:t>.</w:t>
      </w:r>
    </w:p>
    <w:p w14:paraId="5E39F6E8" w14:textId="11C912EA" w:rsidR="002F126F" w:rsidRDefault="003C2CAB" w:rsidP="00584EC6">
      <w:pPr>
        <w:pStyle w:val="BodyText"/>
        <w:numPr>
          <w:ilvl w:val="0"/>
          <w:numId w:val="42"/>
        </w:numPr>
      </w:pPr>
      <w:r w:rsidRPr="00C51723">
        <w:rPr>
          <w:b/>
          <w:bCs/>
        </w:rPr>
        <w:t>Managing the certification of professional standards</w:t>
      </w:r>
      <w:r>
        <w:t xml:space="preserve">, with funded activities </w:t>
      </w:r>
      <w:r w:rsidR="00885AB5">
        <w:t>such as</w:t>
      </w:r>
      <w:r>
        <w:t xml:space="preserve"> registration and certification management, developing Scope of Practice, learning management including CPD, developing an experienced candidate assessment framework, and establishing working groups.</w:t>
      </w:r>
    </w:p>
    <w:p w14:paraId="1D4D9D0B" w14:textId="483574DB" w:rsidR="001A5920" w:rsidRDefault="00896483" w:rsidP="00911607">
      <w:pPr>
        <w:pStyle w:val="BodyText"/>
      </w:pPr>
      <w:r>
        <w:t>Many of these activities, such as dynamic curriculum review, are ongoing</w:t>
      </w:r>
      <w:r w:rsidR="006650AA">
        <w:t xml:space="preserve"> and </w:t>
      </w:r>
      <w:r w:rsidR="00C511F9">
        <w:t>aim to support</w:t>
      </w:r>
      <w:r w:rsidR="006650AA">
        <w:t xml:space="preserve"> the </w:t>
      </w:r>
      <w:r w:rsidR="00430AF9">
        <w:t xml:space="preserve">experiences of Registrars and Supervisors and </w:t>
      </w:r>
      <w:r w:rsidR="00F82F5A">
        <w:t xml:space="preserve">improve </w:t>
      </w:r>
      <w:r w:rsidR="006650AA">
        <w:t>quality</w:t>
      </w:r>
      <w:r w:rsidR="00430AF9">
        <w:t xml:space="preserve"> </w:t>
      </w:r>
      <w:r w:rsidR="006650AA">
        <w:t xml:space="preserve">of training </w:t>
      </w:r>
      <w:r w:rsidR="00430AF9">
        <w:t xml:space="preserve">provided </w:t>
      </w:r>
      <w:r w:rsidR="00CF449F">
        <w:t>through</w:t>
      </w:r>
      <w:r w:rsidR="006650AA">
        <w:t xml:space="preserve"> TEA</w:t>
      </w:r>
      <w:r w:rsidR="001125F8">
        <w:t>P</w:t>
      </w:r>
      <w:r w:rsidR="006650AA">
        <w:t>.</w:t>
      </w:r>
      <w:r w:rsidR="00E71E22">
        <w:t xml:space="preserve"> </w:t>
      </w:r>
      <w:r w:rsidR="00EA7C69">
        <w:t>Under this stream</w:t>
      </w:r>
      <w:r w:rsidR="0049502D">
        <w:t>,</w:t>
      </w:r>
      <w:r w:rsidR="000C074F">
        <w:t xml:space="preserve"> ACPSEM’s KPIs are primarily linked to number of enrolments and certifications.</w:t>
      </w:r>
      <w:r w:rsidR="003F35B0">
        <w:t xml:space="preserve"> </w:t>
      </w:r>
      <w:r w:rsidR="00BB0096">
        <w:fldChar w:fldCharType="begin" w:fldLock="1"/>
      </w:r>
      <w:r w:rsidR="00BB0096">
        <w:instrText xml:space="preserve"> REF _Ref184038513 \h </w:instrText>
      </w:r>
      <w:r w:rsidR="00BB0096">
        <w:fldChar w:fldCharType="separate"/>
      </w:r>
      <w:r w:rsidR="00BB0096">
        <w:t xml:space="preserve">Figure </w:t>
      </w:r>
      <w:r w:rsidR="00DD65F3" w:rsidDel="00BA2814">
        <w:rPr>
          <w:noProof/>
        </w:rPr>
        <w:t>7</w:t>
      </w:r>
      <w:r w:rsidR="00BB0096">
        <w:fldChar w:fldCharType="end"/>
      </w:r>
      <w:r w:rsidR="00BB0096">
        <w:t xml:space="preserve"> </w:t>
      </w:r>
      <w:r w:rsidR="009B0CE2">
        <w:t xml:space="preserve">and </w:t>
      </w:r>
      <w:r w:rsidR="00BB0096">
        <w:fldChar w:fldCharType="begin" w:fldLock="1"/>
      </w:r>
      <w:r w:rsidR="00BB0096">
        <w:instrText xml:space="preserve"> REF _Ref184038523 \h </w:instrText>
      </w:r>
      <w:r w:rsidR="00BB0096">
        <w:fldChar w:fldCharType="separate"/>
      </w:r>
      <w:r w:rsidR="00BB0096">
        <w:t xml:space="preserve">Figure </w:t>
      </w:r>
      <w:r w:rsidR="00DD65F3" w:rsidDel="00BA2814">
        <w:rPr>
          <w:noProof/>
        </w:rPr>
        <w:t>8</w:t>
      </w:r>
      <w:r w:rsidR="00BB0096">
        <w:fldChar w:fldCharType="end"/>
      </w:r>
      <w:r w:rsidR="00BB0096">
        <w:t xml:space="preserve"> </w:t>
      </w:r>
      <w:r w:rsidR="009B0CE2">
        <w:t>show that the</w:t>
      </w:r>
      <w:r w:rsidR="00767340">
        <w:t xml:space="preserve"> number of enrolments and </w:t>
      </w:r>
      <w:r w:rsidR="004B67D0">
        <w:t xml:space="preserve">certifications </w:t>
      </w:r>
      <w:r w:rsidR="009B0CE2">
        <w:t xml:space="preserve">were relatively steady </w:t>
      </w:r>
      <w:r w:rsidR="001B5848">
        <w:t>over time</w:t>
      </w:r>
      <w:r w:rsidR="009B0CE2">
        <w:t xml:space="preserve">, with an </w:t>
      </w:r>
      <w:r w:rsidR="00E27239">
        <w:t xml:space="preserve">annual </w:t>
      </w:r>
      <w:r w:rsidR="009B0CE2">
        <w:t>average of 11</w:t>
      </w:r>
      <w:r w:rsidR="00037D81">
        <w:t>6.5</w:t>
      </w:r>
      <w:r w:rsidR="009B0CE2">
        <w:t xml:space="preserve"> enrolments in TEAP</w:t>
      </w:r>
      <w:r w:rsidR="001B5848">
        <w:t xml:space="preserve"> </w:t>
      </w:r>
      <w:r w:rsidR="0047555D">
        <w:t xml:space="preserve">throughout </w:t>
      </w:r>
      <w:r w:rsidR="001B5848">
        <w:t>2018</w:t>
      </w:r>
      <w:r w:rsidR="0047555D">
        <w:t xml:space="preserve"> – </w:t>
      </w:r>
      <w:r w:rsidR="001B5848">
        <w:t>2023</w:t>
      </w:r>
      <w:r w:rsidR="009B0CE2">
        <w:t>, and 2</w:t>
      </w:r>
      <w:r w:rsidR="00794ADD">
        <w:t>4</w:t>
      </w:r>
      <w:r w:rsidR="00037D81">
        <w:t>.5</w:t>
      </w:r>
      <w:r w:rsidR="009B0CE2">
        <w:t xml:space="preserve"> certifications </w:t>
      </w:r>
      <w:r w:rsidR="00037D81">
        <w:t>across the same period</w:t>
      </w:r>
      <w:r w:rsidR="009B0CE2">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4681"/>
        <w:gridCol w:w="4957"/>
      </w:tblGrid>
      <w:tr w:rsidR="003C6E21" w14:paraId="1E35A671" w14:textId="77777777" w:rsidTr="00226194">
        <w:trPr>
          <w:cnfStyle w:val="100000000000" w:firstRow="1" w:lastRow="0" w:firstColumn="0" w:lastColumn="0" w:oddVBand="0" w:evenVBand="0" w:oddHBand="0" w:evenHBand="0" w:firstRowFirstColumn="0" w:firstRowLastColumn="0" w:lastRowFirstColumn="0" w:lastRowLastColumn="0"/>
        </w:trPr>
        <w:tc>
          <w:tcPr>
            <w:tcW w:w="4785" w:type="dxa"/>
            <w:tcBorders>
              <w:top w:val="nil"/>
              <w:left w:val="nil"/>
              <w:bottom w:val="nil"/>
              <w:right w:val="nil"/>
            </w:tcBorders>
          </w:tcPr>
          <w:p w14:paraId="234DE4D5" w14:textId="397AF040" w:rsidR="00DC5AF5" w:rsidRPr="00A2026E" w:rsidRDefault="00DC5AF5" w:rsidP="00DC5AF5">
            <w:pPr>
              <w:pStyle w:val="Caption"/>
              <w:rPr>
                <w:color w:val="FFFFFF" w:themeColor="background1"/>
              </w:rPr>
            </w:pPr>
            <w:bookmarkStart w:id="131" w:name="_Ref184038513"/>
            <w:r w:rsidRPr="00A2026E">
              <w:rPr>
                <w:color w:val="FFFFFF" w:themeColor="background1"/>
              </w:rPr>
              <w:t xml:space="preserve">Figure </w:t>
            </w:r>
            <w:r w:rsidRPr="00A2026E">
              <w:rPr>
                <w:color w:val="FFFFFF" w:themeColor="background1"/>
              </w:rPr>
              <w:fldChar w:fldCharType="begin"/>
            </w:r>
            <w:r w:rsidRPr="00A2026E">
              <w:rPr>
                <w:color w:val="FFFFFF" w:themeColor="background1"/>
              </w:rPr>
              <w:instrText>SEQ Figure \* ARABIC</w:instrText>
            </w:r>
            <w:r w:rsidRPr="00A2026E">
              <w:rPr>
                <w:color w:val="FFFFFF" w:themeColor="background1"/>
              </w:rPr>
              <w:fldChar w:fldCharType="separate"/>
            </w:r>
            <w:r w:rsidR="005F7EBC" w:rsidRPr="00A2026E">
              <w:rPr>
                <w:noProof/>
                <w:color w:val="FFFFFF" w:themeColor="background1"/>
              </w:rPr>
              <w:t>7</w:t>
            </w:r>
            <w:r w:rsidRPr="00A2026E">
              <w:rPr>
                <w:color w:val="FFFFFF" w:themeColor="background1"/>
              </w:rPr>
              <w:fldChar w:fldCharType="end"/>
            </w:r>
            <w:bookmarkEnd w:id="131"/>
            <w:r w:rsidRPr="00A2026E">
              <w:rPr>
                <w:color w:val="FFFFFF" w:themeColor="background1"/>
              </w:rPr>
              <w:t>: Actual and total enrolment, 2018-2023.</w:t>
            </w:r>
          </w:p>
          <w:p w14:paraId="02E3DDCD" w14:textId="70374480" w:rsidR="001B5848" w:rsidRPr="001B5848" w:rsidRDefault="001B5848" w:rsidP="00911607">
            <w:pPr>
              <w:pStyle w:val="BodyText"/>
              <w:rPr>
                <w:noProof/>
                <w:color w:val="auto"/>
              </w:rPr>
            </w:pPr>
            <w:r>
              <w:rPr>
                <w:noProof/>
              </w:rPr>
              <w:drawing>
                <wp:inline distT="0" distB="0" distL="0" distR="0" wp14:anchorId="134BD67E" wp14:editId="3AAB45F9">
                  <wp:extent cx="3148717" cy="2463800"/>
                  <wp:effectExtent l="0" t="0" r="0" b="0"/>
                  <wp:docPr id="360532688" name="Chart 1" descr="Figure 7 is a line graph which shows the actual and total enrolment 2018 - 2023. It shows that the number of enrolments were relatively steady over time, with an annual average of 116.5 enrolments in TEAP througout 2018 - 2023.&#10;">
                    <a:extLst xmlns:a="http://schemas.openxmlformats.org/drawingml/2006/main">
                      <a:ext uri="{FF2B5EF4-FFF2-40B4-BE49-F238E27FC236}">
                        <a16:creationId xmlns:a16="http://schemas.microsoft.com/office/drawing/2014/main" id="{BC648AC1-3B88-4610-A5A8-BD9F6FFF0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16C5F7" w14:textId="77777777" w:rsidR="001B5848" w:rsidRDefault="007E2A60" w:rsidP="007E2A60">
            <w:pPr>
              <w:pStyle w:val="Caption"/>
              <w:rPr>
                <w:szCs w:val="24"/>
              </w:rPr>
            </w:pPr>
            <w:r>
              <w:rPr>
                <w:szCs w:val="24"/>
              </w:rPr>
              <w:t>S</w:t>
            </w:r>
            <w:r w:rsidRPr="00074AC0">
              <w:rPr>
                <w:szCs w:val="24"/>
              </w:rPr>
              <w:t xml:space="preserve">ource: </w:t>
            </w:r>
            <w:r>
              <w:rPr>
                <w:szCs w:val="24"/>
              </w:rPr>
              <w:t xml:space="preserve">KPMG analysis of </w:t>
            </w:r>
            <w:r w:rsidRPr="00074AC0">
              <w:rPr>
                <w:szCs w:val="24"/>
              </w:rPr>
              <w:t xml:space="preserve">MPS Program </w:t>
            </w:r>
            <w:r>
              <w:rPr>
                <w:szCs w:val="24"/>
              </w:rPr>
              <w:t>data</w:t>
            </w:r>
          </w:p>
          <w:p w14:paraId="1A5BD76A" w14:textId="7DB23167" w:rsidR="00DC5AF5" w:rsidRPr="00DC5AF5" w:rsidRDefault="00DC5AF5" w:rsidP="00DC5AF5">
            <w:pPr>
              <w:pStyle w:val="BodyText"/>
              <w:rPr>
                <w:lang w:eastAsia="en-AU"/>
              </w:rPr>
            </w:pPr>
          </w:p>
        </w:tc>
        <w:tc>
          <w:tcPr>
            <w:tcW w:w="4853" w:type="dxa"/>
            <w:tcBorders>
              <w:top w:val="nil"/>
              <w:left w:val="nil"/>
              <w:bottom w:val="nil"/>
              <w:right w:val="nil"/>
            </w:tcBorders>
          </w:tcPr>
          <w:p w14:paraId="336F4DF7" w14:textId="2800B19C" w:rsidR="00B51834" w:rsidRPr="00A2026E" w:rsidRDefault="00DC5AF5" w:rsidP="007E2A60">
            <w:pPr>
              <w:pStyle w:val="Caption"/>
              <w:rPr>
                <w:color w:val="FFFFFF" w:themeColor="background1"/>
              </w:rPr>
            </w:pPr>
            <w:bookmarkStart w:id="132" w:name="_Ref184038523"/>
            <w:r w:rsidRPr="00A2026E">
              <w:rPr>
                <w:color w:val="FFFFFF" w:themeColor="background1"/>
              </w:rPr>
              <w:t xml:space="preserve">Figure </w:t>
            </w:r>
            <w:r w:rsidRPr="00A2026E">
              <w:rPr>
                <w:color w:val="FFFFFF" w:themeColor="background1"/>
              </w:rPr>
              <w:fldChar w:fldCharType="begin"/>
            </w:r>
            <w:r w:rsidRPr="00A2026E">
              <w:rPr>
                <w:color w:val="FFFFFF" w:themeColor="background1"/>
              </w:rPr>
              <w:instrText>SEQ Figure \* ARABIC</w:instrText>
            </w:r>
            <w:r w:rsidRPr="00A2026E">
              <w:rPr>
                <w:color w:val="FFFFFF" w:themeColor="background1"/>
              </w:rPr>
              <w:fldChar w:fldCharType="separate"/>
            </w:r>
            <w:r w:rsidR="005F7EBC" w:rsidRPr="00A2026E">
              <w:rPr>
                <w:noProof/>
                <w:color w:val="FFFFFF" w:themeColor="background1"/>
              </w:rPr>
              <w:t>8</w:t>
            </w:r>
            <w:r w:rsidRPr="00A2026E">
              <w:rPr>
                <w:color w:val="FFFFFF" w:themeColor="background1"/>
              </w:rPr>
              <w:fldChar w:fldCharType="end"/>
            </w:r>
            <w:bookmarkEnd w:id="132"/>
            <w:r w:rsidRPr="00A2026E">
              <w:rPr>
                <w:color w:val="FFFFFF" w:themeColor="background1"/>
              </w:rPr>
              <w:t>: Actual and total average total number of new TEAP certification/registrations, 2018-2023.</w:t>
            </w:r>
            <w:r w:rsidR="00C97560" w:rsidRPr="00A2026E">
              <w:rPr>
                <w:noProof/>
                <w:color w:val="FFFFFF" w:themeColor="background1"/>
              </w:rPr>
              <w:drawing>
                <wp:inline distT="0" distB="0" distL="0" distR="0" wp14:anchorId="44CFC17B" wp14:editId="056A9E2C">
                  <wp:extent cx="3342640" cy="2276475"/>
                  <wp:effectExtent l="0" t="0" r="0" b="0"/>
                  <wp:docPr id="58808665" name="Chart 1" descr="Figure 8 is a line graph which shows actual and total average total number of new TEAP certifications / registrations 2018 - 2023. It shows an annual average of 24.5 certifications across the period, with actual certifications greater than target over all years except for 2018.">
                    <a:extLst xmlns:a="http://schemas.openxmlformats.org/drawingml/2006/main">
                      <a:ext uri="{FF2B5EF4-FFF2-40B4-BE49-F238E27FC236}">
                        <a16:creationId xmlns:a16="http://schemas.microsoft.com/office/drawing/2014/main" id="{8BD60C53-BFEC-4CDA-8347-803992D24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63C2D1" w14:textId="01584C2F" w:rsidR="007E2A60" w:rsidRPr="007E2A60" w:rsidRDefault="007E2A60" w:rsidP="00DC5AF5">
            <w:pPr>
              <w:pStyle w:val="Caption"/>
            </w:pPr>
            <w:r w:rsidRPr="00723842">
              <w:t>Source: KPMG analysis of MPS Program data</w:t>
            </w:r>
            <w:r>
              <w:t xml:space="preserve"> from the 2022 grant agreement, certification/registration targets for each TEAP type were set.</w:t>
            </w:r>
          </w:p>
        </w:tc>
      </w:tr>
    </w:tbl>
    <w:p w14:paraId="62011326" w14:textId="6D446AB1" w:rsidR="00DC5AF5" w:rsidRDefault="00DC5AF5">
      <w:pPr>
        <w:pStyle w:val="Caption"/>
      </w:pPr>
    </w:p>
    <w:p w14:paraId="6C02BFD0" w14:textId="7B1856CF" w:rsidR="00406704" w:rsidRPr="002D49E7" w:rsidRDefault="001B5848" w:rsidP="00406704">
      <w:pPr>
        <w:pStyle w:val="BodyText"/>
        <w:rPr>
          <w:szCs w:val="24"/>
        </w:rPr>
      </w:pPr>
      <w:r>
        <w:t>The</w:t>
      </w:r>
      <w:r w:rsidR="00B76F06">
        <w:t xml:space="preserve"> MPS Program exceeded targets in 2018 and 2019 for total enrolments, however,</w:t>
      </w:r>
      <w:r w:rsidR="007E2A60">
        <w:t xml:space="preserve"> targets</w:t>
      </w:r>
      <w:r w:rsidR="00B76F06">
        <w:t xml:space="preserve"> w</w:t>
      </w:r>
      <w:r w:rsidR="007E2A60">
        <w:t>ere</w:t>
      </w:r>
      <w:r w:rsidR="00B76F06">
        <w:t xml:space="preserve"> not achieved in 2020 and 2021 due to COVID-19 impacts. As a result, the overall enrolment target was lowered in the 2022 grant agreement and has subsequently been exceeded in 2022 and 2023. </w:t>
      </w:r>
      <w:r w:rsidR="00406704">
        <w:t xml:space="preserve">In addition to TEAP pathway certifications above, 13 and 10 externally experienced candidates sought certification/registration in 2022 and 2023 respectfully. </w:t>
      </w:r>
    </w:p>
    <w:p w14:paraId="6238725F" w14:textId="0D1776F9" w:rsidR="00D70E0E" w:rsidRDefault="00D70E0E" w:rsidP="00D70E0E">
      <w:pPr>
        <w:pStyle w:val="BodyText"/>
      </w:pPr>
      <w:r>
        <w:t xml:space="preserve">The level of financial reporting provided for this evaluation does not show a breakdown of expenditure by TEAP stream. This limits the analysis and comparison of the efficiency of financial resources across the TEAP </w:t>
      </w:r>
      <w:proofErr w:type="gramStart"/>
      <w:r>
        <w:t>streams,</w:t>
      </w:r>
      <w:proofErr w:type="gramEnd"/>
      <w:r>
        <w:t xml:space="preserve"> however stakeholders have commented on disparities between streams. For example, </w:t>
      </w:r>
      <w:r w:rsidR="00620BA0">
        <w:t>it is the view of one</w:t>
      </w:r>
      <w:r>
        <w:t xml:space="preserve"> surveyed Registrar that the RPS TEAP faces a serious lack of financial support and requires a financially supported position to administer the program. DIMP stakeholders also </w:t>
      </w:r>
      <w:r w:rsidR="00620BA0">
        <w:t>frequently</w:t>
      </w:r>
      <w:r>
        <w:t xml:space="preserve"> commented on a distinct lack of resources and support relative to other streams (see Section</w:t>
      </w:r>
      <w:r w:rsidR="00EA4F59">
        <w:t xml:space="preserve"> 3.1.6</w:t>
      </w:r>
      <w:r w:rsidR="003348FB">
        <w:t xml:space="preserve">). </w:t>
      </w:r>
      <w:r>
        <w:t xml:space="preserve">The absence of data on funding allocations by TEAP stream means it has not been possible to further investigate equity and efficiency of funds across the TEAP streams. </w:t>
      </w:r>
    </w:p>
    <w:p w14:paraId="58654043" w14:textId="77777777" w:rsidR="00EA055E" w:rsidRDefault="00EA055E" w:rsidP="00D70E0E">
      <w:pPr>
        <w:pStyle w:val="BodyText"/>
      </w:pPr>
    </w:p>
    <w:p w14:paraId="70014F44" w14:textId="5D957408" w:rsidR="00EA055E" w:rsidRPr="00DC6578" w:rsidRDefault="00C65E75" w:rsidP="00705DBE">
      <w:pPr>
        <w:shd w:val="clear" w:color="auto" w:fill="540EAF" w:themeFill="accent5" w:themeFillShade="BF"/>
        <w:rPr>
          <w:rFonts w:cs="Arial"/>
          <w:b/>
          <w:bCs/>
        </w:rPr>
      </w:pPr>
      <w:r>
        <w:rPr>
          <w:rFonts w:cs="Arial"/>
          <w:b/>
          <w:bCs/>
          <w:noProof/>
        </w:rPr>
        <w:drawing>
          <wp:inline distT="0" distB="0" distL="0" distR="0" wp14:anchorId="49913C0F" wp14:editId="63B9ED87">
            <wp:extent cx="347472" cy="347472"/>
            <wp:effectExtent l="0" t="0" r="0" b="0"/>
            <wp:docPr id="2078677312"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40393" name="Graphic 4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362419" cy="362419"/>
                    </a:xfrm>
                    <a:prstGeom prst="rect">
                      <a:avLst/>
                    </a:prstGeom>
                  </pic:spPr>
                </pic:pic>
              </a:graphicData>
            </a:graphic>
          </wp:inline>
        </w:drawing>
      </w:r>
      <w:r>
        <w:rPr>
          <w:rFonts w:cs="Arial"/>
          <w:b/>
          <w:bCs/>
        </w:rPr>
        <w:t xml:space="preserve"> </w:t>
      </w:r>
      <w:r w:rsidR="00EA055E">
        <w:rPr>
          <w:rFonts w:cs="Arial"/>
          <w:b/>
          <w:bCs/>
        </w:rPr>
        <w:t xml:space="preserve">Insights </w:t>
      </w:r>
      <w:r w:rsidR="00705DBE">
        <w:rPr>
          <w:rFonts w:cs="Arial"/>
          <w:b/>
          <w:bCs/>
        </w:rPr>
        <w:t>-</w:t>
      </w:r>
      <w:r w:rsidR="00EA055E">
        <w:rPr>
          <w:rFonts w:cs="Arial"/>
          <w:b/>
          <w:bCs/>
        </w:rPr>
        <w:t xml:space="preserve"> Training, Education and Support Stream</w:t>
      </w:r>
    </w:p>
    <w:p w14:paraId="444631EB" w14:textId="77777777" w:rsidR="00EA055E" w:rsidRPr="00D4724D" w:rsidRDefault="00EA055E" w:rsidP="00705DBE">
      <w:pPr>
        <w:pStyle w:val="Tablelistbullet"/>
        <w:shd w:val="clear" w:color="auto" w:fill="E2CFFB" w:themeFill="accent5" w:themeFillTint="33"/>
        <w:rPr>
          <w:b/>
        </w:rPr>
      </w:pPr>
      <w:r>
        <w:t>The Training, Education and Support stream received an average of $3.3 million annually across 2018 – 2023. An underspend of over $51 thousand was reported at the end of the 2018 – 2021 Grant Funding Agreement, with the budget balancing in 2023.</w:t>
      </w:r>
    </w:p>
    <w:p w14:paraId="53F5DAD6" w14:textId="77777777" w:rsidR="00EA055E" w:rsidRPr="000A685E" w:rsidRDefault="00EA055E" w:rsidP="00705DBE">
      <w:pPr>
        <w:pStyle w:val="Tablelistbullet"/>
        <w:shd w:val="clear" w:color="auto" w:fill="E2CFFB" w:themeFill="accent5" w:themeFillTint="33"/>
        <w:rPr>
          <w:b/>
        </w:rPr>
      </w:pPr>
      <w:r>
        <w:t>Funds for this stream were primarily spent on employment expenses, which grew from 44% of total expenditure in 2023 to 67% of total expenditure in 2023. Expenditure on contractors was notably high, at an average annual spend of over $187 thousand across 2018 – 2023.</w:t>
      </w:r>
    </w:p>
    <w:p w14:paraId="19D9351D" w14:textId="77777777" w:rsidR="00EA055E" w:rsidRPr="00324788" w:rsidRDefault="00EA055E" w:rsidP="00705DBE">
      <w:pPr>
        <w:pStyle w:val="Tablelistbullet"/>
        <w:shd w:val="clear" w:color="auto" w:fill="E2CFFB" w:themeFill="accent5" w:themeFillTint="33"/>
      </w:pPr>
      <w:r>
        <w:t>Funds in this stream were allocated toward activities supporting workforce training and certification, with an average of 116.5 TEAP annual enrolments and 24.5 annual certifications across 2018 – 2023</w:t>
      </w:r>
      <w:r w:rsidRPr="00582C82">
        <w:t>.</w:t>
      </w:r>
    </w:p>
    <w:p w14:paraId="6BE82515" w14:textId="77777777" w:rsidR="00D92202" w:rsidRDefault="00D92202" w:rsidP="00911607">
      <w:pPr>
        <w:pStyle w:val="BodyText"/>
        <w:rPr>
          <w:i/>
          <w:iCs/>
        </w:rPr>
      </w:pPr>
    </w:p>
    <w:p w14:paraId="54687C0E" w14:textId="4A846A9F" w:rsidR="00B317B2" w:rsidRPr="007102DC" w:rsidRDefault="00392CD6" w:rsidP="00DC27F5">
      <w:pPr>
        <w:pStyle w:val="Heading4"/>
      </w:pPr>
      <w:r w:rsidRPr="002E1C65">
        <w:t>Medical Physicists Trainee Support Stream</w:t>
      </w:r>
    </w:p>
    <w:p w14:paraId="5E2C8BD6" w14:textId="556B3DA5" w:rsidR="008A27CD" w:rsidRPr="008A27CD" w:rsidRDefault="008A27CD" w:rsidP="008A27CD">
      <w:pPr>
        <w:pStyle w:val="BodyText"/>
      </w:pPr>
      <w:r>
        <w:t>The allocation of funding excluding</w:t>
      </w:r>
      <w:r w:rsidR="00CE55CE">
        <w:t xml:space="preserve"> </w:t>
      </w:r>
      <w:r>
        <w:t xml:space="preserve">GST for the Medical Physicists Trainee Support stream from 2018 until 2025 (calendar years) is shown in </w:t>
      </w:r>
      <w:r w:rsidR="004214EC">
        <w:fldChar w:fldCharType="begin" w:fldLock="1"/>
      </w:r>
      <w:r w:rsidR="004214EC">
        <w:instrText xml:space="preserve"> REF _Ref182584946 \h </w:instrText>
      </w:r>
      <w:r w:rsidR="004214EC">
        <w:fldChar w:fldCharType="separate"/>
      </w:r>
      <w:r w:rsidR="00D35A75">
        <w:t xml:space="preserve">Table </w:t>
      </w:r>
      <w:r w:rsidR="00D35A75">
        <w:rPr>
          <w:noProof/>
        </w:rPr>
        <w:t>9</w:t>
      </w:r>
      <w:r w:rsidR="004214EC">
        <w:fldChar w:fldCharType="end"/>
      </w:r>
      <w:r>
        <w:t xml:space="preserve">. </w:t>
      </w:r>
      <w:r w:rsidR="00104D77">
        <w:t>The Medical Physicists Trainee Support</w:t>
      </w:r>
      <w:r>
        <w:t xml:space="preserve"> stream received an average of $3.3 million annually across 2018 – 2023, more than double the average annual </w:t>
      </w:r>
      <w:r w:rsidR="00104D77">
        <w:t>amount</w:t>
      </w:r>
      <w:r>
        <w:t xml:space="preserve"> of $1.4 million allocated to the Training, Education and Assessment stream over the same period.</w:t>
      </w:r>
    </w:p>
    <w:p w14:paraId="57CF66BB" w14:textId="7CD99E06" w:rsidR="0080799A" w:rsidRDefault="0080799A" w:rsidP="0080799A">
      <w:pPr>
        <w:pStyle w:val="Caption"/>
      </w:pPr>
      <w:bookmarkStart w:id="133" w:name="_Ref182584946"/>
      <w:r>
        <w:t xml:space="preserve">Table </w:t>
      </w:r>
      <w:r>
        <w:fldChar w:fldCharType="begin"/>
      </w:r>
      <w:r>
        <w:instrText xml:space="preserve"> SEQ Table \* ARABIC </w:instrText>
      </w:r>
      <w:r>
        <w:fldChar w:fldCharType="separate"/>
      </w:r>
      <w:r w:rsidR="005F7EBC">
        <w:rPr>
          <w:noProof/>
        </w:rPr>
        <w:t>9</w:t>
      </w:r>
      <w:r>
        <w:rPr>
          <w:noProof/>
        </w:rPr>
        <w:fldChar w:fldCharType="end"/>
      </w:r>
      <w:bookmarkEnd w:id="133"/>
      <w:r>
        <w:t xml:space="preserve">: MPS Program grant funding </w:t>
      </w:r>
      <w:r w:rsidR="008A27CD">
        <w:t>for the Medical Physicists Trainee Support stream</w:t>
      </w:r>
      <w:r>
        <w:t xml:space="preserve"> (GST exclusive), 2018 – 2025 </w:t>
      </w:r>
    </w:p>
    <w:tbl>
      <w:tblPr>
        <w:tblStyle w:val="GridTable1Light-Accent1"/>
        <w:tblW w:w="0" w:type="auto"/>
        <w:tblBorders>
          <w:top w:val="none" w:sz="0" w:space="0" w:color="auto"/>
          <w:left w:val="none" w:sz="0" w:space="0" w:color="auto"/>
          <w:bottom w:val="none" w:sz="0" w:space="0" w:color="auto"/>
          <w:right w:val="none" w:sz="0" w:space="0" w:color="auto"/>
          <w:insideH w:val="single" w:sz="12" w:space="0" w:color="2171FF" w:themeColor="accent1" w:themeTint="99"/>
        </w:tblBorders>
        <w:tblLayout w:type="fixed"/>
        <w:tblLook w:val="04A0" w:firstRow="1" w:lastRow="0" w:firstColumn="1" w:lastColumn="0" w:noHBand="0" w:noVBand="1"/>
      </w:tblPr>
      <w:tblGrid>
        <w:gridCol w:w="1980"/>
        <w:gridCol w:w="956"/>
        <w:gridCol w:w="956"/>
        <w:gridCol w:w="956"/>
        <w:gridCol w:w="956"/>
        <w:gridCol w:w="956"/>
        <w:gridCol w:w="956"/>
        <w:gridCol w:w="956"/>
        <w:gridCol w:w="956"/>
      </w:tblGrid>
      <w:tr w:rsidR="008F04A6" w14:paraId="309609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1F4FE"/>
          </w:tcPr>
          <w:p w14:paraId="7F8CB077" w14:textId="77777777" w:rsidR="008F04A6" w:rsidRPr="009E0D93" w:rsidRDefault="008F04A6">
            <w:pPr>
              <w:pStyle w:val="BodyText"/>
            </w:pPr>
            <w:bookmarkStart w:id="134" w:name="_Hlk184309368"/>
            <w:r w:rsidRPr="009E0D93">
              <w:t>Year</w:t>
            </w:r>
          </w:p>
        </w:tc>
        <w:tc>
          <w:tcPr>
            <w:tcW w:w="956" w:type="dxa"/>
          </w:tcPr>
          <w:p w14:paraId="535AB1A7" w14:textId="77777777" w:rsidR="008F04A6" w:rsidRPr="009E0D93" w:rsidRDefault="008F04A6">
            <w:pPr>
              <w:pStyle w:val="BodyText"/>
              <w:cnfStyle w:val="100000000000" w:firstRow="1" w:lastRow="0" w:firstColumn="0" w:lastColumn="0" w:oddVBand="0" w:evenVBand="0" w:oddHBand="0" w:evenHBand="0" w:firstRowFirstColumn="0" w:firstRowLastColumn="0" w:lastRowFirstColumn="0" w:lastRowLastColumn="0"/>
            </w:pPr>
            <w:r w:rsidRPr="009E0D93">
              <w:t>2018</w:t>
            </w:r>
          </w:p>
        </w:tc>
        <w:tc>
          <w:tcPr>
            <w:tcW w:w="956" w:type="dxa"/>
          </w:tcPr>
          <w:p w14:paraId="595E2736" w14:textId="77777777" w:rsidR="008F04A6" w:rsidRPr="009E0D93" w:rsidRDefault="008F04A6">
            <w:pPr>
              <w:pStyle w:val="BodyText"/>
              <w:cnfStyle w:val="100000000000" w:firstRow="1" w:lastRow="0" w:firstColumn="0" w:lastColumn="0" w:oddVBand="0" w:evenVBand="0" w:oddHBand="0" w:evenHBand="0" w:firstRowFirstColumn="0" w:firstRowLastColumn="0" w:lastRowFirstColumn="0" w:lastRowLastColumn="0"/>
            </w:pPr>
            <w:r w:rsidRPr="009E0D93">
              <w:t>2019</w:t>
            </w:r>
          </w:p>
        </w:tc>
        <w:tc>
          <w:tcPr>
            <w:tcW w:w="956" w:type="dxa"/>
          </w:tcPr>
          <w:p w14:paraId="0C1330C4" w14:textId="77777777" w:rsidR="008F04A6" w:rsidRPr="009E0D93" w:rsidRDefault="008F04A6">
            <w:pPr>
              <w:pStyle w:val="BodyText"/>
              <w:cnfStyle w:val="100000000000" w:firstRow="1" w:lastRow="0" w:firstColumn="0" w:lastColumn="0" w:oddVBand="0" w:evenVBand="0" w:oddHBand="0" w:evenHBand="0" w:firstRowFirstColumn="0" w:firstRowLastColumn="0" w:lastRowFirstColumn="0" w:lastRowLastColumn="0"/>
            </w:pPr>
            <w:r w:rsidRPr="009E0D93">
              <w:t>2020</w:t>
            </w:r>
          </w:p>
        </w:tc>
        <w:tc>
          <w:tcPr>
            <w:tcW w:w="956" w:type="dxa"/>
          </w:tcPr>
          <w:p w14:paraId="57428321" w14:textId="77777777" w:rsidR="008F04A6" w:rsidRPr="009E0D93" w:rsidRDefault="008F04A6">
            <w:pPr>
              <w:pStyle w:val="BodyText"/>
              <w:cnfStyle w:val="100000000000" w:firstRow="1" w:lastRow="0" w:firstColumn="0" w:lastColumn="0" w:oddVBand="0" w:evenVBand="0" w:oddHBand="0" w:evenHBand="0" w:firstRowFirstColumn="0" w:firstRowLastColumn="0" w:lastRowFirstColumn="0" w:lastRowLastColumn="0"/>
            </w:pPr>
            <w:r w:rsidRPr="009E0D93">
              <w:t>2021</w:t>
            </w:r>
          </w:p>
        </w:tc>
        <w:tc>
          <w:tcPr>
            <w:tcW w:w="956" w:type="dxa"/>
          </w:tcPr>
          <w:p w14:paraId="2DAD5E1C" w14:textId="77777777" w:rsidR="008F04A6" w:rsidRPr="009E0D93" w:rsidRDefault="008F04A6">
            <w:pPr>
              <w:pStyle w:val="BodyText"/>
              <w:cnfStyle w:val="100000000000" w:firstRow="1" w:lastRow="0" w:firstColumn="0" w:lastColumn="0" w:oddVBand="0" w:evenVBand="0" w:oddHBand="0" w:evenHBand="0" w:firstRowFirstColumn="0" w:firstRowLastColumn="0" w:lastRowFirstColumn="0" w:lastRowLastColumn="0"/>
            </w:pPr>
            <w:r w:rsidRPr="009E0D93">
              <w:t>2022</w:t>
            </w:r>
          </w:p>
        </w:tc>
        <w:tc>
          <w:tcPr>
            <w:tcW w:w="956" w:type="dxa"/>
          </w:tcPr>
          <w:p w14:paraId="6F0018D5" w14:textId="77777777" w:rsidR="008F04A6" w:rsidRPr="009E0D93" w:rsidRDefault="008F04A6">
            <w:pPr>
              <w:pStyle w:val="BodyText"/>
              <w:cnfStyle w:val="100000000000" w:firstRow="1" w:lastRow="0" w:firstColumn="0" w:lastColumn="0" w:oddVBand="0" w:evenVBand="0" w:oddHBand="0" w:evenHBand="0" w:firstRowFirstColumn="0" w:firstRowLastColumn="0" w:lastRowFirstColumn="0" w:lastRowLastColumn="0"/>
            </w:pPr>
            <w:r w:rsidRPr="009E0D93">
              <w:t>2023</w:t>
            </w:r>
          </w:p>
        </w:tc>
        <w:tc>
          <w:tcPr>
            <w:tcW w:w="956" w:type="dxa"/>
          </w:tcPr>
          <w:p w14:paraId="71C59A36" w14:textId="77777777" w:rsidR="008F04A6" w:rsidRPr="009E0D93" w:rsidRDefault="008F04A6">
            <w:pPr>
              <w:pStyle w:val="BodyText"/>
              <w:cnfStyle w:val="100000000000" w:firstRow="1" w:lastRow="0" w:firstColumn="0" w:lastColumn="0" w:oddVBand="0" w:evenVBand="0" w:oddHBand="0" w:evenHBand="0" w:firstRowFirstColumn="0" w:firstRowLastColumn="0" w:lastRowFirstColumn="0" w:lastRowLastColumn="0"/>
            </w:pPr>
            <w:r w:rsidRPr="009E0D93">
              <w:t>2024</w:t>
            </w:r>
          </w:p>
        </w:tc>
        <w:tc>
          <w:tcPr>
            <w:tcW w:w="956" w:type="dxa"/>
          </w:tcPr>
          <w:p w14:paraId="44BA0D1E" w14:textId="77777777" w:rsidR="008F04A6" w:rsidRPr="009E0D93" w:rsidRDefault="008F04A6">
            <w:pPr>
              <w:pStyle w:val="BodyText"/>
              <w:cnfStyle w:val="100000000000" w:firstRow="1" w:lastRow="0" w:firstColumn="0" w:lastColumn="0" w:oddVBand="0" w:evenVBand="0" w:oddHBand="0" w:evenHBand="0" w:firstRowFirstColumn="0" w:firstRowLastColumn="0" w:lastRowFirstColumn="0" w:lastRowLastColumn="0"/>
            </w:pPr>
            <w:r w:rsidRPr="009E0D93">
              <w:t>2025</w:t>
            </w:r>
          </w:p>
        </w:tc>
      </w:tr>
      <w:tr w:rsidR="008F04A6" w14:paraId="3D1457DF" w14:textId="77777777">
        <w:tc>
          <w:tcPr>
            <w:cnfStyle w:val="001000000000" w:firstRow="0" w:lastRow="0" w:firstColumn="1" w:lastColumn="0" w:oddVBand="0" w:evenVBand="0" w:oddHBand="0" w:evenHBand="0" w:firstRowFirstColumn="0" w:firstRowLastColumn="0" w:lastRowFirstColumn="0" w:lastRowLastColumn="0"/>
            <w:tcW w:w="1980" w:type="dxa"/>
            <w:shd w:val="clear" w:color="auto" w:fill="F1F4FE"/>
          </w:tcPr>
          <w:p w14:paraId="06F15FD2" w14:textId="36854CA7" w:rsidR="008F04A6" w:rsidRPr="008F04A6" w:rsidRDefault="008F04A6" w:rsidP="008F04A6">
            <w:pPr>
              <w:pStyle w:val="BodyText"/>
            </w:pPr>
            <w:r w:rsidRPr="008F04A6">
              <w:t>Funding for the Medical Physicists Trainee Support</w:t>
            </w:r>
          </w:p>
        </w:tc>
        <w:tc>
          <w:tcPr>
            <w:tcW w:w="956" w:type="dxa"/>
            <w:vAlign w:val="center"/>
          </w:tcPr>
          <w:p w14:paraId="74F5AF83" w14:textId="32DA69B3" w:rsidR="008F04A6" w:rsidRPr="009F51B1" w:rsidRDefault="008F04A6" w:rsidP="008F04A6">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$4.675m</w:t>
            </w:r>
          </w:p>
        </w:tc>
        <w:tc>
          <w:tcPr>
            <w:tcW w:w="956" w:type="dxa"/>
            <w:vAlign w:val="center"/>
          </w:tcPr>
          <w:p w14:paraId="105B2596" w14:textId="0015D95D" w:rsidR="008F04A6" w:rsidRPr="009F51B1" w:rsidRDefault="008F04A6" w:rsidP="008F04A6">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$3.788m</w:t>
            </w:r>
          </w:p>
        </w:tc>
        <w:tc>
          <w:tcPr>
            <w:tcW w:w="956" w:type="dxa"/>
            <w:vAlign w:val="center"/>
          </w:tcPr>
          <w:p w14:paraId="13BD9BAD" w14:textId="61407663" w:rsidR="008F04A6" w:rsidRPr="009F51B1" w:rsidRDefault="008F04A6" w:rsidP="008F04A6">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$1.923m</w:t>
            </w:r>
          </w:p>
        </w:tc>
        <w:tc>
          <w:tcPr>
            <w:tcW w:w="956" w:type="dxa"/>
            <w:vAlign w:val="center"/>
          </w:tcPr>
          <w:p w14:paraId="6C09E774" w14:textId="010A9740" w:rsidR="008F04A6" w:rsidRPr="009F51B1" w:rsidRDefault="008F04A6" w:rsidP="008F04A6">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$3.034m</w:t>
            </w:r>
          </w:p>
        </w:tc>
        <w:tc>
          <w:tcPr>
            <w:tcW w:w="956" w:type="dxa"/>
            <w:vAlign w:val="center"/>
          </w:tcPr>
          <w:p w14:paraId="53014267" w14:textId="0E5926DA" w:rsidR="008F04A6" w:rsidRPr="009F51B1" w:rsidRDefault="008F04A6" w:rsidP="008F04A6">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$3.034m</w:t>
            </w:r>
          </w:p>
        </w:tc>
        <w:tc>
          <w:tcPr>
            <w:tcW w:w="956" w:type="dxa"/>
            <w:vAlign w:val="center"/>
          </w:tcPr>
          <w:p w14:paraId="725D4D98" w14:textId="0D34404F" w:rsidR="008F04A6" w:rsidRPr="009F51B1" w:rsidRDefault="008F04A6" w:rsidP="008F04A6">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$3.034m</w:t>
            </w:r>
          </w:p>
        </w:tc>
        <w:tc>
          <w:tcPr>
            <w:tcW w:w="956" w:type="dxa"/>
            <w:vAlign w:val="center"/>
          </w:tcPr>
          <w:p w14:paraId="0076BACE" w14:textId="2893BDC7" w:rsidR="008F04A6" w:rsidRPr="009F51B1" w:rsidRDefault="008F04A6" w:rsidP="008F04A6">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$3.034m</w:t>
            </w:r>
          </w:p>
        </w:tc>
        <w:tc>
          <w:tcPr>
            <w:tcW w:w="956" w:type="dxa"/>
            <w:vAlign w:val="center"/>
          </w:tcPr>
          <w:p w14:paraId="65E92A9B" w14:textId="46E4376C" w:rsidR="008F04A6" w:rsidRPr="009F51B1" w:rsidRDefault="008F04A6" w:rsidP="008F04A6">
            <w:pPr>
              <w:pStyle w:val="BodyText"/>
              <w:cnfStyle w:val="000000000000" w:firstRow="0" w:lastRow="0" w:firstColumn="0" w:lastColumn="0" w:oddVBand="0" w:evenVBand="0" w:oddHBand="0" w:evenHBand="0" w:firstRowFirstColumn="0" w:firstRowLastColumn="0" w:lastRowFirstColumn="0" w:lastRowLastColumn="0"/>
              <w:rPr>
                <w:sz w:val="18"/>
                <w:szCs w:val="20"/>
              </w:rPr>
            </w:pPr>
            <w:r w:rsidRPr="009F51B1">
              <w:rPr>
                <w:sz w:val="18"/>
                <w:szCs w:val="20"/>
              </w:rPr>
              <w:t>$3.034m</w:t>
            </w:r>
          </w:p>
        </w:tc>
      </w:tr>
    </w:tbl>
    <w:bookmarkEnd w:id="134"/>
    <w:p w14:paraId="0C8A28FE" w14:textId="77777777" w:rsidR="008A27CD" w:rsidRPr="00074AC0" w:rsidRDefault="008A27CD" w:rsidP="008A27CD">
      <w:pPr>
        <w:pStyle w:val="Caption"/>
        <w:rPr>
          <w:szCs w:val="24"/>
        </w:rPr>
      </w:pPr>
      <w:r w:rsidRPr="00074AC0">
        <w:rPr>
          <w:szCs w:val="24"/>
        </w:rPr>
        <w:t>Source: MPS Program Grant Agreements</w:t>
      </w:r>
      <w:r>
        <w:rPr>
          <w:szCs w:val="24"/>
        </w:rPr>
        <w:t xml:space="preserve"> and 2021 MPS Program Acquittal Outcome Letter</w:t>
      </w:r>
    </w:p>
    <w:p w14:paraId="28CDDF20" w14:textId="391C4F31" w:rsidR="0089458A" w:rsidRDefault="00585AC6" w:rsidP="00911607">
      <w:pPr>
        <w:pStyle w:val="BodyText"/>
      </w:pPr>
      <w:r>
        <w:t>T</w:t>
      </w:r>
      <w:r w:rsidR="000C7CF4" w:rsidRPr="009D2974">
        <w:t>he expenditure breakdown</w:t>
      </w:r>
      <w:r w:rsidR="000C7CF4">
        <w:t xml:space="preserve"> for the Medical Physicists Trainee Support Stream</w:t>
      </w:r>
      <w:r w:rsidR="000C7CF4" w:rsidRPr="009D2974">
        <w:t xml:space="preserve"> for </w:t>
      </w:r>
      <w:r w:rsidR="000C7CF4">
        <w:t>2019 – 2023</w:t>
      </w:r>
      <w:r w:rsidR="00CD3774">
        <w:t xml:space="preserve"> is shown in</w:t>
      </w:r>
      <w:r w:rsidR="00A666D5">
        <w:t xml:space="preserve"> </w:t>
      </w:r>
      <w:r w:rsidR="00A666D5">
        <w:fldChar w:fldCharType="begin" w:fldLock="1"/>
      </w:r>
      <w:r w:rsidR="00A666D5">
        <w:instrText xml:space="preserve"> REF _Ref182815610 \h </w:instrText>
      </w:r>
      <w:r w:rsidR="00A666D5">
        <w:fldChar w:fldCharType="separate"/>
      </w:r>
      <w:r w:rsidR="00D35A75">
        <w:t xml:space="preserve">Figure </w:t>
      </w:r>
      <w:r w:rsidR="00DD65F3" w:rsidDel="00BA2814">
        <w:rPr>
          <w:noProof/>
        </w:rPr>
        <w:t>9</w:t>
      </w:r>
      <w:r w:rsidR="00A666D5">
        <w:fldChar w:fldCharType="end"/>
      </w:r>
      <w:r w:rsidR="000C7CF4">
        <w:t xml:space="preserve">, noting a </w:t>
      </w:r>
      <w:r w:rsidR="00E148C7">
        <w:t xml:space="preserve">breakdown </w:t>
      </w:r>
      <w:r w:rsidR="000C7CF4">
        <w:t xml:space="preserve">of expenditure by line item </w:t>
      </w:r>
      <w:r w:rsidR="00E148C7">
        <w:t>was not provided for 2018.</w:t>
      </w:r>
      <w:r w:rsidR="000C7CF4">
        <w:t xml:space="preserve"> </w:t>
      </w:r>
    </w:p>
    <w:p w14:paraId="61EA2A0C" w14:textId="4BC68E10" w:rsidR="0039422A" w:rsidRDefault="0039422A" w:rsidP="0039422A">
      <w:pPr>
        <w:pStyle w:val="Caption"/>
      </w:pPr>
      <w:bookmarkStart w:id="135" w:name="_Ref182815610"/>
      <w:bookmarkStart w:id="136" w:name="_Ref181868868"/>
      <w:r>
        <w:t xml:space="preserve">Figure </w:t>
      </w:r>
      <w:r>
        <w:fldChar w:fldCharType="begin"/>
      </w:r>
      <w:r>
        <w:instrText xml:space="preserve"> SEQ Figure \* ARABIC </w:instrText>
      </w:r>
      <w:r>
        <w:fldChar w:fldCharType="separate"/>
      </w:r>
      <w:r w:rsidR="005F7EBC">
        <w:rPr>
          <w:noProof/>
        </w:rPr>
        <w:t>9</w:t>
      </w:r>
      <w:r>
        <w:fldChar w:fldCharType="end"/>
      </w:r>
      <w:bookmarkEnd w:id="135"/>
      <w:r>
        <w:t xml:space="preserve">: </w:t>
      </w:r>
      <w:r w:rsidRPr="00A5133E">
        <w:t>Medical Physicists Trainee Support Stream Expenditure, 2019 – 2023</w:t>
      </w:r>
    </w:p>
    <w:bookmarkEnd w:id="136"/>
    <w:p w14:paraId="36993A07" w14:textId="3FCC347A" w:rsidR="00FF04A1" w:rsidRPr="00855B30" w:rsidRDefault="00FF04A1" w:rsidP="00DC27F5">
      <w:pPr>
        <w:pStyle w:val="BodyText"/>
      </w:pPr>
      <w:r>
        <w:rPr>
          <w:noProof/>
        </w:rPr>
        <w:drawing>
          <wp:inline distT="0" distB="0" distL="0" distR="0" wp14:anchorId="18060DA8" wp14:editId="4EAA538A">
            <wp:extent cx="5803863" cy="3254021"/>
            <wp:effectExtent l="0" t="0" r="0" b="0"/>
            <wp:docPr id="1339394214" name="Chart 1" descr="Figure 9 is a bar chart which shows Medical Physicists Trainee Support Stream Expenditure 2019 - 2023. ">
              <a:extLst xmlns:a="http://schemas.openxmlformats.org/drawingml/2006/main">
                <a:ext uri="{FF2B5EF4-FFF2-40B4-BE49-F238E27FC236}">
                  <a16:creationId xmlns:a16="http://schemas.microsoft.com/office/drawing/2014/main" id="{3FB59380-2A19-8D69-C39B-985FEAFA1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4D1F44" w14:textId="5A9014EB" w:rsidR="00C22127" w:rsidRPr="0058556F" w:rsidRDefault="0058556F" w:rsidP="0058556F">
      <w:pPr>
        <w:pStyle w:val="Caption"/>
        <w:rPr>
          <w:szCs w:val="24"/>
        </w:rPr>
      </w:pPr>
      <w:r>
        <w:rPr>
          <w:szCs w:val="24"/>
        </w:rPr>
        <w:t>S</w:t>
      </w:r>
      <w:r w:rsidRPr="00074AC0">
        <w:rPr>
          <w:szCs w:val="24"/>
        </w:rPr>
        <w:t xml:space="preserve">ource: </w:t>
      </w:r>
      <w:r>
        <w:rPr>
          <w:szCs w:val="24"/>
        </w:rPr>
        <w:t xml:space="preserve">KPMG analysis of </w:t>
      </w:r>
      <w:r w:rsidRPr="00074AC0">
        <w:rPr>
          <w:szCs w:val="24"/>
        </w:rPr>
        <w:t xml:space="preserve">MPS Program </w:t>
      </w:r>
      <w:r>
        <w:rPr>
          <w:szCs w:val="24"/>
        </w:rPr>
        <w:t>data</w:t>
      </w:r>
    </w:p>
    <w:p w14:paraId="392F2663" w14:textId="28472425" w:rsidR="00E25211" w:rsidRDefault="00615B37" w:rsidP="00615B37">
      <w:pPr>
        <w:pStyle w:val="BodyText"/>
      </w:pPr>
      <w:proofErr w:type="gramStart"/>
      <w:r>
        <w:t>Grants</w:t>
      </w:r>
      <w:proofErr w:type="gramEnd"/>
      <w:r>
        <w:t xml:space="preserve"> payable </w:t>
      </w:r>
      <w:proofErr w:type="gramStart"/>
      <w:r>
        <w:t>are</w:t>
      </w:r>
      <w:proofErr w:type="gramEnd"/>
      <w:r>
        <w:t xml:space="preserve"> the most significant expenditure for this stream, representing between 94% and 100% of total expenditure for the years 2019 – 2022. In 2023, grants payable was reported to be 63% of expenditure for the year ($2.6 million), </w:t>
      </w:r>
      <w:r w:rsidR="00277CDC">
        <w:t>however when combined</w:t>
      </w:r>
      <w:r w:rsidR="0096315D">
        <w:t xml:space="preserve"> with </w:t>
      </w:r>
      <w:r w:rsidR="001E084A">
        <w:t>prior year grants payable ($1.3 million), the combined grants</w:t>
      </w:r>
      <w:r w:rsidR="001162E6">
        <w:t xml:space="preserve"> expenditure</w:t>
      </w:r>
      <w:r w:rsidR="001E084A">
        <w:t xml:space="preserve"> accounted for </w:t>
      </w:r>
      <w:r w:rsidR="00DA2661">
        <w:t xml:space="preserve">91% of </w:t>
      </w:r>
      <w:r w:rsidR="001162E6">
        <w:t xml:space="preserve">total </w:t>
      </w:r>
      <w:r w:rsidR="00DA2661">
        <w:t>expenditure.</w:t>
      </w:r>
      <w:r>
        <w:t xml:space="preserve"> </w:t>
      </w:r>
      <w:r w:rsidR="00DA2661">
        <w:t>T</w:t>
      </w:r>
      <w:r>
        <w:t xml:space="preserve">he remainder of funds </w:t>
      </w:r>
      <w:r w:rsidR="00DA2661">
        <w:t xml:space="preserve">in 2023 went </w:t>
      </w:r>
      <w:r>
        <w:t xml:space="preserve">towards the </w:t>
      </w:r>
      <w:r w:rsidR="00FC7678">
        <w:t>RIFP</w:t>
      </w:r>
      <w:r>
        <w:t xml:space="preserve"> Payable ($227 thousand), workforce modelling and workforce reporting ($31 thousand), Stage 1: Technology Horizon Scanning and Consultation ($29 thousand), and other. </w:t>
      </w:r>
    </w:p>
    <w:p w14:paraId="1F29BCD3" w14:textId="7149D24C" w:rsidR="008A32CC" w:rsidRDefault="008A32CC" w:rsidP="008A32CC">
      <w:pPr>
        <w:pStyle w:val="BodyText"/>
      </w:pPr>
      <w:r>
        <w:t>At the end of the 2018 – 2021 Grant Funding Agreement, an underspend of $4,020,560.21 existed in the Medical Physicists Support stream. This amount was rolled forward into the following period, with a continued underspend of $</w:t>
      </w:r>
      <w:r w:rsidRPr="00362FC2">
        <w:t>2</w:t>
      </w:r>
      <w:r>
        <w:t>,</w:t>
      </w:r>
      <w:r w:rsidRPr="00362FC2">
        <w:t>034</w:t>
      </w:r>
      <w:r>
        <w:t>,</w:t>
      </w:r>
      <w:r w:rsidRPr="00362FC2">
        <w:t>134.81</w:t>
      </w:r>
      <w:r>
        <w:t xml:space="preserve"> for </w:t>
      </w:r>
      <w:r w:rsidRPr="00BB56E8">
        <w:t>Medical Physicists Trainee Support</w:t>
      </w:r>
      <w:r>
        <w:t xml:space="preserve"> reported in 2022. Of this underspend, $1,228,624.71 is committed for prior year grants, with the 2023 budget showing a predicted underspend of $805,260.10. </w:t>
      </w:r>
    </w:p>
    <w:p w14:paraId="20465953" w14:textId="3CA07A4D" w:rsidR="00785A69" w:rsidRDefault="00055635" w:rsidP="00540849">
      <w:pPr>
        <w:pStyle w:val="BodyText"/>
      </w:pPr>
      <w:r>
        <w:t>In line with the Grant Agreement, t</w:t>
      </w:r>
      <w:r w:rsidR="00785A69">
        <w:t xml:space="preserve">he Commonwealth funds received through the </w:t>
      </w:r>
      <w:r w:rsidR="00540849">
        <w:t>Medical Physicists Trainee Support</w:t>
      </w:r>
      <w:r w:rsidR="00785A69">
        <w:t xml:space="preserve"> Stream are used by ACPSEM to fund:</w:t>
      </w:r>
    </w:p>
    <w:p w14:paraId="2C93DD78" w14:textId="334451C7" w:rsidR="00540849" w:rsidRDefault="00F60B00" w:rsidP="00584EC6">
      <w:pPr>
        <w:pStyle w:val="BodyText"/>
        <w:numPr>
          <w:ilvl w:val="0"/>
          <w:numId w:val="43"/>
        </w:numPr>
      </w:pPr>
      <w:r w:rsidRPr="00B143F2">
        <w:rPr>
          <w:b/>
        </w:rPr>
        <w:t>Selection and administration of the grant funding</w:t>
      </w:r>
      <w:r>
        <w:t xml:space="preserve"> to facilitate employment of medical physicist trainees enrolled in TEAP</w:t>
      </w:r>
      <w:r w:rsidR="00C32DD7">
        <w:t>; and</w:t>
      </w:r>
    </w:p>
    <w:p w14:paraId="6A3570F1" w14:textId="4C69909F" w:rsidR="00C32DD7" w:rsidRDefault="00C32DD7" w:rsidP="00584EC6">
      <w:pPr>
        <w:pStyle w:val="BodyText"/>
        <w:numPr>
          <w:ilvl w:val="0"/>
          <w:numId w:val="43"/>
        </w:numPr>
      </w:pPr>
      <w:r w:rsidRPr="00B143F2">
        <w:rPr>
          <w:b/>
        </w:rPr>
        <w:t>Assessment and monitoring of the most appropriate way to allocate funding</w:t>
      </w:r>
      <w:r w:rsidR="00B61448">
        <w:t>,</w:t>
      </w:r>
      <w:r w:rsidR="00B143F2">
        <w:t xml:space="preserve"> </w:t>
      </w:r>
      <w:r w:rsidR="006E6589">
        <w:t xml:space="preserve">with </w:t>
      </w:r>
      <w:r w:rsidR="00E63E67">
        <w:t>key activities including</w:t>
      </w:r>
      <w:r w:rsidR="006E6589">
        <w:t xml:space="preserve"> the </w:t>
      </w:r>
      <w:r w:rsidR="00900A54">
        <w:t>RIFP</w:t>
      </w:r>
      <w:r w:rsidR="0066256C">
        <w:t xml:space="preserve"> to </w:t>
      </w:r>
      <w:r w:rsidR="00A9563B" w:rsidRPr="00A9563B">
        <w:t>research, assess and monitor the most appropriate way to allocate grants</w:t>
      </w:r>
      <w:r w:rsidR="00A9563B">
        <w:t xml:space="preserve"> and support regional training</w:t>
      </w:r>
      <w:r w:rsidR="002F2F8D">
        <w:t xml:space="preserve">, and workforce models for DIMP and ROMP </w:t>
      </w:r>
      <w:r w:rsidR="00E63E67">
        <w:t xml:space="preserve">launched </w:t>
      </w:r>
      <w:r w:rsidR="002F2F8D">
        <w:t>in November 2021</w:t>
      </w:r>
      <w:r w:rsidR="006E6589">
        <w:t>.</w:t>
      </w:r>
    </w:p>
    <w:p w14:paraId="33AAE160" w14:textId="3BBC7334" w:rsidR="00BD5528" w:rsidRDefault="00BD5528" w:rsidP="00BD5528">
      <w:pPr>
        <w:pStyle w:val="BodyText"/>
      </w:pPr>
      <w:r w:rsidRPr="00DC228E">
        <w:t xml:space="preserve">The </w:t>
      </w:r>
      <w:bookmarkStart w:id="137" w:name="_Hlk174623394"/>
      <w:r w:rsidRPr="00DC228E">
        <w:t xml:space="preserve">funding model for the Medical Physicists Trainee Support </w:t>
      </w:r>
      <w:bookmarkEnd w:id="137"/>
      <w:r w:rsidRPr="00DC228E">
        <w:t xml:space="preserve">Grants provided to facilities is set within the Grant Agreement. </w:t>
      </w:r>
      <w:r w:rsidR="00190658">
        <w:fldChar w:fldCharType="begin" w:fldLock="1"/>
      </w:r>
      <w:r w:rsidR="00190658">
        <w:instrText xml:space="preserve"> REF _Ref182584992 \h </w:instrText>
      </w:r>
      <w:r w:rsidR="00190658">
        <w:fldChar w:fldCharType="separate"/>
      </w:r>
      <w:r w:rsidR="00D35A75">
        <w:t xml:space="preserve">Table </w:t>
      </w:r>
      <w:r w:rsidR="00D35A75">
        <w:rPr>
          <w:noProof/>
        </w:rPr>
        <w:t>10</w:t>
      </w:r>
      <w:r w:rsidR="00190658">
        <w:fldChar w:fldCharType="end"/>
      </w:r>
      <w:r>
        <w:t xml:space="preserve"> outlines</w:t>
      </w:r>
      <w:r w:rsidRPr="00DC228E">
        <w:t xml:space="preserve"> the funding models used since 2018.</w:t>
      </w:r>
      <w:r>
        <w:t xml:space="preserve"> </w:t>
      </w:r>
      <w:bookmarkStart w:id="138" w:name="_Ref174697486"/>
    </w:p>
    <w:p w14:paraId="3D94E4BC" w14:textId="2E3BFA91" w:rsidR="00BD5528" w:rsidRDefault="00BD5528" w:rsidP="00BD5528">
      <w:pPr>
        <w:pStyle w:val="Caption"/>
      </w:pPr>
      <w:bookmarkStart w:id="139" w:name="_Ref182584992"/>
      <w:r>
        <w:t xml:space="preserve">Table </w:t>
      </w:r>
      <w:r>
        <w:fldChar w:fldCharType="begin"/>
      </w:r>
      <w:r>
        <w:instrText xml:space="preserve"> SEQ Table \* ARABIC </w:instrText>
      </w:r>
      <w:r>
        <w:fldChar w:fldCharType="separate"/>
      </w:r>
      <w:r w:rsidR="005F7EBC">
        <w:rPr>
          <w:noProof/>
        </w:rPr>
        <w:t>10</w:t>
      </w:r>
      <w:r>
        <w:rPr>
          <w:noProof/>
        </w:rPr>
        <w:fldChar w:fldCharType="end"/>
      </w:r>
      <w:bookmarkEnd w:id="138"/>
      <w:bookmarkEnd w:id="139"/>
      <w:r>
        <w:t xml:space="preserve">: </w:t>
      </w:r>
      <w:r w:rsidR="00735E19" w:rsidRPr="00DC228E">
        <w:t xml:space="preserve">Medical Physicists Trainee Support </w:t>
      </w:r>
      <w:proofErr w:type="gramStart"/>
      <w:r w:rsidR="00735E19">
        <w:t>stream</w:t>
      </w:r>
      <w:proofErr w:type="gramEnd"/>
      <w:r>
        <w:t xml:space="preserve"> Funding Model (GST exclusive)</w:t>
      </w:r>
    </w:p>
    <w:tbl>
      <w:tblPr>
        <w:tblStyle w:val="GridTable1Light-Accent1"/>
        <w:tblW w:w="0" w:type="auto"/>
        <w:tblLook w:val="04A0" w:firstRow="1" w:lastRow="0" w:firstColumn="1" w:lastColumn="0" w:noHBand="0" w:noVBand="1"/>
      </w:tblPr>
      <w:tblGrid>
        <w:gridCol w:w="3876"/>
        <w:gridCol w:w="3005"/>
        <w:gridCol w:w="2747"/>
      </w:tblGrid>
      <w:tr w:rsidR="00F73A86" w14:paraId="3A6B146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6" w:type="dxa"/>
            <w:tcBorders>
              <w:top w:val="nil"/>
              <w:left w:val="nil"/>
            </w:tcBorders>
            <w:shd w:val="clear" w:color="auto" w:fill="F1F4FE"/>
          </w:tcPr>
          <w:p w14:paraId="4773BE0A" w14:textId="77777777" w:rsidR="00F73A86" w:rsidRPr="009E0D93" w:rsidRDefault="00F73A86">
            <w:pPr>
              <w:pStyle w:val="BodyText"/>
              <w:spacing w:before="60" w:after="60"/>
            </w:pPr>
            <w:r w:rsidRPr="009E0D93">
              <w:t>Description</w:t>
            </w:r>
          </w:p>
        </w:tc>
        <w:tc>
          <w:tcPr>
            <w:tcW w:w="3005" w:type="dxa"/>
            <w:tcBorders>
              <w:top w:val="nil"/>
            </w:tcBorders>
          </w:tcPr>
          <w:p w14:paraId="3E4E5163" w14:textId="77777777" w:rsidR="00F73A86" w:rsidRPr="009E0D93" w:rsidRDefault="00F73A86">
            <w:pPr>
              <w:pStyle w:val="BodyText"/>
              <w:spacing w:before="60" w:after="60"/>
              <w:cnfStyle w:val="100000000000" w:firstRow="1" w:lastRow="0" w:firstColumn="0" w:lastColumn="0" w:oddVBand="0" w:evenVBand="0" w:oddHBand="0" w:evenHBand="0" w:firstRowFirstColumn="0" w:firstRowLastColumn="0" w:lastRowFirstColumn="0" w:lastRowLastColumn="0"/>
            </w:pPr>
            <w:r w:rsidRPr="009E0D93">
              <w:t>Amount (2018 Grant)</w:t>
            </w:r>
          </w:p>
        </w:tc>
        <w:tc>
          <w:tcPr>
            <w:tcW w:w="2747" w:type="dxa"/>
            <w:tcBorders>
              <w:top w:val="nil"/>
              <w:right w:val="nil"/>
            </w:tcBorders>
          </w:tcPr>
          <w:p w14:paraId="5D950EF1" w14:textId="77777777" w:rsidR="00F73A86" w:rsidRPr="009E0D93" w:rsidRDefault="00F73A86">
            <w:pPr>
              <w:pStyle w:val="BodyText"/>
              <w:spacing w:before="60" w:after="60"/>
              <w:cnfStyle w:val="100000000000" w:firstRow="1" w:lastRow="0" w:firstColumn="0" w:lastColumn="0" w:oddVBand="0" w:evenVBand="0" w:oddHBand="0" w:evenHBand="0" w:firstRowFirstColumn="0" w:firstRowLastColumn="0" w:lastRowFirstColumn="0" w:lastRowLastColumn="0"/>
            </w:pPr>
            <w:r w:rsidRPr="009E0D93">
              <w:t>Amount (2022 Grant)</w:t>
            </w:r>
          </w:p>
        </w:tc>
      </w:tr>
      <w:tr w:rsidR="00F73A86" w14:paraId="11AC8E07" w14:textId="77777777">
        <w:tc>
          <w:tcPr>
            <w:cnfStyle w:val="001000000000" w:firstRow="0" w:lastRow="0" w:firstColumn="1" w:lastColumn="0" w:oddVBand="0" w:evenVBand="0" w:oddHBand="0" w:evenHBand="0" w:firstRowFirstColumn="0" w:firstRowLastColumn="0" w:lastRowFirstColumn="0" w:lastRowLastColumn="0"/>
            <w:tcW w:w="3876" w:type="dxa"/>
            <w:tcBorders>
              <w:left w:val="nil"/>
            </w:tcBorders>
            <w:shd w:val="clear" w:color="auto" w:fill="F1F4FE"/>
          </w:tcPr>
          <w:p w14:paraId="38FBBAD8" w14:textId="1B1C7B6A" w:rsidR="00F73A86" w:rsidRDefault="00F73A86" w:rsidP="00F73A86">
            <w:pPr>
              <w:pStyle w:val="BodyText"/>
              <w:spacing w:before="60" w:after="60"/>
            </w:pPr>
            <w:r>
              <w:t>Base Funding per training grant</w:t>
            </w:r>
          </w:p>
        </w:tc>
        <w:tc>
          <w:tcPr>
            <w:tcW w:w="3005" w:type="dxa"/>
          </w:tcPr>
          <w:p w14:paraId="2C3BC61D" w14:textId="49BB73C0" w:rsidR="00F73A86" w:rsidRDefault="00F73A86" w:rsidP="00F73A86">
            <w:pPr>
              <w:pStyle w:val="BodyText"/>
              <w:spacing w:before="60" w:after="60"/>
              <w:cnfStyle w:val="000000000000" w:firstRow="0" w:lastRow="0" w:firstColumn="0" w:lastColumn="0" w:oddVBand="0" w:evenVBand="0" w:oddHBand="0" w:evenHBand="0" w:firstRowFirstColumn="0" w:firstRowLastColumn="0" w:lastRowFirstColumn="0" w:lastRowLastColumn="0"/>
            </w:pPr>
            <w:r>
              <w:t>$60,000 per annum</w:t>
            </w:r>
          </w:p>
        </w:tc>
        <w:tc>
          <w:tcPr>
            <w:tcW w:w="2747" w:type="dxa"/>
            <w:tcBorders>
              <w:right w:val="nil"/>
            </w:tcBorders>
          </w:tcPr>
          <w:p w14:paraId="0C2C119E" w14:textId="3CD6762F" w:rsidR="00F73A86" w:rsidRDefault="00F73A86" w:rsidP="00F73A86">
            <w:pPr>
              <w:pStyle w:val="BodyText"/>
              <w:spacing w:before="60" w:after="60"/>
              <w:cnfStyle w:val="000000000000" w:firstRow="0" w:lastRow="0" w:firstColumn="0" w:lastColumn="0" w:oddVBand="0" w:evenVBand="0" w:oddHBand="0" w:evenHBand="0" w:firstRowFirstColumn="0" w:firstRowLastColumn="0" w:lastRowFirstColumn="0" w:lastRowLastColumn="0"/>
            </w:pPr>
            <w:r>
              <w:t>$60,000 per annum</w:t>
            </w:r>
          </w:p>
        </w:tc>
      </w:tr>
      <w:tr w:rsidR="00F73A86" w14:paraId="348AF150" w14:textId="77777777">
        <w:tc>
          <w:tcPr>
            <w:cnfStyle w:val="001000000000" w:firstRow="0" w:lastRow="0" w:firstColumn="1" w:lastColumn="0" w:oddVBand="0" w:evenVBand="0" w:oddHBand="0" w:evenHBand="0" w:firstRowFirstColumn="0" w:firstRowLastColumn="0" w:lastRowFirstColumn="0" w:lastRowLastColumn="0"/>
            <w:tcW w:w="3876" w:type="dxa"/>
            <w:tcBorders>
              <w:left w:val="nil"/>
            </w:tcBorders>
            <w:shd w:val="clear" w:color="auto" w:fill="F1F4FE"/>
          </w:tcPr>
          <w:p w14:paraId="23D15BCA" w14:textId="0A80ABB0" w:rsidR="00F73A86" w:rsidRPr="001E5B52" w:rsidRDefault="00F73A86" w:rsidP="00F73A86">
            <w:pPr>
              <w:pStyle w:val="BodyText"/>
              <w:spacing w:before="60" w:after="60"/>
              <w:rPr>
                <w:b w:val="0"/>
                <w:bCs w:val="0"/>
              </w:rPr>
            </w:pPr>
            <w:r>
              <w:t xml:space="preserve">Regional Loading (MMM 2-7) per training grant </w:t>
            </w:r>
          </w:p>
        </w:tc>
        <w:tc>
          <w:tcPr>
            <w:tcW w:w="3005" w:type="dxa"/>
          </w:tcPr>
          <w:p w14:paraId="31BB2588" w14:textId="054744C6" w:rsidR="00F73A86" w:rsidRDefault="00F73A86" w:rsidP="00F73A86">
            <w:pPr>
              <w:pStyle w:val="BodyText"/>
              <w:spacing w:before="60" w:after="60"/>
              <w:cnfStyle w:val="000000000000" w:firstRow="0" w:lastRow="0" w:firstColumn="0" w:lastColumn="0" w:oddVBand="0" w:evenVBand="0" w:oddHBand="0" w:evenHBand="0" w:firstRowFirstColumn="0" w:firstRowLastColumn="0" w:lastRowFirstColumn="0" w:lastRowLastColumn="0"/>
            </w:pPr>
            <w:r>
              <w:t>$20,000 per annum</w:t>
            </w:r>
          </w:p>
        </w:tc>
        <w:tc>
          <w:tcPr>
            <w:tcW w:w="2747" w:type="dxa"/>
            <w:tcBorders>
              <w:right w:val="nil"/>
            </w:tcBorders>
          </w:tcPr>
          <w:p w14:paraId="739BA161" w14:textId="1A261E7F" w:rsidR="00F73A86" w:rsidRDefault="00F73A86" w:rsidP="00F73A86">
            <w:pPr>
              <w:pStyle w:val="BodyText"/>
              <w:spacing w:before="60" w:after="60"/>
              <w:cnfStyle w:val="000000000000" w:firstRow="0" w:lastRow="0" w:firstColumn="0" w:lastColumn="0" w:oddVBand="0" w:evenVBand="0" w:oddHBand="0" w:evenHBand="0" w:firstRowFirstColumn="0" w:firstRowLastColumn="0" w:lastRowFirstColumn="0" w:lastRowLastColumn="0"/>
            </w:pPr>
            <w:r>
              <w:t>$20,000 per annum</w:t>
            </w:r>
          </w:p>
        </w:tc>
      </w:tr>
      <w:tr w:rsidR="00F73A86" w14:paraId="4A2B1A19" w14:textId="77777777">
        <w:tc>
          <w:tcPr>
            <w:cnfStyle w:val="001000000000" w:firstRow="0" w:lastRow="0" w:firstColumn="1" w:lastColumn="0" w:oddVBand="0" w:evenVBand="0" w:oddHBand="0" w:evenHBand="0" w:firstRowFirstColumn="0" w:firstRowLastColumn="0" w:lastRowFirstColumn="0" w:lastRowLastColumn="0"/>
            <w:tcW w:w="3876" w:type="dxa"/>
            <w:tcBorders>
              <w:left w:val="nil"/>
              <w:bottom w:val="nil"/>
            </w:tcBorders>
            <w:shd w:val="clear" w:color="auto" w:fill="F1F4FE"/>
          </w:tcPr>
          <w:p w14:paraId="51585344" w14:textId="436CBB50" w:rsidR="00F73A86" w:rsidRDefault="00F73A86" w:rsidP="00F73A86">
            <w:pPr>
              <w:pStyle w:val="BodyText"/>
              <w:spacing w:before="60" w:after="60"/>
            </w:pPr>
            <w:r>
              <w:t xml:space="preserve">Early completion payments* </w:t>
            </w:r>
          </w:p>
        </w:tc>
        <w:tc>
          <w:tcPr>
            <w:tcW w:w="3005" w:type="dxa"/>
            <w:tcBorders>
              <w:bottom w:val="nil"/>
            </w:tcBorders>
          </w:tcPr>
          <w:p w14:paraId="447F434D" w14:textId="3D5AC959" w:rsidR="00F73A86" w:rsidRDefault="00F73A86" w:rsidP="00F73A86">
            <w:pPr>
              <w:pStyle w:val="BodyText"/>
              <w:spacing w:before="60" w:after="60"/>
              <w:cnfStyle w:val="000000000000" w:firstRow="0" w:lastRow="0" w:firstColumn="0" w:lastColumn="0" w:oddVBand="0" w:evenVBand="0" w:oddHBand="0" w:evenHBand="0" w:firstRowFirstColumn="0" w:firstRowLastColumn="0" w:lastRowFirstColumn="0" w:lastRowLastColumn="0"/>
            </w:pPr>
            <w:r>
              <w:t>Up to $6,000</w:t>
            </w:r>
          </w:p>
        </w:tc>
        <w:tc>
          <w:tcPr>
            <w:tcW w:w="2747" w:type="dxa"/>
            <w:tcBorders>
              <w:bottom w:val="nil"/>
              <w:right w:val="nil"/>
            </w:tcBorders>
          </w:tcPr>
          <w:p w14:paraId="6145B484" w14:textId="5EEB3AA4" w:rsidR="00F73A86" w:rsidRDefault="00F73A86" w:rsidP="00F73A86">
            <w:pPr>
              <w:pStyle w:val="BodyText"/>
              <w:spacing w:before="60" w:after="60"/>
              <w:jc w:val="center"/>
              <w:cnfStyle w:val="000000000000" w:firstRow="0" w:lastRow="0" w:firstColumn="0" w:lastColumn="0" w:oddVBand="0" w:evenVBand="0" w:oddHBand="0" w:evenHBand="0" w:firstRowFirstColumn="0" w:firstRowLastColumn="0" w:lastRowFirstColumn="0" w:lastRowLastColumn="0"/>
            </w:pPr>
            <w:r>
              <w:t>-</w:t>
            </w:r>
          </w:p>
        </w:tc>
      </w:tr>
    </w:tbl>
    <w:p w14:paraId="506CFE17" w14:textId="77777777" w:rsidR="00BD5528" w:rsidRPr="00074AC0" w:rsidRDefault="00BD5528" w:rsidP="00BD5528">
      <w:pPr>
        <w:pStyle w:val="Caption"/>
        <w:rPr>
          <w:szCs w:val="24"/>
        </w:rPr>
      </w:pPr>
      <w:r w:rsidRPr="00074AC0">
        <w:rPr>
          <w:szCs w:val="24"/>
        </w:rPr>
        <w:t>Source: MPS Program Grant Agreements</w:t>
      </w:r>
    </w:p>
    <w:p w14:paraId="005C8C21" w14:textId="1F78BEFE" w:rsidR="00BD5528" w:rsidRPr="00612543" w:rsidRDefault="00BD5528" w:rsidP="00BD5528">
      <w:pPr>
        <w:pStyle w:val="BodyText"/>
        <w:rPr>
          <w:i/>
        </w:rPr>
      </w:pPr>
      <w:r w:rsidRPr="00612543">
        <w:rPr>
          <w:i/>
        </w:rPr>
        <w:t>*Early completion payments were</w:t>
      </w:r>
      <w:r w:rsidRPr="00612543" w:rsidDel="000D0FB0">
        <w:rPr>
          <w:i/>
        </w:rPr>
        <w:t xml:space="preserve"> </w:t>
      </w:r>
      <w:r w:rsidRPr="00612543">
        <w:rPr>
          <w:i/>
        </w:rPr>
        <w:t>made when a Trainee obtained registration in less than three years. In this scenario, a one-off payment of up to $6,000 may be paid to the recipient facility. However, discussions between ACPSEM and the Department in mid-2020 determined that early completion payments will not be made as funds would be better utilised towards meeting the liability of existing grants. Subsequently, early</w:t>
      </w:r>
      <w:r w:rsidRPr="00612543" w:rsidDel="00F17216">
        <w:rPr>
          <w:i/>
        </w:rPr>
        <w:t xml:space="preserve"> </w:t>
      </w:r>
      <w:r w:rsidRPr="00612543">
        <w:rPr>
          <w:i/>
        </w:rPr>
        <w:t xml:space="preserve">completion payments were removed from the 2022 Grant Agreement. </w:t>
      </w:r>
    </w:p>
    <w:p w14:paraId="60E11493" w14:textId="54413F52" w:rsidR="00216B21" w:rsidRDefault="00494109" w:rsidP="00F240C6">
      <w:pPr>
        <w:pStyle w:val="BodyText"/>
      </w:pPr>
      <w:r>
        <w:t xml:space="preserve">ACPSEM </w:t>
      </w:r>
      <w:r w:rsidR="00CA3533">
        <w:t>administered</w:t>
      </w:r>
      <w:r w:rsidR="00B96E13">
        <w:t xml:space="preserve"> </w:t>
      </w:r>
      <w:r w:rsidR="0002059C">
        <w:t xml:space="preserve">a total of </w:t>
      </w:r>
      <w:r w:rsidR="00F240C6">
        <w:t xml:space="preserve">99 grants between 2018 and 2023. </w:t>
      </w:r>
      <w:r w:rsidR="00A666D5">
        <w:fldChar w:fldCharType="begin" w:fldLock="1"/>
      </w:r>
      <w:r w:rsidR="00A666D5">
        <w:instrText xml:space="preserve"> REF _Ref182815625 \h </w:instrText>
      </w:r>
      <w:r w:rsidR="00A666D5">
        <w:fldChar w:fldCharType="separate"/>
      </w:r>
      <w:r w:rsidR="00D35A75">
        <w:t xml:space="preserve">Figure </w:t>
      </w:r>
      <w:r w:rsidR="00DD65F3" w:rsidDel="00BA2814">
        <w:rPr>
          <w:noProof/>
        </w:rPr>
        <w:t>10</w:t>
      </w:r>
      <w:r w:rsidR="00A666D5">
        <w:fldChar w:fldCharType="end"/>
      </w:r>
      <w:r w:rsidR="00A666D5">
        <w:t xml:space="preserve"> </w:t>
      </w:r>
      <w:r w:rsidR="00216B21">
        <w:t xml:space="preserve">below outlines the grants provided by the MPS </w:t>
      </w:r>
      <w:r w:rsidR="004E098C">
        <w:t>P</w:t>
      </w:r>
      <w:r w:rsidR="00216B21">
        <w:t xml:space="preserve">rogram by program type from 2018 to 2023. The </w:t>
      </w:r>
      <w:r w:rsidR="00F50A78">
        <w:t>number</w:t>
      </w:r>
      <w:r w:rsidR="00216B21">
        <w:t xml:space="preserve"> of grants provided has reduced from 27 to 14 over this period. The </w:t>
      </w:r>
      <w:r w:rsidR="007A67F9">
        <w:t>anomaly</w:t>
      </w:r>
      <w:r w:rsidR="00216B21">
        <w:t xml:space="preserve"> observed in 2020 is due to COVID-19 impacts resulting in no grants being provided. </w:t>
      </w:r>
      <w:r w:rsidR="001C400F">
        <w:t xml:space="preserve">Further analysis on the distribution of grants by TEAP stream and geography is provided in Section </w:t>
      </w:r>
      <w:r w:rsidR="00FA1A79">
        <w:fldChar w:fldCharType="begin" w:fldLock="1"/>
      </w:r>
      <w:r w:rsidR="00FA1A79">
        <w:instrText xml:space="preserve"> REF _Ref181947044 \r \h </w:instrText>
      </w:r>
      <w:r w:rsidR="00FA1A79">
        <w:fldChar w:fldCharType="separate"/>
      </w:r>
      <w:r w:rsidR="00D35A75">
        <w:t>3.5</w:t>
      </w:r>
      <w:r w:rsidR="00FA1A79">
        <w:fldChar w:fldCharType="end"/>
      </w:r>
      <w:r w:rsidR="00FA1A79">
        <w:t>.</w:t>
      </w:r>
      <w:r w:rsidR="001C400F">
        <w:t xml:space="preserve"> </w:t>
      </w:r>
    </w:p>
    <w:p w14:paraId="06F0A56C" w14:textId="04BB09A0" w:rsidR="0039422A" w:rsidRDefault="0039422A" w:rsidP="0039422A">
      <w:pPr>
        <w:pStyle w:val="Caption"/>
      </w:pPr>
      <w:bookmarkStart w:id="140" w:name="_Ref182815625"/>
      <w:bookmarkStart w:id="141" w:name="_Ref178153240"/>
      <w:bookmarkStart w:id="142" w:name="_Ref178232957"/>
      <w:r>
        <w:t xml:space="preserve">Figure </w:t>
      </w:r>
      <w:r>
        <w:fldChar w:fldCharType="begin"/>
      </w:r>
      <w:r>
        <w:instrText xml:space="preserve"> SEQ Figure \* ARABIC </w:instrText>
      </w:r>
      <w:r>
        <w:fldChar w:fldCharType="separate"/>
      </w:r>
      <w:r w:rsidR="005F7EBC">
        <w:rPr>
          <w:noProof/>
        </w:rPr>
        <w:t>10</w:t>
      </w:r>
      <w:r>
        <w:fldChar w:fldCharType="end"/>
      </w:r>
      <w:bookmarkEnd w:id="140"/>
      <w:r>
        <w:t xml:space="preserve">: </w:t>
      </w:r>
      <w:r w:rsidRPr="004B585B">
        <w:t xml:space="preserve">Grants provided by </w:t>
      </w:r>
      <w:r w:rsidR="00AC1D7A">
        <w:t>grant round</w:t>
      </w:r>
      <w:r w:rsidRPr="004B585B">
        <w:t xml:space="preserve"> and program type, 2018 - 2023.</w:t>
      </w:r>
    </w:p>
    <w:bookmarkEnd w:id="141"/>
    <w:bookmarkEnd w:id="142"/>
    <w:p w14:paraId="4D4E2591" w14:textId="77777777" w:rsidR="00216B21" w:rsidRDefault="00216B21" w:rsidP="00BE65B7">
      <w:pPr>
        <w:pStyle w:val="BodyText"/>
        <w:jc w:val="center"/>
      </w:pPr>
      <w:r>
        <w:rPr>
          <w:noProof/>
        </w:rPr>
        <w:drawing>
          <wp:inline distT="0" distB="0" distL="0" distR="0" wp14:anchorId="1551E1C7" wp14:editId="58513BE8">
            <wp:extent cx="4295554" cy="2711302"/>
            <wp:effectExtent l="0" t="0" r="0" b="0"/>
            <wp:docPr id="5" name="Chart 5" descr="Figure 10 is a horizontal bar chart which shows Grants provided by grant round and program type 2018 - 2023. ">
              <a:extLst xmlns:a="http://schemas.openxmlformats.org/drawingml/2006/main">
                <a:ext uri="{FF2B5EF4-FFF2-40B4-BE49-F238E27FC236}">
                  <a16:creationId xmlns:a16="http://schemas.microsoft.com/office/drawing/2014/main" id="{8B00926A-DA1C-4DA3-9AB6-79B30145AE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A03F81A" w14:textId="77777777" w:rsidR="00216B21" w:rsidRPr="00643171" w:rsidRDefault="00216B21" w:rsidP="00216B21">
      <w:pPr>
        <w:pStyle w:val="Caption"/>
        <w:rPr>
          <w:szCs w:val="24"/>
        </w:rPr>
      </w:pPr>
      <w:r>
        <w:rPr>
          <w:szCs w:val="24"/>
        </w:rPr>
        <w:t>S</w:t>
      </w:r>
      <w:r w:rsidRPr="00074AC0">
        <w:rPr>
          <w:szCs w:val="24"/>
        </w:rPr>
        <w:t xml:space="preserve">ource: </w:t>
      </w:r>
      <w:r>
        <w:rPr>
          <w:szCs w:val="24"/>
        </w:rPr>
        <w:t xml:space="preserve">KPMG analysis of </w:t>
      </w:r>
      <w:r w:rsidRPr="00074AC0">
        <w:rPr>
          <w:szCs w:val="24"/>
        </w:rPr>
        <w:t xml:space="preserve">MPS Program </w:t>
      </w:r>
      <w:r>
        <w:rPr>
          <w:szCs w:val="24"/>
        </w:rPr>
        <w:t>data</w:t>
      </w:r>
    </w:p>
    <w:p w14:paraId="04AA72F8" w14:textId="3E60F807" w:rsidR="00731945" w:rsidRDefault="00177D14" w:rsidP="006303DE">
      <w:pPr>
        <w:pStyle w:val="BodyText"/>
      </w:pPr>
      <w:r>
        <w:t>As outlined in</w:t>
      </w:r>
      <w:r w:rsidR="00FA1A79">
        <w:t xml:space="preserve"> Section </w:t>
      </w:r>
      <w:r w:rsidR="00B539FE">
        <w:fldChar w:fldCharType="begin" w:fldLock="1"/>
      </w:r>
      <w:r w:rsidR="00B539FE">
        <w:instrText xml:space="preserve"> REF _Ref182581752 \r \h </w:instrText>
      </w:r>
      <w:r w:rsidR="00B539FE">
        <w:fldChar w:fldCharType="separate"/>
      </w:r>
      <w:r w:rsidR="00D35A75">
        <w:t>3.1.2</w:t>
      </w:r>
      <w:r w:rsidR="00B539FE">
        <w:fldChar w:fldCharType="end"/>
      </w:r>
      <w:r w:rsidR="00B539FE">
        <w:t>,</w:t>
      </w:r>
      <w:r>
        <w:t xml:space="preserve"> </w:t>
      </w:r>
      <w:r w:rsidR="00671216">
        <w:t>grant funding received by facilities covers</w:t>
      </w:r>
      <w:r w:rsidR="00B764BA">
        <w:t xml:space="preserve"> between approximately half and two-thirds of the </w:t>
      </w:r>
      <w:r w:rsidR="009E0BF6">
        <w:t>m</w:t>
      </w:r>
      <w:r w:rsidR="00EB60CE">
        <w:t xml:space="preserve">edical </w:t>
      </w:r>
      <w:r w:rsidR="009E0BF6">
        <w:t>p</w:t>
      </w:r>
      <w:r w:rsidR="00EB60CE">
        <w:t>hysicist</w:t>
      </w:r>
      <w:r w:rsidR="000F0E04">
        <w:t>’</w:t>
      </w:r>
      <w:r w:rsidR="00EB60CE">
        <w:t xml:space="preserve">s </w:t>
      </w:r>
      <w:r w:rsidR="00B764BA">
        <w:t>salary</w:t>
      </w:r>
      <w:r w:rsidR="003145E5">
        <w:t>, and t</w:t>
      </w:r>
      <w:r w:rsidR="0069293F">
        <w:t>he amount of funding has remained stagnant in recent years despite rising costs.</w:t>
      </w:r>
      <w:r w:rsidR="0069293F" w:rsidRPr="0069293F">
        <w:t xml:space="preserve"> </w:t>
      </w:r>
      <w:r w:rsidR="0069293F">
        <w:t xml:space="preserve">There is currently no reporting available on the spending of grants by facilities, and consequently there is limited insight into the efficiency of grant funding use by facilities. As an example, a surveyed Registrar who received grant funding raised that </w:t>
      </w:r>
      <w:proofErr w:type="gramStart"/>
      <w:r w:rsidR="0069293F">
        <w:t>the majority of</w:t>
      </w:r>
      <w:proofErr w:type="gramEnd"/>
      <w:r w:rsidR="0069293F">
        <w:t xml:space="preserve"> their funds went unspent and were given back </w:t>
      </w:r>
      <w:r w:rsidR="0093451A">
        <w:t xml:space="preserve">to ACPSEM </w:t>
      </w:r>
      <w:r w:rsidR="0069293F">
        <w:t xml:space="preserve">after TEAP completion despite the Registrar and their Supervisor requesting the money be spent on various activities. The surveyed Registrar highlighted that ACPSEM should have greater oversight of the spending of funds by facilities to ensure they are used in the best interest of the Registrar. </w:t>
      </w:r>
    </w:p>
    <w:p w14:paraId="5ED910EE" w14:textId="77777777" w:rsidR="00C65E75" w:rsidRDefault="00C65E75" w:rsidP="006303DE">
      <w:pPr>
        <w:pStyle w:val="BodyText"/>
      </w:pPr>
    </w:p>
    <w:p w14:paraId="4DE24E24" w14:textId="0A5ACF1B" w:rsidR="00C65E75" w:rsidRPr="00DC6578" w:rsidRDefault="00B66763" w:rsidP="00B66763">
      <w:pPr>
        <w:shd w:val="clear" w:color="auto" w:fill="540EAF" w:themeFill="accent5" w:themeFillShade="BF"/>
        <w:rPr>
          <w:rFonts w:cs="Arial"/>
          <w:b/>
          <w:bCs/>
        </w:rPr>
      </w:pPr>
      <w:r>
        <w:rPr>
          <w:rFonts w:cs="Arial"/>
          <w:b/>
          <w:bCs/>
          <w:noProof/>
        </w:rPr>
        <w:drawing>
          <wp:inline distT="0" distB="0" distL="0" distR="0" wp14:anchorId="008D96CE" wp14:editId="52DF1F26">
            <wp:extent cx="347472" cy="347472"/>
            <wp:effectExtent l="0" t="0" r="0" b="0"/>
            <wp:docPr id="1369420953"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92577" name="Graphic 4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362419" cy="362419"/>
                    </a:xfrm>
                    <a:prstGeom prst="rect">
                      <a:avLst/>
                    </a:prstGeom>
                  </pic:spPr>
                </pic:pic>
              </a:graphicData>
            </a:graphic>
          </wp:inline>
        </w:drawing>
      </w:r>
      <w:r>
        <w:rPr>
          <w:rFonts w:cs="Arial"/>
          <w:b/>
          <w:bCs/>
        </w:rPr>
        <w:t xml:space="preserve"> </w:t>
      </w:r>
      <w:r w:rsidR="00C65E75">
        <w:rPr>
          <w:rFonts w:cs="Arial"/>
          <w:b/>
          <w:bCs/>
        </w:rPr>
        <w:t xml:space="preserve">Insights </w:t>
      </w:r>
      <w:r w:rsidR="002004B6">
        <w:rPr>
          <w:rFonts w:cs="Arial"/>
          <w:b/>
          <w:bCs/>
        </w:rPr>
        <w:t>- M</w:t>
      </w:r>
      <w:r w:rsidR="00C65E75">
        <w:rPr>
          <w:rFonts w:cs="Arial"/>
          <w:b/>
          <w:bCs/>
        </w:rPr>
        <w:t>edical Physicists Trainee Support Stream</w:t>
      </w:r>
    </w:p>
    <w:p w14:paraId="7CCFDDC2" w14:textId="77777777" w:rsidR="00C65E75" w:rsidRPr="00D4724D" w:rsidRDefault="00C65E75" w:rsidP="00B66763">
      <w:pPr>
        <w:pStyle w:val="Tablelistbullet"/>
        <w:shd w:val="clear" w:color="auto" w:fill="E2CFFB" w:themeFill="accent5" w:themeFillTint="33"/>
        <w:rPr>
          <w:b/>
        </w:rPr>
      </w:pPr>
      <w:r>
        <w:t xml:space="preserve">The </w:t>
      </w:r>
      <w:r w:rsidRPr="00106874">
        <w:t xml:space="preserve">Medical Physicists Trainee Support </w:t>
      </w:r>
      <w:r>
        <w:t>stream received an average of $1.4 million annually across 2018 – 2023. An underspend of over $2 million was reported in 2022, with the underspend predicted to fall to over $800 thousand in 2023.</w:t>
      </w:r>
    </w:p>
    <w:p w14:paraId="57B76942" w14:textId="77777777" w:rsidR="00C65E75" w:rsidRPr="00C65E75" w:rsidRDefault="00C65E75" w:rsidP="00B66763">
      <w:pPr>
        <w:pStyle w:val="Tablelistbullet"/>
        <w:shd w:val="clear" w:color="auto" w:fill="E2CFFB" w:themeFill="accent5" w:themeFillTint="33"/>
        <w:rPr>
          <w:b/>
        </w:rPr>
      </w:pPr>
      <w:r>
        <w:t xml:space="preserve">Funds for this stream were almost entirely spent on the administration of grant funding, with a total of 99 grants made to facilities throughout 2018 – 2023. </w:t>
      </w:r>
      <w:r w:rsidRPr="00EB03E5">
        <w:t xml:space="preserve">Additional expenses include the </w:t>
      </w:r>
      <w:r>
        <w:t>RIFP</w:t>
      </w:r>
      <w:r w:rsidRPr="00EB03E5">
        <w:t xml:space="preserve"> and workforce modelling</w:t>
      </w:r>
      <w:r>
        <w:t xml:space="preserve"> for DIMP</w:t>
      </w:r>
      <w:r>
        <w:rPr>
          <w:bCs/>
        </w:rPr>
        <w:t xml:space="preserve"> and </w:t>
      </w:r>
      <w:r>
        <w:t>ROMP.</w:t>
      </w:r>
    </w:p>
    <w:p w14:paraId="5C6AB328" w14:textId="7A2E27BD" w:rsidR="00C65E75" w:rsidRPr="00C65E75" w:rsidRDefault="00C65E75" w:rsidP="00B66763">
      <w:pPr>
        <w:pStyle w:val="Tablelistbullet"/>
        <w:shd w:val="clear" w:color="auto" w:fill="E2CFFB" w:themeFill="accent5" w:themeFillTint="33"/>
        <w:rPr>
          <w:b/>
        </w:rPr>
      </w:pPr>
      <w:r>
        <w:t>Recipients of TEAP grant funding frequently cited that the funds were insufficient to cover the costs of a TEAP Registrar and had remained stagnant despite rising costs. The efficiency of funding use by facilities is unclear due to limited financial reporting by facilities</w:t>
      </w:r>
      <w:r w:rsidRPr="00582C82">
        <w:t>.</w:t>
      </w:r>
    </w:p>
    <w:p w14:paraId="3E0B5415" w14:textId="77777777" w:rsidR="00D92202" w:rsidRDefault="00D92202" w:rsidP="00417A71">
      <w:pPr>
        <w:pStyle w:val="BodyText"/>
        <w:rPr>
          <w:bCs/>
        </w:rPr>
      </w:pPr>
    </w:p>
    <w:p w14:paraId="5C16EFC0" w14:textId="41587FDA" w:rsidR="00417A71" w:rsidRPr="000014AB" w:rsidRDefault="00342131" w:rsidP="00417A71">
      <w:pPr>
        <w:pStyle w:val="BodyText"/>
      </w:pPr>
      <w:r w:rsidRPr="00342131">
        <w:rPr>
          <w:bCs/>
        </w:rPr>
        <w:t>Overall,</w:t>
      </w:r>
      <w:r>
        <w:rPr>
          <w:b/>
        </w:rPr>
        <w:t xml:space="preserve"> </w:t>
      </w:r>
      <w:r w:rsidR="00722E03" w:rsidRPr="00722E03">
        <w:rPr>
          <w:bCs/>
        </w:rPr>
        <w:t>the</w:t>
      </w:r>
      <w:r w:rsidR="00301444">
        <w:rPr>
          <w:bCs/>
        </w:rPr>
        <w:t xml:space="preserve"> financial efficiency</w:t>
      </w:r>
      <w:r w:rsidR="00301444" w:rsidRPr="00722E03">
        <w:t xml:space="preserve"> </w:t>
      </w:r>
      <w:r w:rsidR="00301444">
        <w:rPr>
          <w:bCs/>
        </w:rPr>
        <w:t xml:space="preserve">of the MPS Program </w:t>
      </w:r>
      <w:r w:rsidR="00722E03" w:rsidRPr="00722E03">
        <w:rPr>
          <w:bCs/>
        </w:rPr>
        <w:t>is unclear</w:t>
      </w:r>
      <w:r w:rsidR="00722E03">
        <w:rPr>
          <w:b/>
        </w:rPr>
        <w:t xml:space="preserve"> </w:t>
      </w:r>
      <w:r w:rsidR="00301444">
        <w:rPr>
          <w:bCs/>
        </w:rPr>
        <w:t xml:space="preserve">due to </w:t>
      </w:r>
      <w:proofErr w:type="gramStart"/>
      <w:r w:rsidR="00301444">
        <w:rPr>
          <w:bCs/>
        </w:rPr>
        <w:t>a number of</w:t>
      </w:r>
      <w:proofErr w:type="gramEnd"/>
      <w:r w:rsidR="00301444">
        <w:rPr>
          <w:bCs/>
        </w:rPr>
        <w:t xml:space="preserve"> </w:t>
      </w:r>
      <w:r w:rsidR="005B4DC6">
        <w:rPr>
          <w:bCs/>
        </w:rPr>
        <w:t>challenges, including</w:t>
      </w:r>
      <w:r w:rsidR="0018358C" w:rsidRPr="000014AB">
        <w:t>:</w:t>
      </w:r>
    </w:p>
    <w:p w14:paraId="01BE2616" w14:textId="7790B798" w:rsidR="0018358C" w:rsidRPr="000014AB" w:rsidRDefault="006B3FF7" w:rsidP="00584EC6">
      <w:pPr>
        <w:pStyle w:val="BodyText"/>
        <w:numPr>
          <w:ilvl w:val="0"/>
          <w:numId w:val="48"/>
        </w:numPr>
      </w:pPr>
      <w:r w:rsidRPr="000014AB">
        <w:t xml:space="preserve">A large and broad range of activities are funded under the MPS Program, and </w:t>
      </w:r>
      <w:r w:rsidR="00B43EEB" w:rsidRPr="000014AB">
        <w:t xml:space="preserve">these activities </w:t>
      </w:r>
      <w:r w:rsidRPr="000014AB">
        <w:t>change on an annual basis</w:t>
      </w:r>
      <w:r w:rsidR="00833482" w:rsidRPr="000014AB">
        <w:t xml:space="preserve"> as per </w:t>
      </w:r>
      <w:r w:rsidR="00943A72" w:rsidRPr="000014AB">
        <w:t xml:space="preserve">ACPSEM’s </w:t>
      </w:r>
      <w:r w:rsidR="00833482" w:rsidRPr="000014AB">
        <w:t xml:space="preserve">AWPs </w:t>
      </w:r>
      <w:r w:rsidR="00943A72" w:rsidRPr="000014AB">
        <w:t xml:space="preserve">approved by the Department. In </w:t>
      </w:r>
      <w:r w:rsidR="00014660" w:rsidRPr="000014AB">
        <w:t xml:space="preserve">2023, there were 21 activity objectives and 40 strategies </w:t>
      </w:r>
      <w:r w:rsidR="00E961D1" w:rsidRPr="000014AB">
        <w:t>to</w:t>
      </w:r>
      <w:r w:rsidR="00014660" w:rsidRPr="000014AB">
        <w:t xml:space="preserve"> meet activity objectives </w:t>
      </w:r>
      <w:r w:rsidR="00C45CE3" w:rsidRPr="000014AB">
        <w:t>in the AWP, with performance reports reporting</w:t>
      </w:r>
      <w:r w:rsidR="0008042C" w:rsidRPr="000014AB">
        <w:t xml:space="preserve"> progress</w:t>
      </w:r>
      <w:r w:rsidR="00C45CE3" w:rsidRPr="000014AB">
        <w:t xml:space="preserve"> against each of the 40 strategies.</w:t>
      </w:r>
      <w:r w:rsidR="00EE0856">
        <w:t xml:space="preserve"> </w:t>
      </w:r>
    </w:p>
    <w:p w14:paraId="48124037" w14:textId="431CB9E4" w:rsidR="00C45CE3" w:rsidRPr="000014AB" w:rsidRDefault="00C45CE3" w:rsidP="00584EC6">
      <w:pPr>
        <w:pStyle w:val="BodyText"/>
        <w:numPr>
          <w:ilvl w:val="0"/>
          <w:numId w:val="48"/>
        </w:numPr>
      </w:pPr>
      <w:r w:rsidRPr="000014AB">
        <w:t xml:space="preserve">There is variability in the </w:t>
      </w:r>
      <w:r w:rsidR="00F404BA" w:rsidRPr="000014AB">
        <w:t>outputs against each of the strateg</w:t>
      </w:r>
      <w:r w:rsidR="00FE0382" w:rsidRPr="000014AB">
        <w:t>ies to meet activity objectives, with many qualitative in nature.</w:t>
      </w:r>
    </w:p>
    <w:p w14:paraId="600128CE" w14:textId="6C1869E4" w:rsidR="00FE0382" w:rsidRPr="000014AB" w:rsidRDefault="00E56954" w:rsidP="00584EC6">
      <w:pPr>
        <w:pStyle w:val="BodyText"/>
        <w:numPr>
          <w:ilvl w:val="0"/>
          <w:numId w:val="48"/>
        </w:numPr>
      </w:pPr>
      <w:r w:rsidRPr="000014AB">
        <w:t>F</w:t>
      </w:r>
      <w:r w:rsidR="00267D08" w:rsidRPr="000014AB">
        <w:t xml:space="preserve">unding allocations by </w:t>
      </w:r>
      <w:r w:rsidRPr="000014AB">
        <w:t xml:space="preserve">ACPSEM </w:t>
      </w:r>
      <w:r w:rsidR="00267D08" w:rsidRPr="000014AB">
        <w:t xml:space="preserve">activity </w:t>
      </w:r>
      <w:r w:rsidR="000145AA">
        <w:t xml:space="preserve">or TEAP stream </w:t>
      </w:r>
      <w:r w:rsidR="00267D08" w:rsidRPr="000014AB">
        <w:t>is not available, m</w:t>
      </w:r>
      <w:r w:rsidRPr="000014AB">
        <w:t xml:space="preserve">eaning </w:t>
      </w:r>
      <w:r w:rsidR="00E86915" w:rsidRPr="000014AB">
        <w:t xml:space="preserve">it is not possible to further investigate </w:t>
      </w:r>
      <w:r w:rsidR="00001D88" w:rsidRPr="000014AB">
        <w:t>how funds have been used to deliver</w:t>
      </w:r>
      <w:r w:rsidR="00E310CB" w:rsidRPr="000014AB">
        <w:t xml:space="preserve"> </w:t>
      </w:r>
      <w:r w:rsidR="000B6285" w:rsidRPr="000014AB">
        <w:t xml:space="preserve">various </w:t>
      </w:r>
      <w:r w:rsidR="00E310CB" w:rsidRPr="000014AB">
        <w:t>outputs.</w:t>
      </w:r>
    </w:p>
    <w:p w14:paraId="1C29E235" w14:textId="245FE610" w:rsidR="00BB114D" w:rsidRPr="000014AB" w:rsidRDefault="00EE66D5" w:rsidP="00584EC6">
      <w:pPr>
        <w:pStyle w:val="BodyText"/>
        <w:numPr>
          <w:ilvl w:val="0"/>
          <w:numId w:val="48"/>
        </w:numPr>
      </w:pPr>
      <w:r>
        <w:t xml:space="preserve">Reporting on the use of funds by </w:t>
      </w:r>
      <w:r w:rsidR="00642FAE">
        <w:t xml:space="preserve">facilities is unavailable, </w:t>
      </w:r>
      <w:r w:rsidR="007D5845">
        <w:t>meaning the eff</w:t>
      </w:r>
      <w:r w:rsidR="00D14FE5">
        <w:t xml:space="preserve">iciency of </w:t>
      </w:r>
      <w:r w:rsidR="006D301B">
        <w:t>grant funding use by facilities is uncertain.</w:t>
      </w:r>
    </w:p>
    <w:p w14:paraId="4671BC92" w14:textId="2CCA5B05" w:rsidR="000610C8" w:rsidRPr="000014AB" w:rsidRDefault="000610C8" w:rsidP="00584EC6">
      <w:pPr>
        <w:pStyle w:val="BodyText"/>
        <w:numPr>
          <w:ilvl w:val="0"/>
          <w:numId w:val="48"/>
        </w:numPr>
      </w:pPr>
      <w:r w:rsidRPr="000014AB">
        <w:t xml:space="preserve">Benchmarking data with similar </w:t>
      </w:r>
      <w:r w:rsidR="000014AB" w:rsidRPr="000014AB">
        <w:t xml:space="preserve">programs </w:t>
      </w:r>
      <w:r w:rsidRPr="000014AB">
        <w:t>is not available as part of this evaluation</w:t>
      </w:r>
      <w:r w:rsidR="000014AB" w:rsidRPr="000014AB">
        <w:t>.</w:t>
      </w:r>
    </w:p>
    <w:p w14:paraId="48FF96A5" w14:textId="024B6F73" w:rsidR="002F31B6" w:rsidRPr="00AE349D" w:rsidRDefault="002F31B6" w:rsidP="00AE349D">
      <w:pPr>
        <w:pStyle w:val="Heading3"/>
      </w:pPr>
      <w:bookmarkStart w:id="143" w:name="_Toc216711590"/>
      <w:r w:rsidRPr="00AE349D">
        <w:t>Administrative efficiency</w:t>
      </w:r>
      <w:bookmarkEnd w:id="143"/>
    </w:p>
    <w:p w14:paraId="14339870" w14:textId="1F667479" w:rsidR="00C929D7" w:rsidRDefault="00C929D7" w:rsidP="00C929D7">
      <w:pPr>
        <w:pStyle w:val="BodyText"/>
      </w:pPr>
      <w:r w:rsidRPr="00541D73">
        <w:t xml:space="preserve">In general, administrative burden for </w:t>
      </w:r>
      <w:r>
        <w:t>Supervisor</w:t>
      </w:r>
      <w:r w:rsidRPr="00541D73">
        <w:t xml:space="preserve">s was found to be relatively straightforward and not overly burdensome. </w:t>
      </w:r>
      <w:r>
        <w:t>However, w</w:t>
      </w:r>
      <w:r w:rsidRPr="00541D73">
        <w:t xml:space="preserve">hile some stakeholders commented that administration from </w:t>
      </w:r>
      <w:r>
        <w:t>ACPSEM</w:t>
      </w:r>
      <w:r w:rsidRPr="00541D73">
        <w:t xml:space="preserve"> was well-resourced and well-organised, others</w:t>
      </w:r>
      <w:r>
        <w:t xml:space="preserve"> felt ACPSEM was under-resourced and under-staffed. </w:t>
      </w:r>
    </w:p>
    <w:p w14:paraId="7DB2EA33" w14:textId="20391A7E" w:rsidR="008349B4" w:rsidRDefault="002D14C9" w:rsidP="002D14C9">
      <w:pPr>
        <w:pStyle w:val="BodyText"/>
      </w:pPr>
      <w:r>
        <w:t>When asked whether administrative process</w:t>
      </w:r>
      <w:r w:rsidR="00392CE3">
        <w:t>es</w:t>
      </w:r>
      <w:r>
        <w:t xml:space="preserve"> for TEAP, such as ALEX and </w:t>
      </w:r>
      <w:r w:rsidR="002C62D5">
        <w:t>ACPSEM</w:t>
      </w:r>
      <w:r>
        <w:t xml:space="preserve"> response times, were efficient and user friendly, just over half (5</w:t>
      </w:r>
      <w:r w:rsidR="00131111">
        <w:t>3</w:t>
      </w:r>
      <w:r>
        <w:t>%</w:t>
      </w:r>
      <w:r w:rsidR="007322D0">
        <w:t>, 32 respondents</w:t>
      </w:r>
      <w:r>
        <w:t>) of Registrars agreed, however only one-third of surveyed Supervisors were in agreeance</w:t>
      </w:r>
      <w:r w:rsidR="00131111">
        <w:t xml:space="preserve"> (n=60)</w:t>
      </w:r>
      <w:r>
        <w:t>. Almost one-third of both surveyed Registrars</w:t>
      </w:r>
      <w:r w:rsidR="00700CD8">
        <w:t xml:space="preserve"> (</w:t>
      </w:r>
      <w:r w:rsidR="00480B3B">
        <w:t xml:space="preserve">33%, 20 respondents, </w:t>
      </w:r>
      <w:r w:rsidR="002C078C">
        <w:t>n=60)</w:t>
      </w:r>
      <w:r>
        <w:t xml:space="preserve"> and Supervisors </w:t>
      </w:r>
      <w:r w:rsidR="002C078C">
        <w:t>(</w:t>
      </w:r>
      <w:r w:rsidR="000E323B">
        <w:t xml:space="preserve">32%, 17 respondents, </w:t>
      </w:r>
      <w:r w:rsidR="0078590D">
        <w:t xml:space="preserve">n=54) </w:t>
      </w:r>
      <w:r w:rsidR="002010EB">
        <w:t>did not agree</w:t>
      </w:r>
      <w:r>
        <w:t xml:space="preserve"> that administrative processes for TEAP, such as assessment submissions and reporting requirements, are clear.</w:t>
      </w:r>
      <w:r w:rsidR="005E4EA8">
        <w:t xml:space="preserve"> </w:t>
      </w:r>
      <w:r w:rsidR="004653E9">
        <w:t>Detailed breakdown</w:t>
      </w:r>
      <w:r w:rsidR="003D41F0">
        <w:t>s</w:t>
      </w:r>
      <w:r w:rsidR="004653E9">
        <w:t xml:space="preserve"> of Registrar and Supervisor perceptions from </w:t>
      </w:r>
      <w:r w:rsidR="001D24F3">
        <w:t xml:space="preserve">surveys are provided below. </w:t>
      </w:r>
    </w:p>
    <w:p w14:paraId="3505827B" w14:textId="77777777" w:rsidR="00CE7B24" w:rsidRDefault="00CE7B24">
      <w:pPr>
        <w:spacing w:before="0" w:after="160" w:line="259" w:lineRule="auto"/>
      </w:pPr>
      <w:r>
        <w:br w:type="page"/>
      </w:r>
    </w:p>
    <w:tbl>
      <w:tblPr>
        <w:tblStyle w:val="TableGrid"/>
        <w:tblW w:w="0" w:type="auto"/>
        <w:tblLook w:val="04A0" w:firstRow="1" w:lastRow="0" w:firstColumn="1" w:lastColumn="0" w:noHBand="0" w:noVBand="1"/>
      </w:tblPr>
      <w:tblGrid>
        <w:gridCol w:w="4819"/>
        <w:gridCol w:w="4819"/>
      </w:tblGrid>
      <w:tr w:rsidR="0040345F" w14:paraId="1763A1F8" w14:textId="77777777" w:rsidTr="00226194">
        <w:trPr>
          <w:cnfStyle w:val="100000000000" w:firstRow="1" w:lastRow="0" w:firstColumn="0" w:lastColumn="0" w:oddVBand="0" w:evenVBand="0" w:oddHBand="0" w:evenHBand="0" w:firstRowFirstColumn="0" w:firstRowLastColumn="0" w:lastRowFirstColumn="0" w:lastRowLastColumn="0"/>
        </w:trPr>
        <w:tc>
          <w:tcPr>
            <w:tcW w:w="4819" w:type="dxa"/>
          </w:tcPr>
          <w:p w14:paraId="43D66D9A" w14:textId="0E4A112B" w:rsidR="0039422A" w:rsidRPr="002B22C4" w:rsidRDefault="0039422A" w:rsidP="0039422A">
            <w:pPr>
              <w:pStyle w:val="Caption"/>
              <w:rPr>
                <w:color w:val="FFFFFF" w:themeColor="background1"/>
              </w:rPr>
            </w:pPr>
            <w:r w:rsidRPr="002B22C4">
              <w:rPr>
                <w:color w:val="FFFFFF" w:themeColor="background1"/>
              </w:rPr>
              <w:t xml:space="preserve">Figure </w:t>
            </w:r>
            <w:r w:rsidRPr="002B22C4">
              <w:rPr>
                <w:color w:val="FFFFFF" w:themeColor="background1"/>
              </w:rPr>
              <w:fldChar w:fldCharType="begin"/>
            </w:r>
            <w:r w:rsidRPr="002B22C4">
              <w:rPr>
                <w:color w:val="FFFFFF" w:themeColor="background1"/>
              </w:rPr>
              <w:instrText>SEQ Figure \* ARABIC</w:instrText>
            </w:r>
            <w:r w:rsidRPr="002B22C4">
              <w:rPr>
                <w:color w:val="FFFFFF" w:themeColor="background1"/>
              </w:rPr>
              <w:fldChar w:fldCharType="separate"/>
            </w:r>
            <w:r w:rsidR="005F7EBC" w:rsidRPr="002B22C4">
              <w:rPr>
                <w:noProof/>
                <w:color w:val="FFFFFF" w:themeColor="background1"/>
              </w:rPr>
              <w:t>11</w:t>
            </w:r>
            <w:r w:rsidRPr="002B22C4">
              <w:rPr>
                <w:color w:val="FFFFFF" w:themeColor="background1"/>
              </w:rPr>
              <w:fldChar w:fldCharType="end"/>
            </w:r>
            <w:r w:rsidRPr="002B22C4">
              <w:rPr>
                <w:color w:val="FFFFFF" w:themeColor="background1"/>
              </w:rPr>
              <w:t xml:space="preserve">: </w:t>
            </w:r>
            <w:r w:rsidR="00015143" w:rsidRPr="002B22C4">
              <w:rPr>
                <w:color w:val="FFFFFF" w:themeColor="background1"/>
              </w:rPr>
              <w:t xml:space="preserve">Responses of surveyed Registrars to the statement </w:t>
            </w:r>
            <w:r w:rsidRPr="002B22C4">
              <w:rPr>
                <w:color w:val="FFFFFF" w:themeColor="background1"/>
              </w:rPr>
              <w:t>to the statement ‘Administrative processes for TEAP (e.g. ALEX, College response times) are efficient and user-friendly’</w:t>
            </w:r>
            <w:r w:rsidR="003152A3" w:rsidRPr="002B22C4">
              <w:rPr>
                <w:color w:val="FFFFFF" w:themeColor="background1"/>
              </w:rPr>
              <w:t xml:space="preserve"> (n=60)</w:t>
            </w:r>
          </w:p>
          <w:p w14:paraId="45854B3A" w14:textId="77777777" w:rsidR="0040345F" w:rsidRPr="002B22C4" w:rsidRDefault="0040345F" w:rsidP="004653E9">
            <w:pPr>
              <w:pStyle w:val="BodyText"/>
            </w:pPr>
            <w:r w:rsidRPr="002B22C4">
              <w:rPr>
                <w:noProof/>
              </w:rPr>
              <w:drawing>
                <wp:inline distT="0" distB="0" distL="0" distR="0" wp14:anchorId="55B8D29C" wp14:editId="57147F8D">
                  <wp:extent cx="2966085" cy="1818168"/>
                  <wp:effectExtent l="0" t="0" r="0" b="0"/>
                  <wp:docPr id="1102158282" name="Chart 1" descr="Figure 11 is a pie chart which shows Responses of surveyed Registrars to the statement &quot;Administrative processes for TEAP (eg. ALEX, College response times) are efficient and user friendly&quot; (n=60).&#10;18% strongly agree&#10;35% somewhat agree&#10;17% neither agree nor disagree&#10;20% somewhat disagree&#10;10% strongly disagree">
                    <a:extLst xmlns:a="http://schemas.openxmlformats.org/drawingml/2006/main">
                      <a:ext uri="{FF2B5EF4-FFF2-40B4-BE49-F238E27FC236}">
                        <a16:creationId xmlns:a16="http://schemas.microsoft.com/office/drawing/2014/main" id="{6AAEC30B-5ACE-4436-A98E-BB2485E84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84A2595" w14:textId="2D6B546C" w:rsidR="0040345F" w:rsidRPr="002B22C4" w:rsidRDefault="0040345F" w:rsidP="004653E9">
            <w:pPr>
              <w:pStyle w:val="BodyText"/>
              <w:rPr>
                <w:rFonts w:eastAsia="Times New Roman" w:cs="Times New Roman"/>
                <w:i/>
                <w:sz w:val="18"/>
                <w:szCs w:val="20"/>
                <w:lang w:eastAsia="en-AU"/>
              </w:rPr>
            </w:pPr>
            <w:r w:rsidRPr="002B22C4">
              <w:rPr>
                <w:rFonts w:eastAsia="Times New Roman" w:cs="Times New Roman"/>
                <w:bCs/>
                <w:i/>
                <w:sz w:val="18"/>
                <w:szCs w:val="20"/>
                <w:lang w:eastAsia="en-AU"/>
              </w:rPr>
              <w:t xml:space="preserve">Source: KPMG Analysis of </w:t>
            </w:r>
            <w:r w:rsidR="00E95A05" w:rsidRPr="002B22C4">
              <w:rPr>
                <w:rFonts w:eastAsia="Times New Roman" w:cs="Times New Roman"/>
                <w:bCs/>
                <w:i/>
                <w:sz w:val="18"/>
                <w:szCs w:val="20"/>
                <w:lang w:eastAsia="en-AU"/>
              </w:rPr>
              <w:t>Registrar</w:t>
            </w:r>
            <w:r w:rsidRPr="002B22C4">
              <w:rPr>
                <w:rFonts w:eastAsia="Times New Roman" w:cs="Times New Roman"/>
                <w:bCs/>
                <w:i/>
                <w:sz w:val="18"/>
                <w:szCs w:val="20"/>
                <w:lang w:eastAsia="en-AU"/>
              </w:rPr>
              <w:t xml:space="preserve"> Survey responses</w:t>
            </w:r>
          </w:p>
        </w:tc>
        <w:tc>
          <w:tcPr>
            <w:tcW w:w="4819" w:type="dxa"/>
          </w:tcPr>
          <w:p w14:paraId="61BDD7A0" w14:textId="161D7C1F" w:rsidR="0039422A" w:rsidRPr="002B22C4" w:rsidRDefault="0039422A" w:rsidP="0039422A">
            <w:pPr>
              <w:pStyle w:val="Caption"/>
              <w:rPr>
                <w:color w:val="FFFFFF" w:themeColor="background1"/>
              </w:rPr>
            </w:pPr>
            <w:r w:rsidRPr="002B22C4">
              <w:rPr>
                <w:color w:val="FFFFFF" w:themeColor="background1"/>
              </w:rPr>
              <w:t xml:space="preserve">Figure </w:t>
            </w:r>
            <w:r w:rsidRPr="002B22C4">
              <w:rPr>
                <w:color w:val="FFFFFF" w:themeColor="background1"/>
              </w:rPr>
              <w:fldChar w:fldCharType="begin"/>
            </w:r>
            <w:r w:rsidRPr="002B22C4">
              <w:rPr>
                <w:color w:val="FFFFFF" w:themeColor="background1"/>
              </w:rPr>
              <w:instrText>SEQ Figure \* ARABIC</w:instrText>
            </w:r>
            <w:r w:rsidRPr="002B22C4">
              <w:rPr>
                <w:color w:val="FFFFFF" w:themeColor="background1"/>
              </w:rPr>
              <w:fldChar w:fldCharType="separate"/>
            </w:r>
            <w:r w:rsidR="005F7EBC" w:rsidRPr="002B22C4">
              <w:rPr>
                <w:noProof/>
                <w:color w:val="FFFFFF" w:themeColor="background1"/>
              </w:rPr>
              <w:t>12</w:t>
            </w:r>
            <w:r w:rsidRPr="002B22C4">
              <w:rPr>
                <w:color w:val="FFFFFF" w:themeColor="background1"/>
              </w:rPr>
              <w:fldChar w:fldCharType="end"/>
            </w:r>
            <w:r w:rsidRPr="002B22C4">
              <w:rPr>
                <w:color w:val="FFFFFF" w:themeColor="background1"/>
              </w:rPr>
              <w:t xml:space="preserve">: </w:t>
            </w:r>
            <w:r w:rsidR="00015143" w:rsidRPr="002B22C4">
              <w:rPr>
                <w:color w:val="FFFFFF" w:themeColor="background1"/>
              </w:rPr>
              <w:t>Responses of surveyed Supervisors to the statement</w:t>
            </w:r>
            <w:r w:rsidRPr="002B22C4">
              <w:rPr>
                <w:color w:val="FFFFFF" w:themeColor="background1"/>
              </w:rPr>
              <w:t xml:space="preserve"> ‘Administration and reporting requirements for TEAP are user-friendly and efficient’</w:t>
            </w:r>
            <w:r w:rsidR="003152A3" w:rsidRPr="002B22C4">
              <w:rPr>
                <w:color w:val="FFFFFF" w:themeColor="background1"/>
              </w:rPr>
              <w:t xml:space="preserve"> (n=</w:t>
            </w:r>
            <w:r w:rsidR="00561F05" w:rsidRPr="002B22C4">
              <w:rPr>
                <w:color w:val="FFFFFF" w:themeColor="background1"/>
              </w:rPr>
              <w:t>54)</w:t>
            </w:r>
          </w:p>
          <w:p w14:paraId="01C10F84" w14:textId="77777777" w:rsidR="0040345F" w:rsidRPr="002B22C4" w:rsidRDefault="00E30F78" w:rsidP="004653E9">
            <w:pPr>
              <w:pStyle w:val="BodyText"/>
            </w:pPr>
            <w:r w:rsidRPr="002B22C4">
              <w:rPr>
                <w:noProof/>
              </w:rPr>
              <w:drawing>
                <wp:inline distT="0" distB="0" distL="0" distR="0" wp14:anchorId="06D5E48E" wp14:editId="2E29D4C3">
                  <wp:extent cx="2932430" cy="1957705"/>
                  <wp:effectExtent l="0" t="0" r="0" b="0"/>
                  <wp:docPr id="1636294787" name="Chart 1" descr="Figure 12 is a pie chart which shows Responses of surveyed Supervisors to the statement &quot;Administrative and reporting requirements for TEAM are user-friendly and efficient&quot; (n=54)&#10;9% strongly agree&#10;24% somewhat agree&#10;24% neither agree nor disagree&#10;30% somewhat disagree&#10;13% strongly disagree">
                    <a:extLst xmlns:a="http://schemas.openxmlformats.org/drawingml/2006/main">
                      <a:ext uri="{FF2B5EF4-FFF2-40B4-BE49-F238E27FC236}">
                        <a16:creationId xmlns:a16="http://schemas.microsoft.com/office/drawing/2014/main" id="{7FC0D9AC-7765-2588-58E5-11891A216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908C4F" w14:textId="77E40014" w:rsidR="0040345F" w:rsidRPr="002B22C4" w:rsidRDefault="00D92B98" w:rsidP="0039422A">
            <w:pPr>
              <w:pStyle w:val="BodyText"/>
              <w:keepNext/>
              <w:rPr>
                <w:rFonts w:eastAsia="Times New Roman" w:cs="Times New Roman"/>
                <w:i/>
                <w:sz w:val="18"/>
                <w:szCs w:val="20"/>
                <w:lang w:eastAsia="en-AU"/>
              </w:rPr>
            </w:pPr>
            <w:r w:rsidRPr="002B22C4">
              <w:rPr>
                <w:rFonts w:eastAsia="Times New Roman" w:cs="Times New Roman"/>
                <w:bCs/>
                <w:i/>
                <w:sz w:val="18"/>
                <w:szCs w:val="20"/>
                <w:lang w:eastAsia="en-AU"/>
              </w:rPr>
              <w:t>Source: KPMG Analysis of Supervisor Survey responses</w:t>
            </w:r>
          </w:p>
        </w:tc>
      </w:tr>
    </w:tbl>
    <w:p w14:paraId="5B319FF5" w14:textId="0E81B4D2" w:rsidR="00181275" w:rsidRDefault="009A69C2" w:rsidP="00C10ECB">
      <w:pPr>
        <w:pStyle w:val="BodyText"/>
      </w:pPr>
      <w:r>
        <w:t>These stakehol</w:t>
      </w:r>
      <w:r w:rsidR="00FB78F1">
        <w:t>d</w:t>
      </w:r>
      <w:r>
        <w:t xml:space="preserve">ers </w:t>
      </w:r>
      <w:r w:rsidR="005C315F" w:rsidRPr="00541D73">
        <w:t xml:space="preserve">expressed </w:t>
      </w:r>
      <w:r w:rsidR="002B7D3A">
        <w:t xml:space="preserve">their </w:t>
      </w:r>
      <w:r w:rsidR="005C315F" w:rsidRPr="00541D73">
        <w:t xml:space="preserve">frustration with slow response times from </w:t>
      </w:r>
      <w:r w:rsidR="005C315F">
        <w:t>ACPSEM</w:t>
      </w:r>
      <w:r w:rsidR="00840D63">
        <w:t xml:space="preserve"> and slow </w:t>
      </w:r>
      <w:r w:rsidR="00267704">
        <w:t>processes</w:t>
      </w:r>
      <w:r w:rsidR="005F0031">
        <w:t xml:space="preserve"> that exceeded stated wait times</w:t>
      </w:r>
      <w:r w:rsidR="00267704">
        <w:t>, such as time to p</w:t>
      </w:r>
      <w:r w:rsidR="000D0689">
        <w:t>rogress TEAP accreditation applications</w:t>
      </w:r>
      <w:r w:rsidR="005C315F" w:rsidRPr="00541D73">
        <w:t xml:space="preserve">. </w:t>
      </w:r>
      <w:r w:rsidR="005F0031">
        <w:t>In consultation,</w:t>
      </w:r>
      <w:r w:rsidR="005C315F" w:rsidRPr="00541D73">
        <w:t xml:space="preserve"> several instances </w:t>
      </w:r>
      <w:r w:rsidR="005F0031">
        <w:t xml:space="preserve">were highlighted </w:t>
      </w:r>
      <w:r w:rsidR="005C315F" w:rsidRPr="00541D73">
        <w:t xml:space="preserve">where </w:t>
      </w:r>
      <w:r w:rsidR="00476A66">
        <w:t xml:space="preserve">Supervisors and Registrars </w:t>
      </w:r>
      <w:r w:rsidR="005C315F" w:rsidRPr="00541D73">
        <w:t xml:space="preserve">did not receive responses from </w:t>
      </w:r>
      <w:r w:rsidR="005C315F">
        <w:t>ACPSEM</w:t>
      </w:r>
      <w:r w:rsidR="005C315F" w:rsidRPr="00541D73">
        <w:t xml:space="preserve"> despite </w:t>
      </w:r>
      <w:r w:rsidR="005C315F">
        <w:t>following up</w:t>
      </w:r>
      <w:r w:rsidR="005C315F" w:rsidRPr="00541D73">
        <w:t xml:space="preserve"> </w:t>
      </w:r>
      <w:r w:rsidR="005C315F">
        <w:t>with them</w:t>
      </w:r>
      <w:r w:rsidR="005C315F" w:rsidRPr="00541D73">
        <w:t xml:space="preserve"> on multiple occasions. In one consultation, it was revealed that a stakeholder had been waiting on an outcome of a submission for certification via the RPS experience TEAP pathway for five years despite regular</w:t>
      </w:r>
      <w:r w:rsidR="005C315F">
        <w:t>ly</w:t>
      </w:r>
      <w:r w:rsidR="005C315F" w:rsidRPr="00541D73">
        <w:t xml:space="preserve"> follow</w:t>
      </w:r>
      <w:r w:rsidR="005C315F">
        <w:t>ing</w:t>
      </w:r>
      <w:r w:rsidR="005C315F" w:rsidRPr="00541D73">
        <w:t xml:space="preserve"> up with </w:t>
      </w:r>
      <w:r w:rsidR="005C315F">
        <w:t>ACPSEM</w:t>
      </w:r>
      <w:r w:rsidR="005C315F" w:rsidRPr="00541D73">
        <w:t>.</w:t>
      </w:r>
      <w:r w:rsidR="00984D81">
        <w:t xml:space="preserve"> </w:t>
      </w:r>
      <w:r w:rsidR="00181275">
        <w:t xml:space="preserve">Some </w:t>
      </w:r>
      <w:r w:rsidR="00984D81">
        <w:t xml:space="preserve">surveyed </w:t>
      </w:r>
      <w:r w:rsidR="00181275">
        <w:t xml:space="preserve">stakeholders </w:t>
      </w:r>
      <w:r w:rsidR="00984D81">
        <w:t xml:space="preserve">also </w:t>
      </w:r>
      <w:r w:rsidR="00181275">
        <w:t xml:space="preserve">commented that communication with </w:t>
      </w:r>
      <w:r w:rsidR="001051AA">
        <w:t>ACPSEM</w:t>
      </w:r>
      <w:r w:rsidR="00181275">
        <w:t xml:space="preserve"> could be improved, including providing Supervisors and Registrars with a clearer understanding of the appropriate contacts to resolve various issues. </w:t>
      </w:r>
    </w:p>
    <w:p w14:paraId="3222F90C" w14:textId="639D5641" w:rsidR="00F97555" w:rsidRDefault="00B8360E" w:rsidP="00CE7ECE">
      <w:pPr>
        <w:pStyle w:val="BodyText"/>
      </w:pPr>
      <w:r>
        <w:t xml:space="preserve">As detailed in Section </w:t>
      </w:r>
      <w:r>
        <w:fldChar w:fldCharType="begin" w:fldLock="1"/>
      </w:r>
      <w:r>
        <w:instrText xml:space="preserve"> REF _Ref181946606 \r \h </w:instrText>
      </w:r>
      <w:r>
        <w:fldChar w:fldCharType="separate"/>
      </w:r>
      <w:r>
        <w:rPr>
          <w:cs/>
        </w:rPr>
        <w:t>‎</w:t>
      </w:r>
      <w:r>
        <w:t>3.1</w:t>
      </w:r>
      <w:r>
        <w:fldChar w:fldCharType="end"/>
      </w:r>
      <w:r>
        <w:t>, t</w:t>
      </w:r>
      <w:r w:rsidR="0068733E">
        <w:t xml:space="preserve">he </w:t>
      </w:r>
      <w:r w:rsidR="00FA143B">
        <w:t xml:space="preserve">Department </w:t>
      </w:r>
      <w:r w:rsidR="0068733E">
        <w:t xml:space="preserve">affords flexibility to </w:t>
      </w:r>
      <w:r w:rsidR="001051AA">
        <w:t>ACPSEM</w:t>
      </w:r>
      <w:r w:rsidR="0068733E">
        <w:t xml:space="preserve"> to</w:t>
      </w:r>
      <w:r w:rsidR="008F193C">
        <w:t xml:space="preserve"> </w:t>
      </w:r>
      <w:r w:rsidR="00001937">
        <w:t xml:space="preserve">manage </w:t>
      </w:r>
      <w:r w:rsidR="0068733E">
        <w:t xml:space="preserve">the </w:t>
      </w:r>
      <w:r w:rsidR="00FA143B">
        <w:t xml:space="preserve">MPS </w:t>
      </w:r>
      <w:r w:rsidR="008F193C">
        <w:t>Program</w:t>
      </w:r>
      <w:r w:rsidR="00001937">
        <w:t xml:space="preserve"> as they seem fit</w:t>
      </w:r>
      <w:r w:rsidR="00790E7A">
        <w:t xml:space="preserve">. </w:t>
      </w:r>
      <w:r w:rsidR="006507C7">
        <w:t xml:space="preserve">An example of this is </w:t>
      </w:r>
      <w:r w:rsidR="00FA600B">
        <w:t xml:space="preserve">the TEAP’s </w:t>
      </w:r>
      <w:r w:rsidR="00E5478A">
        <w:t>LMS</w:t>
      </w:r>
      <w:r w:rsidR="00FA600B">
        <w:t>, ALEX</w:t>
      </w:r>
      <w:r w:rsidR="00AA08CE">
        <w:t>.</w:t>
      </w:r>
      <w:r w:rsidR="00BC716A">
        <w:t xml:space="preserve"> Whil</w:t>
      </w:r>
      <w:r w:rsidR="004C5138">
        <w:t xml:space="preserve">e </w:t>
      </w:r>
      <w:r w:rsidR="00CE7ECE">
        <w:t xml:space="preserve">the </w:t>
      </w:r>
      <w:r w:rsidR="004C5138">
        <w:t xml:space="preserve">decision </w:t>
      </w:r>
      <w:r w:rsidR="00CE7ECE">
        <w:t xml:space="preserve">to administer TEAP using ALEX </w:t>
      </w:r>
      <w:r w:rsidR="004C5138">
        <w:t xml:space="preserve">is </w:t>
      </w:r>
      <w:r w:rsidR="002C1B29">
        <w:t xml:space="preserve">made </w:t>
      </w:r>
      <w:r w:rsidR="00CE7ECE">
        <w:t xml:space="preserve">by </w:t>
      </w:r>
      <w:r w:rsidR="004C5138">
        <w:t xml:space="preserve">ACPSEM, </w:t>
      </w:r>
      <w:r w:rsidR="00E63B96">
        <w:t xml:space="preserve">some activities </w:t>
      </w:r>
      <w:r w:rsidR="005D5945">
        <w:t xml:space="preserve">listed </w:t>
      </w:r>
      <w:r w:rsidR="00E63B96">
        <w:t>in ACPSEM’s AWP</w:t>
      </w:r>
      <w:r w:rsidR="00804AA1">
        <w:t xml:space="preserve"> </w:t>
      </w:r>
      <w:r w:rsidR="00861917">
        <w:t xml:space="preserve">relate to the development of ALEX, with </w:t>
      </w:r>
      <w:r w:rsidR="00A91108">
        <w:t>implications for the TEAP experience of Supervisors and Registrars</w:t>
      </w:r>
      <w:r w:rsidR="004B191A">
        <w:t>, as discussed below</w:t>
      </w:r>
      <w:r w:rsidR="00A91108">
        <w:t>.</w:t>
      </w:r>
    </w:p>
    <w:p w14:paraId="498C2CC4" w14:textId="4F2AE675" w:rsidR="00B12EB1" w:rsidRDefault="00933379" w:rsidP="00B12EB1">
      <w:pPr>
        <w:pStyle w:val="BodyText"/>
      </w:pPr>
      <w:r w:rsidRPr="00514C61">
        <w:t xml:space="preserve">Some stakeholders found </w:t>
      </w:r>
      <w:r w:rsidR="00DA51D1">
        <w:t>ALEX</w:t>
      </w:r>
      <w:r w:rsidRPr="00514C61">
        <w:t xml:space="preserve"> easy to use, suffice for their purposes</w:t>
      </w:r>
      <w:r>
        <w:t>,</w:t>
      </w:r>
      <w:r w:rsidRPr="00514C61">
        <w:t xml:space="preserve"> and an improvement upon the previous system, </w:t>
      </w:r>
      <w:r>
        <w:t>COMET</w:t>
      </w:r>
      <w:r w:rsidRPr="00514C61">
        <w:t xml:space="preserve">. However, stakeholders regularly cited </w:t>
      </w:r>
      <w:r>
        <w:t>ALEX</w:t>
      </w:r>
      <w:r w:rsidRPr="00514C61">
        <w:t xml:space="preserve"> to be clunky, confusing, and overly complex. </w:t>
      </w:r>
      <w:r w:rsidR="008B1B00">
        <w:t>S</w:t>
      </w:r>
      <w:r w:rsidR="00703B70">
        <w:t>ome s</w:t>
      </w:r>
      <w:r w:rsidR="008B1B00">
        <w:t xml:space="preserve">urvey respondents also indicated that there </w:t>
      </w:r>
      <w:proofErr w:type="gramStart"/>
      <w:r w:rsidR="008B1B00">
        <w:t>is</w:t>
      </w:r>
      <w:proofErr w:type="gramEnd"/>
      <w:r w:rsidR="008B1B00">
        <w:t xml:space="preserve"> substantial </w:t>
      </w:r>
      <w:r w:rsidR="007B4B5E">
        <w:t>time and effort</w:t>
      </w:r>
      <w:r w:rsidR="008B1B00">
        <w:t xml:space="preserve"> involved with signing off Registrar activities and grading assessments through ALEX, and the platform was frequently described as </w:t>
      </w:r>
      <w:r w:rsidR="00C52E90">
        <w:t xml:space="preserve">confusing and </w:t>
      </w:r>
      <w:r w:rsidR="008B1B00">
        <w:t xml:space="preserve">difficult to navigate. </w:t>
      </w:r>
      <w:r w:rsidR="00B62C7B">
        <w:t xml:space="preserve">Supervisors have commented that access constraints to ALEX across </w:t>
      </w:r>
      <w:r w:rsidR="00D40180">
        <w:t xml:space="preserve">their department is placing unfair pressures on the few staff </w:t>
      </w:r>
      <w:r w:rsidR="00D13300">
        <w:t>who have</w:t>
      </w:r>
      <w:r w:rsidR="001366AE">
        <w:t xml:space="preserve"> access </w:t>
      </w:r>
      <w:r w:rsidR="00D13300">
        <w:t>to</w:t>
      </w:r>
      <w:r w:rsidR="00640698">
        <w:t xml:space="preserve"> make entries into the system. </w:t>
      </w:r>
      <w:r w:rsidRPr="00514C61">
        <w:t xml:space="preserve">One stakeholder cited significant issues with the user friendliness of </w:t>
      </w:r>
      <w:r>
        <w:t>ALEX</w:t>
      </w:r>
      <w:r w:rsidRPr="00514C61">
        <w:t>, including issues with viewing the clinical guide and sharing access across the team. This stakeholder described how her team work</w:t>
      </w:r>
      <w:r>
        <w:t>s</w:t>
      </w:r>
      <w:r w:rsidRPr="00514C61">
        <w:t xml:space="preserve"> around the system by creating their own internal systems, resulting in inefficiencies and double handling.</w:t>
      </w:r>
      <w:r w:rsidR="0035586D">
        <w:t xml:space="preserve"> </w:t>
      </w:r>
    </w:p>
    <w:p w14:paraId="6E5C1537" w14:textId="73172CDA" w:rsidR="00B12EB1" w:rsidRPr="00B12EB1" w:rsidRDefault="00B12EB1" w:rsidP="000641A6">
      <w:pPr>
        <w:pStyle w:val="BodyText"/>
        <w:shd w:val="clear" w:color="auto" w:fill="CAF1FF" w:themeFill="accent4" w:themeFillTint="33"/>
      </w:pPr>
      <w:r w:rsidRPr="00B12EB1">
        <w:rPr>
          <w:noProof/>
          <w:shd w:val="clear" w:color="auto" w:fill="CAF1FF" w:themeFill="accent4" w:themeFillTint="33"/>
        </w:rPr>
        <w:drawing>
          <wp:anchor distT="0" distB="0" distL="114300" distR="114300" simplePos="0" relativeHeight="251677696" behindDoc="0" locked="0" layoutInCell="1" allowOverlap="1" wp14:anchorId="6624158D" wp14:editId="115BACB3">
            <wp:simplePos x="0" y="0"/>
            <wp:positionH relativeFrom="column">
              <wp:posOffset>3810</wp:posOffset>
            </wp:positionH>
            <wp:positionV relativeFrom="paragraph">
              <wp:posOffset>-4445</wp:posOffset>
            </wp:positionV>
            <wp:extent cx="438785" cy="446405"/>
            <wp:effectExtent l="0" t="0" r="0" b="0"/>
            <wp:wrapSquare wrapText="bothSides"/>
            <wp:docPr id="751660796" name="Graphic 7516607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5"/>
                        </a:ext>
                      </a:extLst>
                    </a:blip>
                    <a:stretch>
                      <a:fillRect/>
                    </a:stretch>
                  </pic:blipFill>
                  <pic:spPr>
                    <a:xfrm>
                      <a:off x="0" y="0"/>
                      <a:ext cx="438785" cy="446405"/>
                    </a:xfrm>
                    <a:prstGeom prst="rect">
                      <a:avLst/>
                    </a:prstGeom>
                  </pic:spPr>
                </pic:pic>
              </a:graphicData>
            </a:graphic>
          </wp:anchor>
        </w:drawing>
      </w:r>
      <w:r w:rsidRPr="00B12EB1">
        <w:rPr>
          <w:color w:val="00338D" w:themeColor="accent1"/>
          <w:szCs w:val="20"/>
          <w:shd w:val="clear" w:color="auto" w:fill="CAF1FF" w:themeFill="accent4" w:themeFillTint="33"/>
        </w:rPr>
        <w:t>“The current ALEX system provides a labyrinth… The action of signing off learning elements is extremely cumbersome</w:t>
      </w:r>
      <w:r w:rsidRPr="00385BA2">
        <w:rPr>
          <w:color w:val="00338D" w:themeColor="accent1"/>
          <w:szCs w:val="20"/>
        </w:rPr>
        <w:t xml:space="preserve"> and time consuming”</w:t>
      </w:r>
    </w:p>
    <w:p w14:paraId="5FF8C82B" w14:textId="5DA6C3AF" w:rsidR="00B12EB1" w:rsidRPr="00334191" w:rsidRDefault="00B12EB1" w:rsidP="000641A6">
      <w:pPr>
        <w:pStyle w:val="Quotestyle"/>
        <w:ind w:left="0"/>
        <w:rPr>
          <w:rStyle w:val="Strong"/>
          <w:b w:val="0"/>
          <w:bCs w:val="0"/>
        </w:rPr>
      </w:pPr>
      <w:r w:rsidRPr="00334191">
        <w:rPr>
          <w:b/>
          <w:bCs/>
        </w:rPr>
        <w:t>Surveyed Supervisor</w:t>
      </w:r>
    </w:p>
    <w:p w14:paraId="07AAC989" w14:textId="77777777" w:rsidR="006F3532" w:rsidRPr="006F7DD0" w:rsidRDefault="006F3532" w:rsidP="00311D12">
      <w:pPr>
        <w:pStyle w:val="BodyText"/>
        <w:rPr>
          <w:i/>
          <w:iCs/>
        </w:rPr>
      </w:pPr>
    </w:p>
    <w:p w14:paraId="57624D38" w14:textId="05B4053B" w:rsidR="00441198" w:rsidRPr="007C6A9D" w:rsidRDefault="008172CC" w:rsidP="002F0DFB">
      <w:pPr>
        <w:pStyle w:val="BodyText"/>
      </w:pPr>
      <w:r>
        <w:t xml:space="preserve">There is an opportunity to improve the efficiency of the </w:t>
      </w:r>
      <w:r w:rsidR="00E5478A">
        <w:t>LMS</w:t>
      </w:r>
      <w:r>
        <w:t xml:space="preserve">, by improving </w:t>
      </w:r>
      <w:r w:rsidR="001C5658">
        <w:t xml:space="preserve">system </w:t>
      </w:r>
      <w:r>
        <w:t>flexibilit</w:t>
      </w:r>
      <w:r w:rsidR="00825EE1">
        <w:t>y</w:t>
      </w:r>
      <w:r w:rsidR="00F3395A">
        <w:t>,</w:t>
      </w:r>
      <w:r w:rsidR="00825EE1">
        <w:t xml:space="preserve"> creating a more streamlined</w:t>
      </w:r>
      <w:r w:rsidR="00432918">
        <w:t xml:space="preserve"> and simplified</w:t>
      </w:r>
      <w:r w:rsidR="00825EE1">
        <w:t xml:space="preserve"> process</w:t>
      </w:r>
      <w:r w:rsidR="00432918">
        <w:t xml:space="preserve"> for viewing progress</w:t>
      </w:r>
      <w:r w:rsidR="00EA2CAF">
        <w:t>,</w:t>
      </w:r>
      <w:r w:rsidR="00F3395A">
        <w:t xml:space="preserve"> and reducing demands on Supervisors to produce paperwork and supporting evidence</w:t>
      </w:r>
      <w:r w:rsidR="00C239DD">
        <w:t xml:space="preserve"> for sign offs</w:t>
      </w:r>
      <w:r w:rsidR="00F3395A">
        <w:t>.</w:t>
      </w:r>
      <w:r w:rsidR="006748AD">
        <w:t xml:space="preserve"> Surveyed </w:t>
      </w:r>
      <w:r w:rsidR="00DE50C5">
        <w:t>S</w:t>
      </w:r>
      <w:r w:rsidR="006748AD">
        <w:t xml:space="preserve">upervisors expressed a desire for the </w:t>
      </w:r>
      <w:r w:rsidR="00E5478A">
        <w:t>LMS</w:t>
      </w:r>
      <w:r w:rsidR="006748AD">
        <w:t xml:space="preserve"> to be more intuitive and user friendly, particularly improving the ease of viewing </w:t>
      </w:r>
      <w:r w:rsidR="00E27116">
        <w:t>Registrar progress against learning outcomes.</w:t>
      </w:r>
      <w:r w:rsidR="00697573">
        <w:t xml:space="preserve"> In their 202</w:t>
      </w:r>
      <w:r w:rsidR="00633279">
        <w:t>3</w:t>
      </w:r>
      <w:r w:rsidR="00697573">
        <w:t xml:space="preserve"> performance report, ACPSEM outlined that </w:t>
      </w:r>
      <w:r w:rsidR="00025F58">
        <w:t>they</w:t>
      </w:r>
      <w:r w:rsidR="00291885">
        <w:t xml:space="preserve"> partially achieved </w:t>
      </w:r>
      <w:r w:rsidR="00DB02D4">
        <w:t xml:space="preserve">the establishment of new period reporting capability </w:t>
      </w:r>
      <w:r w:rsidR="00A73719">
        <w:t xml:space="preserve">in the LMS, however </w:t>
      </w:r>
      <w:r w:rsidR="0035161C">
        <w:t>were challenged with LMS functionality limitations.</w:t>
      </w:r>
      <w:r w:rsidR="0085429C">
        <w:t xml:space="preserve"> </w:t>
      </w:r>
      <w:r w:rsidR="00DA0ECB">
        <w:t>ACPSEM</w:t>
      </w:r>
      <w:r w:rsidR="00AA20D7">
        <w:t xml:space="preserve"> also reported that they are in the process of </w:t>
      </w:r>
      <w:r w:rsidR="004E1975">
        <w:t>developing a 3-year LMS development plan</w:t>
      </w:r>
      <w:r w:rsidR="00476127">
        <w:t>.</w:t>
      </w:r>
      <w:r w:rsidR="00441198">
        <w:br w:type="page"/>
      </w:r>
    </w:p>
    <w:p w14:paraId="6F664386" w14:textId="1A1980E8" w:rsidR="00910494" w:rsidRDefault="00910494" w:rsidP="00273E1A">
      <w:pPr>
        <w:pStyle w:val="Heading2"/>
      </w:pPr>
      <w:bookmarkStart w:id="144" w:name="_Ref181947784"/>
      <w:bookmarkStart w:id="145" w:name="_Toc184396570"/>
      <w:bookmarkStart w:id="146" w:name="_Toc216711591"/>
      <w:bookmarkStart w:id="147" w:name="_Toc216791998"/>
      <w:r>
        <w:t>KEQ4: Ho</w:t>
      </w:r>
      <w:r w:rsidRPr="00910494">
        <w:t>w sustainable is the MPS Program over the long term, and what evidence supports its continued viability to justify ongoing funding support</w:t>
      </w:r>
      <w:r>
        <w:t>?</w:t>
      </w:r>
      <w:bookmarkEnd w:id="144"/>
      <w:bookmarkEnd w:id="145"/>
      <w:bookmarkEnd w:id="146"/>
      <w:bookmarkEnd w:id="147"/>
    </w:p>
    <w:p w14:paraId="00B0E6E7" w14:textId="75809744" w:rsidR="00223980" w:rsidRPr="00242835" w:rsidRDefault="00F02CBA" w:rsidP="00242835">
      <w:r w:rsidRPr="00242835">
        <w:t xml:space="preserve">The sustainability domain focuses on the extent to which the net benefits of the MPS Program are expected to continue or are likely to continue. The domain aims to identify existing gaps and any required changes to enable the MPS Program to better meet its objectives. </w:t>
      </w:r>
      <w:r w:rsidR="00223980" w:rsidRPr="00242835">
        <w:t>This Section investigates the following sub-questions:</w:t>
      </w:r>
    </w:p>
    <w:p w14:paraId="1D96CEFD" w14:textId="707A98A3" w:rsidR="00223980" w:rsidRPr="00223980" w:rsidRDefault="00223980" w:rsidP="00223980">
      <w:pPr>
        <w:spacing w:before="0" w:after="160" w:line="259" w:lineRule="auto"/>
      </w:pPr>
      <w:r>
        <w:t>4</w:t>
      </w:r>
      <w:r w:rsidRPr="00223980">
        <w:t xml:space="preserve">.1 </w:t>
      </w:r>
      <w:r w:rsidR="001E2377" w:rsidRPr="001E2377">
        <w:t xml:space="preserve">What, if any, changes are required to the design, implementation and/or funding arrangements of the MPS Program to enable it to better meet its policy objectives sustainably over the longer-term? </w:t>
      </w:r>
      <w:r w:rsidRPr="00223980">
        <w:t xml:space="preserve"> </w:t>
      </w:r>
    </w:p>
    <w:p w14:paraId="3D8F73B0" w14:textId="15D8ADF7" w:rsidR="00223980" w:rsidRPr="00223980" w:rsidRDefault="002F5E34" w:rsidP="00223980">
      <w:pPr>
        <w:spacing w:before="0" w:after="160" w:line="259" w:lineRule="auto"/>
      </w:pPr>
      <w:r>
        <w:t>4</w:t>
      </w:r>
      <w:r w:rsidR="00223980" w:rsidRPr="00223980">
        <w:t xml:space="preserve">.2 </w:t>
      </w:r>
      <w:r w:rsidRPr="002F5E34">
        <w:t>What are the existing gaps in data and evidence that could be collected in the future to better inform the use and effectiveness of the MPS Program?</w:t>
      </w:r>
    </w:p>
    <w:p w14:paraId="206FEBAC" w14:textId="0A67BCC8" w:rsidR="00963C28" w:rsidRDefault="002F5E34" w:rsidP="00963C28">
      <w:pPr>
        <w:spacing w:before="0" w:after="160" w:line="259" w:lineRule="auto"/>
      </w:pPr>
      <w:r>
        <w:t>4</w:t>
      </w:r>
      <w:r w:rsidR="00223980" w:rsidRPr="00223980">
        <w:t xml:space="preserve">.3 </w:t>
      </w:r>
      <w:r w:rsidR="0026399B" w:rsidRPr="0026399B">
        <w:t>Should the MPS Program continue to be administered by the Commonwealth, and if not, how should it be administered and through what mechanism?</w:t>
      </w:r>
      <w:r w:rsidR="00C40B47">
        <w:t xml:space="preserve"> </w:t>
      </w:r>
    </w:p>
    <w:tbl>
      <w:tblPr>
        <w:tblStyle w:val="TableGrid"/>
        <w:tblW w:w="9870" w:type="dxa"/>
        <w:tblLook w:val="04A0" w:firstRow="1" w:lastRow="0" w:firstColumn="1" w:lastColumn="0" w:noHBand="0" w:noVBand="1"/>
      </w:tblPr>
      <w:tblGrid>
        <w:gridCol w:w="1408"/>
        <w:gridCol w:w="8462"/>
      </w:tblGrid>
      <w:tr w:rsidR="00963C28" w14:paraId="61494963" w14:textId="77777777">
        <w:trPr>
          <w:cnfStyle w:val="100000000000" w:firstRow="1" w:lastRow="0" w:firstColumn="0" w:lastColumn="0" w:oddVBand="0" w:evenVBand="0" w:oddHBand="0" w:evenHBand="0" w:firstRowFirstColumn="0" w:firstRowLastColumn="0" w:lastRowFirstColumn="0" w:lastRowLastColumn="0"/>
          <w:trHeight w:val="148"/>
        </w:trPr>
        <w:tc>
          <w:tcPr>
            <w:tcW w:w="1408" w:type="dxa"/>
            <w:tcMar>
              <w:top w:w="113" w:type="dxa"/>
              <w:left w:w="227" w:type="dxa"/>
              <w:bottom w:w="113" w:type="dxa"/>
              <w:right w:w="113" w:type="dxa"/>
            </w:tcMar>
          </w:tcPr>
          <w:p w14:paraId="4F77FDD5" w14:textId="77777777" w:rsidR="00963C28" w:rsidRPr="00DC6578" w:rsidRDefault="00963C28">
            <w:pPr>
              <w:rPr>
                <w:rFonts w:cs="Arial"/>
                <w:b/>
                <w:bCs/>
              </w:rPr>
            </w:pPr>
            <w:r>
              <w:rPr>
                <w:rFonts w:cs="Arial"/>
                <w:b/>
                <w:bCs/>
                <w:noProof/>
              </w:rPr>
              <w:drawing>
                <wp:inline distT="0" distB="0" distL="0" distR="0" wp14:anchorId="02695041" wp14:editId="482FBB23">
                  <wp:extent cx="283780" cy="283780"/>
                  <wp:effectExtent l="0" t="0" r="0" b="0"/>
                  <wp:docPr id="1159687744"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87744" name="Graphic 37">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flipH="1">
                            <a:off x="0" y="0"/>
                            <a:ext cx="292646" cy="292646"/>
                          </a:xfrm>
                          <a:prstGeom prst="rect">
                            <a:avLst/>
                          </a:prstGeom>
                        </pic:spPr>
                      </pic:pic>
                    </a:graphicData>
                  </a:graphic>
                </wp:inline>
              </w:drawing>
            </w:r>
          </w:p>
        </w:tc>
        <w:tc>
          <w:tcPr>
            <w:tcW w:w="8462" w:type="dxa"/>
            <w:vAlign w:val="center"/>
          </w:tcPr>
          <w:p w14:paraId="4951C6ED" w14:textId="77777777" w:rsidR="00963C28" w:rsidRPr="00DC6578" w:rsidRDefault="00963C28">
            <w:pPr>
              <w:rPr>
                <w:rFonts w:cs="Arial"/>
                <w:b/>
                <w:bCs/>
              </w:rPr>
            </w:pPr>
            <w:r w:rsidRPr="00DC6578">
              <w:rPr>
                <w:rFonts w:cs="Arial"/>
                <w:b/>
                <w:bCs/>
              </w:rPr>
              <w:t>Key</w:t>
            </w:r>
            <w:r>
              <w:rPr>
                <w:rFonts w:cs="Arial"/>
                <w:b/>
                <w:bCs/>
              </w:rPr>
              <w:t xml:space="preserve"> </w:t>
            </w:r>
            <w:r w:rsidRPr="00DC6578">
              <w:rPr>
                <w:rFonts w:cs="Arial"/>
                <w:b/>
                <w:bCs/>
              </w:rPr>
              <w:t>findings</w:t>
            </w:r>
          </w:p>
        </w:tc>
      </w:tr>
      <w:tr w:rsidR="00963C28" w14:paraId="08274C08" w14:textId="77777777">
        <w:trPr>
          <w:cnfStyle w:val="000000100000" w:firstRow="0" w:lastRow="0" w:firstColumn="0" w:lastColumn="0" w:oddVBand="0" w:evenVBand="0" w:oddHBand="1" w:evenHBand="0" w:firstRowFirstColumn="0" w:firstRowLastColumn="0" w:lastRowFirstColumn="0" w:lastRowLastColumn="0"/>
          <w:trHeight w:val="148"/>
        </w:trPr>
        <w:tc>
          <w:tcPr>
            <w:tcW w:w="9870" w:type="dxa"/>
            <w:gridSpan w:val="2"/>
            <w:tcBorders>
              <w:bottom w:val="single" w:sz="2" w:space="0" w:color="1E49E2"/>
            </w:tcBorders>
            <w:shd w:val="clear" w:color="auto" w:fill="F1F4FE"/>
            <w:tcMar>
              <w:top w:w="113" w:type="dxa"/>
              <w:left w:w="227" w:type="dxa"/>
              <w:bottom w:w="113" w:type="dxa"/>
              <w:right w:w="113" w:type="dxa"/>
            </w:tcMar>
          </w:tcPr>
          <w:p w14:paraId="53914C41" w14:textId="04596957" w:rsidR="00963C28" w:rsidRPr="00DC6578" w:rsidRDefault="00963C28">
            <w:pPr>
              <w:rPr>
                <w:rFonts w:cs="Arial"/>
                <w:b/>
                <w:bCs/>
              </w:rPr>
            </w:pPr>
            <w:r w:rsidRPr="00963C28">
              <w:rPr>
                <w:rFonts w:cs="Arial"/>
                <w:b/>
                <w:bCs/>
                <w:color w:val="1E49E2" w:themeColor="accent2"/>
              </w:rPr>
              <w:t>The MPS Program is essential for the continued viability of the medical physicist workforce to ensure workforce demand is met, however more accurate workforce modelling data is required</w:t>
            </w:r>
            <w:r w:rsidRPr="00850B5E">
              <w:rPr>
                <w:rFonts w:cs="Arial"/>
                <w:b/>
                <w:bCs/>
                <w:color w:val="1E49E2" w:themeColor="accent2"/>
              </w:rPr>
              <w:t>.</w:t>
            </w:r>
          </w:p>
        </w:tc>
      </w:tr>
      <w:tr w:rsidR="00963C28" w14:paraId="1F5C4317" w14:textId="77777777">
        <w:trPr>
          <w:trHeight w:val="148"/>
        </w:trPr>
        <w:tc>
          <w:tcPr>
            <w:tcW w:w="9870" w:type="dxa"/>
            <w:gridSpan w:val="2"/>
            <w:tcBorders>
              <w:top w:val="single" w:sz="2" w:space="0" w:color="1E49E2"/>
              <w:bottom w:val="single" w:sz="2" w:space="0" w:color="1E49E2"/>
            </w:tcBorders>
            <w:shd w:val="clear" w:color="auto" w:fill="F2F2F2" w:themeFill="background1" w:themeFillShade="F2"/>
            <w:tcMar>
              <w:top w:w="113" w:type="dxa"/>
              <w:left w:w="227" w:type="dxa"/>
              <w:bottom w:w="113" w:type="dxa"/>
              <w:right w:w="113" w:type="dxa"/>
            </w:tcMar>
          </w:tcPr>
          <w:p w14:paraId="669C9064" w14:textId="3F33CA82" w:rsidR="00963C28" w:rsidRPr="00FC52D1" w:rsidRDefault="00963C28">
            <w:pPr>
              <w:rPr>
                <w:rFonts w:cs="Arial"/>
                <w:i/>
              </w:rPr>
            </w:pPr>
            <w:r w:rsidRPr="008E2AB5">
              <w:rPr>
                <w:rFonts w:cs="Arial"/>
                <w:b/>
                <w:bCs/>
                <w:color w:val="1E49E2" w:themeColor="accent2"/>
              </w:rPr>
              <w:t>Strength of evidence:</w:t>
            </w:r>
            <w:r>
              <w:rPr>
                <w:rFonts w:cs="Arial"/>
                <w:b/>
                <w:bCs/>
              </w:rPr>
              <w:t xml:space="preserve"> </w:t>
            </w:r>
            <w:r w:rsidRPr="00DC27F5">
              <w:rPr>
                <w:rFonts w:cs="Arial"/>
              </w:rPr>
              <w:t>There is</w:t>
            </w:r>
            <w:r>
              <w:rPr>
                <w:rFonts w:cs="Arial"/>
                <w:b/>
                <w:bCs/>
              </w:rPr>
              <w:t xml:space="preserve"> </w:t>
            </w:r>
            <w:r w:rsidRPr="00963C28">
              <w:rPr>
                <w:rFonts w:cs="Arial"/>
                <w:b/>
                <w:bCs/>
              </w:rPr>
              <w:t>some evidence</w:t>
            </w:r>
            <w:r>
              <w:rPr>
                <w:rFonts w:cs="Arial"/>
              </w:rPr>
              <w:t xml:space="preserve"> to support these findings, however data limitations exist.</w:t>
            </w:r>
          </w:p>
        </w:tc>
      </w:tr>
      <w:tr w:rsidR="00963C28" w14:paraId="2F4F813D" w14:textId="77777777">
        <w:trPr>
          <w:cnfStyle w:val="000000100000" w:firstRow="0" w:lastRow="0" w:firstColumn="0" w:lastColumn="0" w:oddVBand="0" w:evenVBand="0" w:oddHBand="1" w:evenHBand="0" w:firstRowFirstColumn="0" w:firstRowLastColumn="0" w:lastRowFirstColumn="0" w:lastRowLastColumn="0"/>
          <w:trHeight w:val="1497"/>
        </w:trPr>
        <w:tc>
          <w:tcPr>
            <w:tcW w:w="9870" w:type="dxa"/>
            <w:gridSpan w:val="2"/>
            <w:tcBorders>
              <w:top w:val="single" w:sz="2" w:space="0" w:color="1E49E2"/>
              <w:bottom w:val="single" w:sz="2" w:space="0" w:color="1E49E2"/>
            </w:tcBorders>
            <w:tcMar>
              <w:top w:w="113" w:type="dxa"/>
              <w:left w:w="227" w:type="dxa"/>
              <w:bottom w:w="113" w:type="dxa"/>
              <w:right w:w="113" w:type="dxa"/>
            </w:tcMar>
          </w:tcPr>
          <w:p w14:paraId="31869F60" w14:textId="77777777" w:rsidR="00963C28" w:rsidRDefault="00963C28">
            <w:pPr>
              <w:pStyle w:val="Tablelistbullet"/>
              <w:numPr>
                <w:ilvl w:val="0"/>
                <w:numId w:val="0"/>
              </w:numPr>
              <w:ind w:left="360" w:hanging="360"/>
            </w:pPr>
            <w:r>
              <w:rPr>
                <w:rFonts w:cs="Arial"/>
                <w:b/>
                <w:bCs/>
                <w:color w:val="1E49E2" w:themeColor="accent2"/>
              </w:rPr>
              <w:t>Key findings</w:t>
            </w:r>
          </w:p>
          <w:p w14:paraId="64545B1B" w14:textId="77777777" w:rsidR="00963C28" w:rsidRDefault="00963C28" w:rsidP="00963C28">
            <w:pPr>
              <w:pStyle w:val="Tablelistbullet"/>
            </w:pPr>
            <w:r>
              <w:t xml:space="preserve">The MPS Program focuses on the beginning of a medical physicist’s career on the obtainment of qualification for new workforce entrants. </w:t>
            </w:r>
            <w:r w:rsidRPr="00CC1154">
              <w:t xml:space="preserve">There are two pathways to becoming a </w:t>
            </w:r>
            <w:r>
              <w:t>QMP</w:t>
            </w:r>
            <w:r w:rsidRPr="00CC1154">
              <w:t xml:space="preserve">, </w:t>
            </w:r>
            <w:r>
              <w:t>the</w:t>
            </w:r>
            <w:r w:rsidRPr="00CC1154">
              <w:t xml:space="preserve"> TEAP Pathway and the Safe to Practice Pathway. The MPS Program focuses on the TEAP Pathway. </w:t>
            </w:r>
          </w:p>
          <w:p w14:paraId="1337FC98" w14:textId="4146D782" w:rsidR="00963C28" w:rsidRDefault="00963C28" w:rsidP="00963C28">
            <w:pPr>
              <w:pStyle w:val="Tablelistbullet"/>
            </w:pPr>
            <w:r>
              <w:t xml:space="preserve">The </w:t>
            </w:r>
            <w:r w:rsidR="004E098C">
              <w:t>MPS</w:t>
            </w:r>
            <w:r>
              <w:t xml:space="preserve"> </w:t>
            </w:r>
            <w:r w:rsidR="004E098C">
              <w:t>P</w:t>
            </w:r>
            <w:r>
              <w:t xml:space="preserve">rogram’s funding model has remained unchanged during the review period, including the amounts provided to facilities per </w:t>
            </w:r>
            <w:r w:rsidR="00F33F6C">
              <w:t>Registrar</w:t>
            </w:r>
            <w:r>
              <w:t xml:space="preserve"> grant. This is despite </w:t>
            </w:r>
            <w:r w:rsidR="00F33F6C">
              <w:t xml:space="preserve">facilities consistently reporting in consultations </w:t>
            </w:r>
            <w:r>
              <w:t>that the grant amounts are insufficient</w:t>
            </w:r>
            <w:r w:rsidR="00F33F6C">
              <w:t xml:space="preserve"> to cover the increasing costs of Registrars</w:t>
            </w:r>
            <w:r>
              <w:t xml:space="preserve">. </w:t>
            </w:r>
          </w:p>
          <w:p w14:paraId="65E20844" w14:textId="66395996" w:rsidR="00963C28" w:rsidRDefault="00963C28" w:rsidP="00963C28">
            <w:pPr>
              <w:pStyle w:val="Tablelistbullet"/>
            </w:pPr>
            <w:r>
              <w:t xml:space="preserve">While workforce modelling is essential for workforce planning, consultations and desktop scan highlighted accurate medical physicist and RPS workforce modelling is limited predominately due to the lack of formal recognition of the workforce within Australia, such as through NRAS registration. </w:t>
            </w:r>
          </w:p>
          <w:p w14:paraId="2B64099F" w14:textId="412EAF53" w:rsidR="00963C28" w:rsidRDefault="00963C28" w:rsidP="00963C28">
            <w:pPr>
              <w:pStyle w:val="Tablelistbullet"/>
            </w:pPr>
            <w:r>
              <w:t xml:space="preserve">Information collected by the Department is lengthy and not aligned to the </w:t>
            </w:r>
            <w:r w:rsidR="004E098C">
              <w:t>MPS P</w:t>
            </w:r>
            <w:r>
              <w:t xml:space="preserve">rogram’s intended outcomes. Financial and TEAP census data collected throughout the period is inconsistent, making period comparison and trends difficult to identify. </w:t>
            </w:r>
          </w:p>
          <w:p w14:paraId="37D1E856" w14:textId="33E5AB5F" w:rsidR="00963C28" w:rsidRDefault="00963C28" w:rsidP="00963C28">
            <w:pPr>
              <w:pStyle w:val="Tablelistbullet"/>
            </w:pPr>
            <w:r>
              <w:t xml:space="preserve">The ‘Training, </w:t>
            </w:r>
            <w:r w:rsidR="00584915">
              <w:t>education</w:t>
            </w:r>
            <w:r>
              <w:t xml:space="preserve"> and assessment’ grant funding stream </w:t>
            </w:r>
            <w:r w:rsidR="007644C8">
              <w:t xml:space="preserve">comprises </w:t>
            </w:r>
            <w:r>
              <w:t>approximately 60% of ACPSEM’s revenue (</w:t>
            </w:r>
            <w:r w:rsidR="007644C8">
              <w:t xml:space="preserve">this excludes </w:t>
            </w:r>
            <w:r>
              <w:t xml:space="preserve">the Medical Physicists Trainees Support grant funding stream). </w:t>
            </w:r>
          </w:p>
          <w:p w14:paraId="634D80B5" w14:textId="3708E935" w:rsidR="00963C28" w:rsidRPr="00FC52D1" w:rsidRDefault="00963C28" w:rsidP="00963C28">
            <w:pPr>
              <w:pStyle w:val="Tablelistbullet"/>
            </w:pPr>
            <w:r>
              <w:t xml:space="preserve">Consultations and literature review </w:t>
            </w:r>
            <w:r w:rsidR="007644C8">
              <w:t xml:space="preserve">findings </w:t>
            </w:r>
            <w:r>
              <w:t>highlighted that jurisdictions prioritise the medical physicist and RPS Workforce differently. States and territories provide varying levels of support and additional resources in alignment with the MPS Program. This results in inequities amongst jurisdictions</w:t>
            </w:r>
            <w:r w:rsidRPr="008034E8">
              <w:t>.</w:t>
            </w:r>
          </w:p>
        </w:tc>
      </w:tr>
      <w:tr w:rsidR="00963C28" w14:paraId="48766E11" w14:textId="77777777">
        <w:trPr>
          <w:trHeight w:val="333"/>
        </w:trPr>
        <w:tc>
          <w:tcPr>
            <w:tcW w:w="9870" w:type="dxa"/>
            <w:gridSpan w:val="2"/>
            <w:tcBorders>
              <w:top w:val="single" w:sz="2" w:space="0" w:color="1E49E2"/>
            </w:tcBorders>
            <w:shd w:val="clear" w:color="auto" w:fill="F2F2F2" w:themeFill="background1" w:themeFillShade="F2"/>
            <w:tcMar>
              <w:top w:w="113" w:type="dxa"/>
              <w:left w:w="227" w:type="dxa"/>
              <w:bottom w:w="113" w:type="dxa"/>
              <w:right w:w="113" w:type="dxa"/>
            </w:tcMar>
          </w:tcPr>
          <w:p w14:paraId="181DC0B4" w14:textId="6BE758DD" w:rsidR="00963C28" w:rsidRPr="00582C82" w:rsidRDefault="00963C28">
            <w:pPr>
              <w:pStyle w:val="Tablelistbullet"/>
              <w:numPr>
                <w:ilvl w:val="0"/>
                <w:numId w:val="0"/>
              </w:numPr>
            </w:pPr>
            <w:r w:rsidRPr="00E34DB1">
              <w:rPr>
                <w:rFonts w:cs="Arial"/>
                <w:b/>
                <w:color w:val="1E49E2" w:themeColor="accent2"/>
              </w:rPr>
              <w:t>Limitations:</w:t>
            </w:r>
            <w:r>
              <w:t xml:space="preserve"> </w:t>
            </w:r>
            <w:r w:rsidRPr="00963C28">
              <w:rPr>
                <w:rFonts w:cs="Arial"/>
              </w:rPr>
              <w:t>Applicable data limitations for KEQ4 include information availability, third party information, multiple data sources, stakeholder consultation pool and RPS limitations</w:t>
            </w:r>
            <w:r>
              <w:rPr>
                <w:rFonts w:cs="Arial"/>
              </w:rPr>
              <w:t>.</w:t>
            </w:r>
          </w:p>
        </w:tc>
      </w:tr>
    </w:tbl>
    <w:p w14:paraId="12512EAA" w14:textId="77777777" w:rsidR="00963C28" w:rsidRDefault="00963C28" w:rsidP="000B1F0C">
      <w:pPr>
        <w:spacing w:before="0" w:after="160" w:line="259" w:lineRule="auto"/>
      </w:pPr>
    </w:p>
    <w:p w14:paraId="3CC1F011" w14:textId="7829FF6C" w:rsidR="00743287" w:rsidRPr="00AE349D" w:rsidRDefault="00891753" w:rsidP="00AE349D">
      <w:pPr>
        <w:pStyle w:val="Heading3"/>
      </w:pPr>
      <w:bookmarkStart w:id="148" w:name="_Toc216711592"/>
      <w:r w:rsidRPr="00AE349D">
        <w:t xml:space="preserve">Workforce </w:t>
      </w:r>
      <w:r w:rsidR="0042173A" w:rsidRPr="00AE349D">
        <w:t>s</w:t>
      </w:r>
      <w:r w:rsidRPr="00AE349D">
        <w:t>upport beyond TEAP</w:t>
      </w:r>
      <w:bookmarkEnd w:id="148"/>
    </w:p>
    <w:p w14:paraId="01CF2E07" w14:textId="77777777" w:rsidR="00B041FD" w:rsidRPr="00DC27F5" w:rsidRDefault="00B041FD" w:rsidP="00DC27F5">
      <w:pPr>
        <w:pStyle w:val="Heading4"/>
        <w:rPr>
          <w:iCs w:val="0"/>
        </w:rPr>
      </w:pPr>
      <w:proofErr w:type="gramStart"/>
      <w:r w:rsidRPr="00DC27F5">
        <w:t>Workforce</w:t>
      </w:r>
      <w:proofErr w:type="gramEnd"/>
      <w:r w:rsidRPr="00DC27F5">
        <w:t xml:space="preserve"> need</w:t>
      </w:r>
    </w:p>
    <w:p w14:paraId="042571FA" w14:textId="1116043A" w:rsidR="00B041FD" w:rsidRDefault="00B041FD" w:rsidP="00B041FD">
      <w:pPr>
        <w:pStyle w:val="BodyText"/>
      </w:pPr>
      <w:r>
        <w:t xml:space="preserve">Section 3.2 outlines the critical role medical physicist play in ensuring the safety, quality and effectiveness of medical treatments involving radiation, particularly as the complexity of technology increases. Additionally, </w:t>
      </w:r>
      <w:r w:rsidR="00262CD5">
        <w:t>S</w:t>
      </w:r>
      <w:r>
        <w:t xml:space="preserve">ection 3.2 outlines the increasing demand for medical physicist services. </w:t>
      </w:r>
    </w:p>
    <w:p w14:paraId="2B92367A" w14:textId="557115F8" w:rsidR="00B041FD" w:rsidRDefault="00B041FD" w:rsidP="00B041FD">
      <w:pPr>
        <w:pStyle w:val="BodyText"/>
      </w:pPr>
      <w:r>
        <w:t xml:space="preserve">Consultation with ARPANSA reported that research and technological advancements are changing the role of a medical physicists, and that higher levels of accuracy and advanced technical skills will be required. </w:t>
      </w:r>
      <w:r w:rsidR="008C659A">
        <w:t xml:space="preserve">In </w:t>
      </w:r>
      <w:r>
        <w:t>consultation</w:t>
      </w:r>
      <w:r w:rsidR="008C659A">
        <w:t>, stakeholders</w:t>
      </w:r>
      <w:r>
        <w:t xml:space="preserve"> acknowledged that TEAP does not provide the skillset level </w:t>
      </w:r>
      <w:r w:rsidR="00A3453A">
        <w:t xml:space="preserve">of an experienced QMP and the higher levels of knowledge that will be required in the Registrar’s future </w:t>
      </w:r>
      <w:r>
        <w:t xml:space="preserve">however </w:t>
      </w:r>
      <w:r w:rsidR="0047611C">
        <w:t>also noted that it</w:t>
      </w:r>
      <w:r>
        <w:t xml:space="preserve"> is not </w:t>
      </w:r>
      <w:r w:rsidR="00DA2C72">
        <w:t>intended</w:t>
      </w:r>
      <w:r>
        <w:t xml:space="preserve"> to. </w:t>
      </w:r>
      <w:r w:rsidR="009165E8">
        <w:t>TEAP is intended to provide a minimal level of competency</w:t>
      </w:r>
      <w:r>
        <w:t xml:space="preserve"> </w:t>
      </w:r>
      <w:r w:rsidR="00566631" w:rsidRPr="0064629D">
        <w:t xml:space="preserve">and </w:t>
      </w:r>
      <w:r>
        <w:t xml:space="preserve">on the job training and experience and further studies fill this knowledge gap. </w:t>
      </w:r>
    </w:p>
    <w:p w14:paraId="2340A8B3" w14:textId="77777777" w:rsidR="00B041FD" w:rsidRDefault="00B041FD" w:rsidP="00DC27F5">
      <w:pPr>
        <w:pStyle w:val="Heading4"/>
      </w:pPr>
      <w:r w:rsidRPr="00DC27F5">
        <w:t xml:space="preserve">Career pathway </w:t>
      </w:r>
    </w:p>
    <w:p w14:paraId="0294A313" w14:textId="6E649E7D" w:rsidR="00B041FD" w:rsidRDefault="00B041FD" w:rsidP="00B041FD">
      <w:pPr>
        <w:pStyle w:val="BodyText"/>
      </w:pPr>
      <w:r>
        <w:t>The current pathway</w:t>
      </w:r>
      <w:r w:rsidR="00760645">
        <w:t>s</w:t>
      </w:r>
      <w:r>
        <w:t xml:space="preserve"> </w:t>
      </w:r>
      <w:r w:rsidR="00760645">
        <w:t xml:space="preserve">of an experienced </w:t>
      </w:r>
      <w:r w:rsidR="00CE2C0F">
        <w:t>QMP</w:t>
      </w:r>
      <w:r>
        <w:t xml:space="preserve"> in Australia is outlined in </w:t>
      </w:r>
      <w:r w:rsidR="00627827">
        <w:fldChar w:fldCharType="begin" w:fldLock="1"/>
      </w:r>
      <w:r w:rsidR="00627827">
        <w:instrText xml:space="preserve"> REF _Ref182815641 \h </w:instrText>
      </w:r>
      <w:r w:rsidR="00627827">
        <w:fldChar w:fldCharType="separate"/>
      </w:r>
      <w:r w:rsidR="00D35A75">
        <w:t xml:space="preserve">Figure </w:t>
      </w:r>
      <w:r w:rsidR="00DD65F3" w:rsidDel="00BA2814">
        <w:rPr>
          <w:noProof/>
        </w:rPr>
        <w:t>13</w:t>
      </w:r>
      <w:r w:rsidR="00627827">
        <w:fldChar w:fldCharType="end"/>
      </w:r>
      <w:r>
        <w:t xml:space="preserve">. </w:t>
      </w:r>
    </w:p>
    <w:p w14:paraId="1F6D3827" w14:textId="7B47F5FF" w:rsidR="00B041FD" w:rsidRDefault="009858A7" w:rsidP="009858A7">
      <w:pPr>
        <w:pStyle w:val="Caption"/>
      </w:pPr>
      <w:bookmarkStart w:id="149" w:name="_Ref182815641"/>
      <w:bookmarkStart w:id="150" w:name="_Ref178164364"/>
      <w:bookmarkStart w:id="151" w:name="_Ref178164356"/>
      <w:r>
        <w:t xml:space="preserve">Figure </w:t>
      </w:r>
      <w:r>
        <w:fldChar w:fldCharType="begin"/>
      </w:r>
      <w:r>
        <w:instrText xml:space="preserve"> SEQ Figure \* ARABIC </w:instrText>
      </w:r>
      <w:r>
        <w:fldChar w:fldCharType="separate"/>
      </w:r>
      <w:r w:rsidR="005F7EBC">
        <w:rPr>
          <w:noProof/>
        </w:rPr>
        <w:t>13</w:t>
      </w:r>
      <w:r>
        <w:fldChar w:fldCharType="end"/>
      </w:r>
      <w:bookmarkEnd w:id="149"/>
      <w:r>
        <w:t xml:space="preserve">: </w:t>
      </w:r>
      <w:r w:rsidRPr="00721C05">
        <w:t>Medical Physicist Career Pathway</w:t>
      </w:r>
      <w:bookmarkEnd w:id="150"/>
      <w:bookmarkEnd w:id="151"/>
      <w:r w:rsidR="00B041FD">
        <w:rPr>
          <w:noProof/>
        </w:rPr>
        <w:drawing>
          <wp:inline distT="0" distB="0" distL="0" distR="0" wp14:anchorId="2EF11D45" wp14:editId="29267253">
            <wp:extent cx="5509260" cy="1376635"/>
            <wp:effectExtent l="0" t="0" r="0" b="0"/>
            <wp:docPr id="16" name="Picture 16" descr="Figure 13 is an infographic which shows the Medical Physicist Career Pathway&#10;The TEAP Pathway is:&#10;-Undergraduate degree&#10;-Masters/PhD&#10;-TEAP&#10;-Qualified Medical Physicist&#10;-Experienced Qualified Medical Physicist.&#10;&#10;The Safe to Practice Pathway is:&#10;-Undergraduate degree&#10;-Masters / PhD&#10;-7 years practical experience&#10;-Qualified Medical Physicist&#10;-Experienced Qualified Medical Physi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3 is an infographic which shows the Medical Physicist Career Pathway&#10;The TEAP Pathway is:&#10;-Undergraduate degree&#10;-Masters/PhD&#10;-TEAP&#10;-Qualified Medical Physicist&#10;-Experienced Qualified Medical Physicist.&#10;&#10;The Safe to Practice Pathway is:&#10;-Undergraduate degree&#10;-Masters / PhD&#10;-7 years practical experience&#10;-Qualified Medical Physicist&#10;-Experienced Qualified Medical Physici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87052" cy="1396073"/>
                    </a:xfrm>
                    <a:prstGeom prst="rect">
                      <a:avLst/>
                    </a:prstGeom>
                    <a:noFill/>
                  </pic:spPr>
                </pic:pic>
              </a:graphicData>
            </a:graphic>
          </wp:inline>
        </w:drawing>
      </w:r>
    </w:p>
    <w:p w14:paraId="3C0FE2C8" w14:textId="77777777" w:rsidR="00B041FD" w:rsidRPr="00643171" w:rsidRDefault="00B041FD" w:rsidP="00B041FD">
      <w:pPr>
        <w:pStyle w:val="Caption"/>
        <w:rPr>
          <w:szCs w:val="24"/>
        </w:rPr>
      </w:pPr>
      <w:r w:rsidRPr="003B3448">
        <w:rPr>
          <w:szCs w:val="24"/>
        </w:rPr>
        <w:t xml:space="preserve"> </w:t>
      </w:r>
      <w:r>
        <w:rPr>
          <w:szCs w:val="24"/>
        </w:rPr>
        <w:t>S</w:t>
      </w:r>
      <w:r w:rsidRPr="00074AC0">
        <w:rPr>
          <w:szCs w:val="24"/>
        </w:rPr>
        <w:t xml:space="preserve">ource: </w:t>
      </w:r>
      <w:r>
        <w:rPr>
          <w:szCs w:val="24"/>
        </w:rPr>
        <w:t>KPMG, 2024.</w:t>
      </w:r>
    </w:p>
    <w:p w14:paraId="565058B8" w14:textId="3FDB0A6C" w:rsidR="00B041FD" w:rsidRDefault="00B041FD" w:rsidP="00B041FD">
      <w:pPr>
        <w:pStyle w:val="BodyText"/>
        <w:rPr>
          <w:lang w:eastAsia="en-AU"/>
        </w:rPr>
      </w:pPr>
      <w:r>
        <w:rPr>
          <w:lang w:eastAsia="en-AU"/>
        </w:rPr>
        <w:t>The focus of this report is on the TEAP pathway as this is more common and the predomina</w:t>
      </w:r>
      <w:r w:rsidR="00C74C83">
        <w:rPr>
          <w:lang w:eastAsia="en-AU"/>
        </w:rPr>
        <w:t>n</w:t>
      </w:r>
      <w:r>
        <w:rPr>
          <w:lang w:eastAsia="en-AU"/>
        </w:rPr>
        <w:t>t focus of the MPS Program. However, it is acknowledged that the “Safe to Practice” Pathway</w:t>
      </w:r>
      <w:r w:rsidR="001D3CF0">
        <w:rPr>
          <w:lang w:eastAsia="en-AU"/>
        </w:rPr>
        <w:t xml:space="preserve"> is an alternative to registration</w:t>
      </w:r>
      <w:r>
        <w:rPr>
          <w:lang w:eastAsia="en-AU"/>
        </w:rPr>
        <w:t xml:space="preserve">. In this pathway, once an individual has seven year’s practical experience post Masters/PhD they can submit a portfolio of their work to an ACPSEM examiner for approval and undertake an oral examination to become a registered physicist.  </w:t>
      </w:r>
    </w:p>
    <w:p w14:paraId="2B53A578" w14:textId="77777777" w:rsidR="00330483" w:rsidRDefault="00B041FD" w:rsidP="00B041FD">
      <w:pPr>
        <w:pStyle w:val="BodyText"/>
      </w:pPr>
      <w:r>
        <w:rPr>
          <w:lang w:eastAsia="en-AU"/>
        </w:rPr>
        <w:t xml:space="preserve">The MPS Program focuses on the start of a medical physicist’s career at the TEAP certification phase, ensuring that there are new entrants to the workforce. At this stage, </w:t>
      </w:r>
      <w:r w:rsidR="00CF00A0">
        <w:rPr>
          <w:lang w:eastAsia="en-AU"/>
        </w:rPr>
        <w:t xml:space="preserve">many </w:t>
      </w:r>
      <w:r>
        <w:rPr>
          <w:lang w:eastAsia="en-AU"/>
        </w:rPr>
        <w:t xml:space="preserve">consultations reported an oversubscription of the workforce. Consultations </w:t>
      </w:r>
      <w:r w:rsidR="00CF00A0">
        <w:rPr>
          <w:lang w:eastAsia="en-AU"/>
        </w:rPr>
        <w:t>continually</w:t>
      </w:r>
      <w:r>
        <w:rPr>
          <w:lang w:eastAsia="en-AU"/>
        </w:rPr>
        <w:t xml:space="preserve"> highlighted that workforce challenges are occurring at the </w:t>
      </w:r>
      <w:r w:rsidR="00CE2C0F">
        <w:rPr>
          <w:lang w:eastAsia="en-AU"/>
        </w:rPr>
        <w:t>QMP</w:t>
      </w:r>
      <w:r>
        <w:rPr>
          <w:lang w:eastAsia="en-AU"/>
        </w:rPr>
        <w:t xml:space="preserve"> and Experienced </w:t>
      </w:r>
      <w:r w:rsidR="00CE2C0F">
        <w:rPr>
          <w:lang w:eastAsia="en-AU"/>
        </w:rPr>
        <w:t>QMP</w:t>
      </w:r>
      <w:r>
        <w:rPr>
          <w:lang w:eastAsia="en-AU"/>
        </w:rPr>
        <w:t xml:space="preserve"> stages. Q</w:t>
      </w:r>
      <w:r w:rsidR="00CE2C0F">
        <w:rPr>
          <w:lang w:eastAsia="en-AU"/>
        </w:rPr>
        <w:t>MP</w:t>
      </w:r>
      <w:r>
        <w:rPr>
          <w:lang w:eastAsia="en-AU"/>
        </w:rPr>
        <w:t xml:space="preserve"> challenges are driven by the lack of available roles. I</w:t>
      </w:r>
      <w:r>
        <w:t xml:space="preserve">t was found through consultation that upon completion of TEAP in public facilities, the Registrar is reliant on a position becoming vacant through an existing employee leaving their position or the facility obtaining increased funding. Private facilities have a stronger ability to maintain a Registrar post-certification, with the likelihood of a position being available within their national network being greater than that of a single hospital. However, a position is still not guaranteed. </w:t>
      </w:r>
    </w:p>
    <w:p w14:paraId="63686B6D" w14:textId="3A77C455" w:rsidR="00B041FD" w:rsidRDefault="00B041FD" w:rsidP="00B041FD">
      <w:pPr>
        <w:pStyle w:val="BodyText"/>
      </w:pPr>
      <w:r>
        <w:t xml:space="preserve">This was further supported by </w:t>
      </w:r>
      <w:r w:rsidR="00CC143C">
        <w:t xml:space="preserve">Registrar </w:t>
      </w:r>
      <w:r>
        <w:t>survey respondents who had completed TEAP and moved facilities</w:t>
      </w:r>
      <w:r w:rsidR="00330483">
        <w:t>,</w:t>
      </w:r>
      <w:r>
        <w:t xml:space="preserve"> with </w:t>
      </w:r>
      <w:r w:rsidR="008C31B0">
        <w:t>67</w:t>
      </w:r>
      <w:r>
        <w:t xml:space="preserve">% </w:t>
      </w:r>
      <w:r w:rsidR="008C31B0">
        <w:t>(12 respondents)</w:t>
      </w:r>
      <w:r>
        <w:t xml:space="preserve"> c</w:t>
      </w:r>
      <w:r w:rsidRPr="00A17D93">
        <w:t>iting “lack of ongoing positions at the facility where I undertook training” an influencing factor in their move</w:t>
      </w:r>
      <w:r w:rsidR="009064B7">
        <w:t xml:space="preserve"> (n=18)</w:t>
      </w:r>
      <w:r w:rsidRPr="00A17D93">
        <w:t xml:space="preserve">. While recruitment difficulties for experienced </w:t>
      </w:r>
      <w:r w:rsidR="00CE2C0F">
        <w:t>QMPs</w:t>
      </w:r>
      <w:r w:rsidRPr="00A17D93">
        <w:t xml:space="preserve"> were driven by </w:t>
      </w:r>
      <w:r w:rsidR="006D1801">
        <w:t xml:space="preserve">a </w:t>
      </w:r>
      <w:r w:rsidRPr="00A17D93">
        <w:t>lack of experienced cand</w:t>
      </w:r>
      <w:r>
        <w:t>idates</w:t>
      </w:r>
      <w:r w:rsidR="006D1801">
        <w:t>,</w:t>
      </w:r>
      <w:r>
        <w:t xml:space="preserve"> particularly for regional facilities</w:t>
      </w:r>
      <w:r w:rsidR="006D1801">
        <w:t>, i</w:t>
      </w:r>
      <w:r w:rsidRPr="00CC4B8E">
        <w:t xml:space="preserve">t was noted that recent TEAP graduates are unable to fill experienced roles </w:t>
      </w:r>
      <w:r w:rsidR="002114D9">
        <w:t>as they are not yet prepared to</w:t>
      </w:r>
      <w:r w:rsidR="002114D9" w:rsidRPr="00CC4B8E">
        <w:t xml:space="preserve"> </w:t>
      </w:r>
      <w:r w:rsidRPr="00CC4B8E">
        <w:t xml:space="preserve">be the </w:t>
      </w:r>
      <w:r w:rsidR="002114D9">
        <w:t>sole</w:t>
      </w:r>
      <w:r w:rsidR="002114D9" w:rsidRPr="00CC4B8E">
        <w:t xml:space="preserve"> </w:t>
      </w:r>
      <w:r w:rsidR="000A796C">
        <w:t>medical physicist</w:t>
      </w:r>
      <w:r w:rsidRPr="00CC4B8E">
        <w:t xml:space="preserve"> of a department. </w:t>
      </w:r>
      <w:r w:rsidR="00A939E1">
        <w:t>Some f</w:t>
      </w:r>
      <w:r w:rsidRPr="00CC4B8E">
        <w:t xml:space="preserve">acilities reported that the gap in the Australian workforce of experienced </w:t>
      </w:r>
      <w:r w:rsidR="00E01E20">
        <w:t>QMPs</w:t>
      </w:r>
      <w:r w:rsidRPr="00CC4B8E">
        <w:t xml:space="preserve"> are being filled by overseas candidates, which create additional administrative burden for facilities.</w:t>
      </w:r>
    </w:p>
    <w:p w14:paraId="629C4A9E" w14:textId="5069EC8B" w:rsidR="00267856" w:rsidRPr="00AE349D" w:rsidRDefault="00267856" w:rsidP="00AE349D">
      <w:pPr>
        <w:pStyle w:val="Heading3"/>
      </w:pPr>
      <w:bookmarkStart w:id="152" w:name="_Ref184388975"/>
      <w:bookmarkStart w:id="153" w:name="_Toc216711593"/>
      <w:r w:rsidRPr="00AE349D">
        <w:t>Current Funding Model</w:t>
      </w:r>
      <w:bookmarkEnd w:id="152"/>
      <w:bookmarkEnd w:id="153"/>
      <w:r w:rsidRPr="00AE349D">
        <w:t xml:space="preserve"> </w:t>
      </w:r>
    </w:p>
    <w:p w14:paraId="4186239F" w14:textId="69603266" w:rsidR="00267856" w:rsidRDefault="00C52448" w:rsidP="00B041FD">
      <w:pPr>
        <w:pStyle w:val="BodyText"/>
      </w:pPr>
      <w:r>
        <w:fldChar w:fldCharType="begin" w:fldLock="1"/>
      </w:r>
      <w:r>
        <w:instrText xml:space="preserve"> REF _Ref182584992 \h </w:instrText>
      </w:r>
      <w:r>
        <w:fldChar w:fldCharType="separate"/>
      </w:r>
      <w:r>
        <w:t xml:space="preserve">Table </w:t>
      </w:r>
      <w:r>
        <w:rPr>
          <w:noProof/>
        </w:rPr>
        <w:t>10</w:t>
      </w:r>
      <w:r>
        <w:fldChar w:fldCharType="end"/>
      </w:r>
      <w:r>
        <w:t xml:space="preserve"> in Section </w:t>
      </w:r>
      <w:r>
        <w:fldChar w:fldCharType="begin" w:fldLock="1"/>
      </w:r>
      <w:r>
        <w:instrText xml:space="preserve"> REF _Ref184195740 \r \h </w:instrText>
      </w:r>
      <w:r>
        <w:fldChar w:fldCharType="separate"/>
      </w:r>
      <w:r>
        <w:t>3.3.1</w:t>
      </w:r>
      <w:r>
        <w:fldChar w:fldCharType="end"/>
      </w:r>
      <w:r>
        <w:t xml:space="preserve"> </w:t>
      </w:r>
      <w:r>
        <w:fldChar w:fldCharType="begin" w:fldLock="1"/>
      </w:r>
      <w:r>
        <w:instrText xml:space="preserve"> REF _Ref184195740 \h </w:instrText>
      </w:r>
      <w:r>
        <w:fldChar w:fldCharType="separate"/>
      </w:r>
      <w:r>
        <w:t>Financial efficiency</w:t>
      </w:r>
      <w:r>
        <w:fldChar w:fldCharType="end"/>
      </w:r>
      <w:r>
        <w:t xml:space="preserve"> </w:t>
      </w:r>
      <w:r w:rsidR="00010811">
        <w:t>outlines the Medical Physicist Trainee Support Grants funding model that is set within the Grant Agreement. The table highlights that B</w:t>
      </w:r>
      <w:r w:rsidR="00010811" w:rsidRPr="00010811">
        <w:t xml:space="preserve">ase </w:t>
      </w:r>
      <w:r w:rsidR="00010811">
        <w:t>F</w:t>
      </w:r>
      <w:r w:rsidR="00010811" w:rsidRPr="00010811">
        <w:t>unding and Regional Loading per training grant</w:t>
      </w:r>
      <w:r w:rsidR="00010811">
        <w:t xml:space="preserve"> fundings amounts have remained unchanged throughout the review period.  </w:t>
      </w:r>
    </w:p>
    <w:p w14:paraId="196785BE" w14:textId="53B62B0D" w:rsidR="00F51D08" w:rsidRDefault="00F51D08" w:rsidP="00F51D08">
      <w:pPr>
        <w:pStyle w:val="BodyText"/>
      </w:pPr>
      <w:r>
        <w:t xml:space="preserve">Although Commonwealth funding was cited as an important enabler for taking on TEAP Registrars, Supervisors and jurisdictions commonly felt that the </w:t>
      </w:r>
      <w:r w:rsidR="00B815EF">
        <w:t>MPS Program grant</w:t>
      </w:r>
      <w:r>
        <w:t xml:space="preserve"> funds were insufficient and did not keep up with rising costs of employment and training. In consultation, it was reported that the funding received by facilities covers between</w:t>
      </w:r>
      <w:r w:rsidRPr="002A5092">
        <w:t xml:space="preserve"> approximately half and two-thirds of the </w:t>
      </w:r>
      <w:r>
        <w:t>medical physicist</w:t>
      </w:r>
      <w:r w:rsidR="00D03C14">
        <w:t>’s</w:t>
      </w:r>
      <w:r w:rsidRPr="002A5092">
        <w:t xml:space="preserve"> salary, with facilities sourcing the remainder of the wage from alternative sources. </w:t>
      </w:r>
      <w:r w:rsidR="007A2206">
        <w:t>Employees at f</w:t>
      </w:r>
      <w:r w:rsidRPr="002A5092">
        <w:t xml:space="preserve">acilities commonly raised that they find it challenging to find funds to cover the salary gap. As well as covering the </w:t>
      </w:r>
      <w:r>
        <w:t>Registrar</w:t>
      </w:r>
      <w:r w:rsidRPr="002A5092">
        <w:t xml:space="preserve"> wage, facilities must also cover the costs of the time dedicated by a </w:t>
      </w:r>
      <w:proofErr w:type="gramStart"/>
      <w:r>
        <w:t>Supervisor</w:t>
      </w:r>
      <w:proofErr w:type="gramEnd"/>
      <w:r w:rsidRPr="002A5092">
        <w:t xml:space="preserve">, and in some cases the development of additional training materials, training opportunities, and equipment for </w:t>
      </w:r>
      <w:r>
        <w:t>Registrar</w:t>
      </w:r>
      <w:r w:rsidRPr="002A5092">
        <w:t xml:space="preserve">s. </w:t>
      </w:r>
    </w:p>
    <w:p w14:paraId="420945E9" w14:textId="08633E7D" w:rsidR="00B041FD" w:rsidRPr="00AE349D" w:rsidRDefault="00BC613A" w:rsidP="00AE349D">
      <w:pPr>
        <w:pStyle w:val="Heading3"/>
      </w:pPr>
      <w:bookmarkStart w:id="154" w:name="_Ref181947788"/>
      <w:bookmarkStart w:id="155" w:name="_Toc216711594"/>
      <w:r w:rsidRPr="00AE349D">
        <w:t>Supporting data</w:t>
      </w:r>
      <w:bookmarkEnd w:id="154"/>
      <w:bookmarkEnd w:id="155"/>
    </w:p>
    <w:p w14:paraId="19EEE172" w14:textId="77777777" w:rsidR="008F02AB" w:rsidRPr="00DC27F5" w:rsidRDefault="008F02AB" w:rsidP="00DC27F5">
      <w:pPr>
        <w:pStyle w:val="Heading4"/>
        <w:rPr>
          <w:iCs w:val="0"/>
        </w:rPr>
      </w:pPr>
      <w:r w:rsidRPr="00DC27F5">
        <w:t xml:space="preserve">Workforce Modelling </w:t>
      </w:r>
    </w:p>
    <w:p w14:paraId="4354896D" w14:textId="02DDB57A" w:rsidR="003B23E2" w:rsidRDefault="00316437" w:rsidP="008F02AB">
      <w:pPr>
        <w:pStyle w:val="BodyText"/>
      </w:pPr>
      <w:r>
        <w:t>Health workforce modelling is an integral part of</w:t>
      </w:r>
      <w:r w:rsidR="00050DFC">
        <w:t xml:space="preserve"> </w:t>
      </w:r>
      <w:r w:rsidR="00A10BF2">
        <w:t xml:space="preserve">health workforce planning and </w:t>
      </w:r>
      <w:r w:rsidR="00570E55">
        <w:t xml:space="preserve">assists in ensuring that </w:t>
      </w:r>
      <w:r w:rsidR="00A10BF2">
        <w:t xml:space="preserve">the </w:t>
      </w:r>
      <w:r w:rsidR="0048309B">
        <w:t>correct</w:t>
      </w:r>
      <w:r w:rsidR="00A10BF2">
        <w:t xml:space="preserve"> number of </w:t>
      </w:r>
      <w:r w:rsidR="00EF2406">
        <w:t xml:space="preserve">professionals with the </w:t>
      </w:r>
      <w:r w:rsidR="00D7198B">
        <w:t>necessary</w:t>
      </w:r>
      <w:r w:rsidR="00EF2406">
        <w:t xml:space="preserve"> skills are delivering the </w:t>
      </w:r>
      <w:r w:rsidR="0048309B">
        <w:t>right</w:t>
      </w:r>
      <w:r w:rsidR="00EF2406">
        <w:t xml:space="preserve"> services </w:t>
      </w:r>
      <w:r w:rsidR="0048309B">
        <w:t>and are based in the right locations</w:t>
      </w:r>
      <w:r w:rsidR="00822C00">
        <w:t>.</w:t>
      </w:r>
      <w:r w:rsidR="00741515">
        <w:t xml:space="preserve"> Inaccurate workforce modelling for health services can result in workforce shortages or surpluses</w:t>
      </w:r>
      <w:r w:rsidR="00FE204D">
        <w:t>,</w:t>
      </w:r>
      <w:r w:rsidR="00093740">
        <w:t xml:space="preserve"> </w:t>
      </w:r>
      <w:r w:rsidR="0048309B">
        <w:t>potentially leading to</w:t>
      </w:r>
      <w:r w:rsidR="00093740">
        <w:t xml:space="preserve"> </w:t>
      </w:r>
      <w:r w:rsidR="005F4B51">
        <w:t>inadequate care, increased costs</w:t>
      </w:r>
      <w:r w:rsidR="00FE204D">
        <w:t>,</w:t>
      </w:r>
      <w:r w:rsidR="005F4B51">
        <w:t xml:space="preserve"> and restricted access</w:t>
      </w:r>
      <w:r w:rsidR="0048309B">
        <w:t xml:space="preserve"> for patients</w:t>
      </w:r>
      <w:r w:rsidR="005F4B51">
        <w:t>.</w:t>
      </w:r>
      <w:r w:rsidR="001D1A3C">
        <w:rPr>
          <w:rFonts w:ascii="ZWAdobeF" w:hAnsi="ZWAdobeF" w:cs="ZWAdobeF"/>
          <w:sz w:val="2"/>
          <w:szCs w:val="2"/>
        </w:rPr>
        <w:t>55F</w:t>
      </w:r>
      <w:r w:rsidR="005F7EBC">
        <w:rPr>
          <w:rFonts w:ascii="ZWAdobeF" w:hAnsi="ZWAdobeF" w:cs="ZWAdobeF"/>
          <w:sz w:val="2"/>
          <w:szCs w:val="2"/>
        </w:rPr>
        <w:t>67F</w:t>
      </w:r>
      <w:r w:rsidR="00570E55">
        <w:rPr>
          <w:rStyle w:val="FootnoteReference"/>
        </w:rPr>
        <w:footnoteReference w:id="69"/>
      </w:r>
      <w:r w:rsidR="005F4B51">
        <w:t xml:space="preserve"> </w:t>
      </w:r>
    </w:p>
    <w:p w14:paraId="33120F00" w14:textId="0B381D0D" w:rsidR="0067261D" w:rsidRDefault="00BD1AE1" w:rsidP="008F02AB">
      <w:pPr>
        <w:pStyle w:val="BodyText"/>
      </w:pPr>
      <w:r>
        <w:t xml:space="preserve">Section </w:t>
      </w:r>
      <w:r w:rsidR="009F0584" w:rsidRPr="00194457">
        <w:fldChar w:fldCharType="begin" w:fldLock="1"/>
      </w:r>
      <w:r w:rsidR="009F0584" w:rsidRPr="006B4DD2">
        <w:instrText xml:space="preserve"> REF _Ref184204514 \r \h </w:instrText>
      </w:r>
      <w:r w:rsidR="009F0584">
        <w:instrText xml:space="preserve"> \* MERGEFORMAT </w:instrText>
      </w:r>
      <w:r w:rsidR="009F0584" w:rsidRPr="00194457">
        <w:fldChar w:fldCharType="separate"/>
      </w:r>
      <w:r w:rsidR="009F0584" w:rsidRPr="007B623B" w:rsidDel="00BA2814">
        <w:t>3.1.3</w:t>
      </w:r>
      <w:r w:rsidR="009F0584" w:rsidRPr="00194457">
        <w:fldChar w:fldCharType="end"/>
      </w:r>
      <w:r>
        <w:t xml:space="preserve"> details </w:t>
      </w:r>
      <w:r w:rsidR="0067261D">
        <w:t>current workforce model predictions for ROMPs and DIMPs</w:t>
      </w:r>
      <w:r w:rsidR="004B18ED">
        <w:t xml:space="preserve">, as well as </w:t>
      </w:r>
      <w:r w:rsidR="0067261D">
        <w:t xml:space="preserve">the </w:t>
      </w:r>
      <w:r w:rsidR="00316F49">
        <w:t xml:space="preserve">limitations in completing RPS workforce modelling. </w:t>
      </w:r>
      <w:r w:rsidR="00832F62">
        <w:t xml:space="preserve">Additionally, Section </w:t>
      </w:r>
      <w:r w:rsidR="00A939E1">
        <w:fldChar w:fldCharType="begin" w:fldLock="1"/>
      </w:r>
      <w:r w:rsidR="00A939E1">
        <w:instrText xml:space="preserve"> REF _Ref184204351 \r \h </w:instrText>
      </w:r>
      <w:r w:rsidR="00A939E1">
        <w:fldChar w:fldCharType="separate"/>
      </w:r>
      <w:r w:rsidR="00A939E1">
        <w:t>3.2.1</w:t>
      </w:r>
      <w:r w:rsidR="00A939E1">
        <w:fldChar w:fldCharType="end"/>
      </w:r>
      <w:r w:rsidR="00832F62">
        <w:t xml:space="preserve"> outlines the limitations relating to the accuracy of</w:t>
      </w:r>
      <w:r w:rsidR="004934FB">
        <w:t xml:space="preserve"> current</w:t>
      </w:r>
      <w:r w:rsidR="00832F62">
        <w:t xml:space="preserve"> work</w:t>
      </w:r>
      <w:r w:rsidR="004934FB">
        <w:t xml:space="preserve">force size and make up for ROMPs, DIMPs and RPS. </w:t>
      </w:r>
    </w:p>
    <w:p w14:paraId="0C866C8E" w14:textId="06EA20BB" w:rsidR="00D25494" w:rsidRDefault="00DD2384" w:rsidP="008F02AB">
      <w:pPr>
        <w:pStyle w:val="BodyText"/>
      </w:pPr>
      <w:r>
        <w:t xml:space="preserve">The Department </w:t>
      </w:r>
      <w:r w:rsidR="009F4E5F">
        <w:t xml:space="preserve">maintains Health Workforce Data Tools </w:t>
      </w:r>
      <w:r w:rsidR="005E597B">
        <w:t xml:space="preserve">which </w:t>
      </w:r>
      <w:r w:rsidR="004310F8">
        <w:t xml:space="preserve">allow the </w:t>
      </w:r>
      <w:proofErr w:type="gramStart"/>
      <w:r w:rsidR="004310F8">
        <w:t>general public</w:t>
      </w:r>
      <w:proofErr w:type="gramEnd"/>
      <w:r w:rsidR="004310F8">
        <w:t xml:space="preserve"> to access different Health Workforce Datasets, including the </w:t>
      </w:r>
      <w:r w:rsidR="00A07968">
        <w:t>NHWDS</w:t>
      </w:r>
      <w:r w:rsidR="00B539FE">
        <w:t>.</w:t>
      </w:r>
      <w:r w:rsidR="001D1A3C">
        <w:rPr>
          <w:rFonts w:ascii="ZWAdobeF" w:hAnsi="ZWAdobeF" w:cs="ZWAdobeF"/>
          <w:sz w:val="2"/>
          <w:szCs w:val="2"/>
        </w:rPr>
        <w:t>56F</w:t>
      </w:r>
      <w:r w:rsidR="005F7EBC">
        <w:rPr>
          <w:rFonts w:ascii="ZWAdobeF" w:hAnsi="ZWAdobeF" w:cs="ZWAdobeF"/>
          <w:sz w:val="2"/>
          <w:szCs w:val="2"/>
        </w:rPr>
        <w:t>68F</w:t>
      </w:r>
      <w:r w:rsidR="00496A41">
        <w:rPr>
          <w:rStyle w:val="FootnoteReference"/>
        </w:rPr>
        <w:footnoteReference w:id="70"/>
      </w:r>
      <w:r w:rsidR="00A07968">
        <w:t xml:space="preserve"> The NHWDS is </w:t>
      </w:r>
      <w:r w:rsidR="00252415">
        <w:t xml:space="preserve">created by AHPRA and </w:t>
      </w:r>
      <w:r w:rsidR="00D25494">
        <w:t xml:space="preserve">includes </w:t>
      </w:r>
      <w:r w:rsidR="00EA31DF">
        <w:t xml:space="preserve">information on 15 </w:t>
      </w:r>
      <w:r w:rsidR="0021792A">
        <w:t xml:space="preserve">health professions </w:t>
      </w:r>
      <w:r w:rsidR="004F6220">
        <w:t xml:space="preserve">for which </w:t>
      </w:r>
      <w:r w:rsidR="0021792A">
        <w:t>AHPRA is responsib</w:t>
      </w:r>
      <w:r w:rsidR="006070DD">
        <w:t>le</w:t>
      </w:r>
      <w:r w:rsidR="0021792A">
        <w:t xml:space="preserve"> for the national registration process. </w:t>
      </w:r>
      <w:r w:rsidR="00D234C9">
        <w:t>The NHWDS incorporate</w:t>
      </w:r>
      <w:r w:rsidR="008F4DC0">
        <w:t xml:space="preserve">s </w:t>
      </w:r>
      <w:r w:rsidR="00D234C9">
        <w:t xml:space="preserve">registration data and </w:t>
      </w:r>
      <w:r w:rsidR="006A6D60">
        <w:t>w</w:t>
      </w:r>
      <w:r w:rsidR="00372F08">
        <w:t>orkforce survey data that is voluntarily completed at the time of registration</w:t>
      </w:r>
      <w:r w:rsidR="00B539FE">
        <w:t>.</w:t>
      </w:r>
      <w:r w:rsidR="001D1A3C">
        <w:rPr>
          <w:rFonts w:ascii="ZWAdobeF" w:hAnsi="ZWAdobeF" w:cs="ZWAdobeF"/>
          <w:sz w:val="2"/>
          <w:szCs w:val="2"/>
        </w:rPr>
        <w:t>57F</w:t>
      </w:r>
      <w:r w:rsidR="005F7EBC">
        <w:rPr>
          <w:rFonts w:ascii="ZWAdobeF" w:hAnsi="ZWAdobeF" w:cs="ZWAdobeF"/>
          <w:sz w:val="2"/>
          <w:szCs w:val="2"/>
        </w:rPr>
        <w:t>69F</w:t>
      </w:r>
      <w:r w:rsidR="00F156B0">
        <w:rPr>
          <w:rStyle w:val="FootnoteReference"/>
        </w:rPr>
        <w:footnoteReference w:id="71"/>
      </w:r>
      <w:r w:rsidR="00BB3418">
        <w:t xml:space="preserve"> </w:t>
      </w:r>
      <w:r w:rsidR="00E315BD">
        <w:t xml:space="preserve">Medical </w:t>
      </w:r>
      <w:r w:rsidR="00D03C14">
        <w:t>p</w:t>
      </w:r>
      <w:r w:rsidR="00E315BD">
        <w:t>hysicists and RPS</w:t>
      </w:r>
      <w:r w:rsidR="00C0021C">
        <w:t>s</w:t>
      </w:r>
      <w:r w:rsidR="00E315BD">
        <w:t xml:space="preserve"> </w:t>
      </w:r>
      <w:r w:rsidR="00E25686">
        <w:t>are not included under the NRAS</w:t>
      </w:r>
      <w:r w:rsidR="005212BD">
        <w:t xml:space="preserve">, as discussed in Section </w:t>
      </w:r>
      <w:r w:rsidR="005212BD">
        <w:fldChar w:fldCharType="begin" w:fldLock="1"/>
      </w:r>
      <w:r w:rsidR="005212BD">
        <w:instrText xml:space="preserve"> REF _Ref181946606 \r \h </w:instrText>
      </w:r>
      <w:r w:rsidR="005212BD">
        <w:fldChar w:fldCharType="separate"/>
      </w:r>
      <w:r w:rsidR="00D35A75">
        <w:t>3.1</w:t>
      </w:r>
      <w:r w:rsidR="005212BD">
        <w:fldChar w:fldCharType="end"/>
      </w:r>
      <w:r w:rsidR="00C0021C">
        <w:t>,</w:t>
      </w:r>
      <w:r w:rsidR="0066382B">
        <w:t xml:space="preserve"> and as such are not included in this dataset. </w:t>
      </w:r>
    </w:p>
    <w:p w14:paraId="55A0209C" w14:textId="6EB79AC4" w:rsidR="008F02AB" w:rsidRPr="00DC27F5" w:rsidRDefault="008F02AB" w:rsidP="00DC27F5">
      <w:pPr>
        <w:pStyle w:val="Heading4"/>
        <w:rPr>
          <w:iCs w:val="0"/>
        </w:rPr>
      </w:pPr>
      <w:r w:rsidRPr="00DC27F5">
        <w:t>Grant report</w:t>
      </w:r>
      <w:r w:rsidR="00A82A6D" w:rsidRPr="00DC27F5">
        <w:t>ing</w:t>
      </w:r>
      <w:r w:rsidRPr="00DC27F5">
        <w:t xml:space="preserve"> requirements </w:t>
      </w:r>
    </w:p>
    <w:p w14:paraId="25BE0A3B" w14:textId="03F3713E" w:rsidR="00A82A6D" w:rsidRDefault="00755B23" w:rsidP="008F02AB">
      <w:pPr>
        <w:pStyle w:val="BodyText"/>
      </w:pPr>
      <w:r>
        <w:t xml:space="preserve">As part of </w:t>
      </w:r>
      <w:r w:rsidR="004F6BD9">
        <w:t xml:space="preserve">grant agreement, ACPSEM is required to provide the following to the Department: </w:t>
      </w:r>
    </w:p>
    <w:p w14:paraId="56CAEDA4" w14:textId="64301DD2" w:rsidR="004F6BD9" w:rsidRDefault="00C242D9" w:rsidP="00584EC6">
      <w:pPr>
        <w:pStyle w:val="BodyText"/>
        <w:numPr>
          <w:ilvl w:val="0"/>
          <w:numId w:val="47"/>
        </w:numPr>
      </w:pPr>
      <w:proofErr w:type="gramStart"/>
      <w:r>
        <w:t>A</w:t>
      </w:r>
      <w:r w:rsidR="00CE55CE">
        <w:t>WP</w:t>
      </w:r>
      <w:r w:rsidR="00417FB9">
        <w:t>;</w:t>
      </w:r>
      <w:proofErr w:type="gramEnd"/>
      <w:r w:rsidR="002B47DF">
        <w:t xml:space="preserve"> </w:t>
      </w:r>
      <w:r>
        <w:t xml:space="preserve"> </w:t>
      </w:r>
    </w:p>
    <w:p w14:paraId="2229FCE6" w14:textId="34A8D153" w:rsidR="00C242D9" w:rsidRDefault="00C242D9" w:rsidP="00584EC6">
      <w:pPr>
        <w:pStyle w:val="BodyText"/>
        <w:numPr>
          <w:ilvl w:val="0"/>
          <w:numId w:val="47"/>
        </w:numPr>
      </w:pPr>
      <w:r>
        <w:t xml:space="preserve">Performance </w:t>
      </w:r>
      <w:proofErr w:type="gramStart"/>
      <w:r>
        <w:t>Report</w:t>
      </w:r>
      <w:r w:rsidR="00417FB9">
        <w:t>;</w:t>
      </w:r>
      <w:proofErr w:type="gramEnd"/>
      <w:r w:rsidR="008606D0">
        <w:t xml:space="preserve"> </w:t>
      </w:r>
    </w:p>
    <w:p w14:paraId="7677D98E" w14:textId="1EE35682" w:rsidR="008606D0" w:rsidRDefault="008606D0" w:rsidP="00584EC6">
      <w:pPr>
        <w:pStyle w:val="BodyText"/>
        <w:numPr>
          <w:ilvl w:val="0"/>
          <w:numId w:val="47"/>
        </w:numPr>
      </w:pPr>
      <w:r>
        <w:t>Financial Acquittal Report</w:t>
      </w:r>
      <w:r w:rsidR="00417FB9">
        <w:t>;</w:t>
      </w:r>
      <w:r>
        <w:t xml:space="preserve"> and </w:t>
      </w:r>
    </w:p>
    <w:p w14:paraId="1C1FEB77" w14:textId="76AB7A8F" w:rsidR="008606D0" w:rsidRDefault="00713C2F" w:rsidP="00584EC6">
      <w:pPr>
        <w:pStyle w:val="BodyText"/>
        <w:numPr>
          <w:ilvl w:val="0"/>
          <w:numId w:val="47"/>
        </w:numPr>
      </w:pPr>
      <w:r>
        <w:t xml:space="preserve">Other reports, including census data for the 2018 grant agreement period. </w:t>
      </w:r>
      <w:r w:rsidR="00A77E3F">
        <w:t xml:space="preserve"> </w:t>
      </w:r>
    </w:p>
    <w:p w14:paraId="40ED1B96" w14:textId="2AF0613B" w:rsidR="00C242D9" w:rsidRDefault="00F4795F" w:rsidP="008F02AB">
      <w:pPr>
        <w:pStyle w:val="BodyText"/>
      </w:pPr>
      <w:r>
        <w:t>AWP</w:t>
      </w:r>
      <w:r w:rsidR="006500F9">
        <w:t>s</w:t>
      </w:r>
      <w:r w:rsidR="00FC7B84">
        <w:t xml:space="preserve"> </w:t>
      </w:r>
      <w:r w:rsidR="00CF416E">
        <w:t>list sub</w:t>
      </w:r>
      <w:r w:rsidR="00CB275C">
        <w:t xml:space="preserve"> activities for each </w:t>
      </w:r>
      <w:r w:rsidR="00847810">
        <w:t xml:space="preserve">funded </w:t>
      </w:r>
      <w:r w:rsidR="00B957FA">
        <w:t>grant activity</w:t>
      </w:r>
      <w:r w:rsidR="00F30CD1">
        <w:t xml:space="preserve"> (section B of the grant agreements), </w:t>
      </w:r>
      <w:r w:rsidR="00107625">
        <w:t>and strategies to meet t</w:t>
      </w:r>
      <w:r w:rsidR="005D4B93">
        <w:t xml:space="preserve">he sub </w:t>
      </w:r>
      <w:r w:rsidR="00A62874">
        <w:t>activity’s</w:t>
      </w:r>
      <w:r w:rsidR="005D4B93">
        <w:t xml:space="preserve"> objective. </w:t>
      </w:r>
      <w:r w:rsidR="00202C89">
        <w:t>P</w:t>
      </w:r>
      <w:r w:rsidR="00943A31">
        <w:t xml:space="preserve">erformance </w:t>
      </w:r>
      <w:r w:rsidR="00CA0FEF">
        <w:t>report</w:t>
      </w:r>
      <w:r w:rsidR="00202C89">
        <w:t>s</w:t>
      </w:r>
      <w:r w:rsidR="00CA0FEF">
        <w:t xml:space="preserve"> th</w:t>
      </w:r>
      <w:r w:rsidR="00347C50">
        <w:t>e</w:t>
      </w:r>
      <w:r w:rsidR="00CA0FEF">
        <w:t xml:space="preserve">n </w:t>
      </w:r>
      <w:r w:rsidR="0055269F">
        <w:t xml:space="preserve">outline ACPSEM’s progress on meeting the </w:t>
      </w:r>
      <w:r>
        <w:t xml:space="preserve">activity objective outlined in the AWP during the period. </w:t>
      </w:r>
      <w:r w:rsidR="00947626">
        <w:t xml:space="preserve">The 2024 AWP outlined </w:t>
      </w:r>
      <w:r w:rsidR="00376738">
        <w:t>20 different sub activities</w:t>
      </w:r>
      <w:r w:rsidR="00347C50">
        <w:t xml:space="preserve"> </w:t>
      </w:r>
      <w:r w:rsidR="00C84D26">
        <w:t>with varying degrees of</w:t>
      </w:r>
      <w:r w:rsidR="00347C50">
        <w:t xml:space="preserve"> </w:t>
      </w:r>
      <w:r w:rsidR="00355A06">
        <w:t xml:space="preserve">alignment to the MPS Program </w:t>
      </w:r>
      <w:r w:rsidR="00A60324">
        <w:t>outcomes</w:t>
      </w:r>
      <w:r w:rsidR="00347C50">
        <w:t>, as</w:t>
      </w:r>
      <w:r w:rsidR="00AC709D">
        <w:t xml:space="preserve"> per the Program Logic</w:t>
      </w:r>
      <w:r w:rsidR="002B5DDD">
        <w:t xml:space="preserve">. </w:t>
      </w:r>
      <w:r w:rsidR="00F62B20">
        <w:t xml:space="preserve">Examples of sub activities include, </w:t>
      </w:r>
      <w:r w:rsidR="00C84D26">
        <w:t>r</w:t>
      </w:r>
      <w:r w:rsidR="00F62B20">
        <w:t xml:space="preserve">eview of Progressive Performance Review system, DIMP – fill small number of </w:t>
      </w:r>
      <w:r w:rsidR="000F4954">
        <w:t>gaps</w:t>
      </w:r>
      <w:r w:rsidR="00F62B20">
        <w:t xml:space="preserve"> in MCQs,</w:t>
      </w:r>
      <w:r w:rsidR="002B5DDD">
        <w:t xml:space="preserve"> </w:t>
      </w:r>
      <w:r w:rsidR="00C84D26">
        <w:t>i</w:t>
      </w:r>
      <w:r w:rsidR="00C84D26" w:rsidRPr="00C84D26">
        <w:t>mplement a revised application process for all disciplines</w:t>
      </w:r>
      <w:r w:rsidR="000F4954">
        <w:t>,</w:t>
      </w:r>
      <w:r w:rsidR="00C84D26">
        <w:t xml:space="preserve"> and r</w:t>
      </w:r>
      <w:r w:rsidR="00C84D26" w:rsidRPr="00C84D26">
        <w:t>andom audit of a minimum of 70 registrants</w:t>
      </w:r>
      <w:r w:rsidR="00C84D26">
        <w:t>.</w:t>
      </w:r>
    </w:p>
    <w:p w14:paraId="124E7EF2" w14:textId="450D09CE" w:rsidR="00474B74" w:rsidRDefault="004C4754" w:rsidP="004C4754">
      <w:pPr>
        <w:pStyle w:val="BodyText"/>
      </w:pPr>
      <w:r>
        <w:t xml:space="preserve">The reporting format, metrics, and required level of detail of program financial and census data changed throughout the review period. </w:t>
      </w:r>
      <w:r w:rsidR="004715C1">
        <w:t>Th</w:t>
      </w:r>
      <w:r w:rsidR="007F74CF">
        <w:t>e</w:t>
      </w:r>
      <w:r w:rsidR="00022ACF">
        <w:t>se</w:t>
      </w:r>
      <w:r w:rsidR="007F74CF">
        <w:t xml:space="preserve"> </w:t>
      </w:r>
      <w:r w:rsidR="0028109A">
        <w:t>inconsistencies</w:t>
      </w:r>
      <w:r w:rsidR="007F74CF">
        <w:t xml:space="preserve"> between reporting periods </w:t>
      </w:r>
      <w:r>
        <w:t>means</w:t>
      </w:r>
      <w:r w:rsidR="00022ACF">
        <w:t xml:space="preserve"> it is difficult to make</w:t>
      </w:r>
      <w:r>
        <w:t xml:space="preserve"> </w:t>
      </w:r>
      <w:r w:rsidR="007F74CF">
        <w:t xml:space="preserve">comparisons and </w:t>
      </w:r>
      <w:r w:rsidR="00022ACF">
        <w:t xml:space="preserve">identify </w:t>
      </w:r>
      <w:r w:rsidR="007F74CF">
        <w:t xml:space="preserve">trends over time. </w:t>
      </w:r>
      <w:r w:rsidR="00E16FD7">
        <w:t>T</w:t>
      </w:r>
      <w:r w:rsidR="00E03617">
        <w:t>he identification of t</w:t>
      </w:r>
      <w:r w:rsidR="00E16FD7">
        <w:t xml:space="preserve">rends over time is </w:t>
      </w:r>
      <w:r w:rsidR="00E03617">
        <w:t xml:space="preserve">made </w:t>
      </w:r>
      <w:r w:rsidR="00E16FD7">
        <w:t>further complicated due to the nature of census data reported</w:t>
      </w:r>
      <w:r w:rsidR="00E03617">
        <w:t>, with</w:t>
      </w:r>
      <w:r w:rsidR="00E16FD7">
        <w:t xml:space="preserve"> </w:t>
      </w:r>
      <w:r w:rsidR="00E03617">
        <w:t>e</w:t>
      </w:r>
      <w:r w:rsidR="00E16FD7">
        <w:t xml:space="preserve">nrolments, </w:t>
      </w:r>
      <w:r w:rsidR="00921458">
        <w:t>drop-outs</w:t>
      </w:r>
      <w:r w:rsidR="00E03617">
        <w:t>,</w:t>
      </w:r>
      <w:r w:rsidR="00921458">
        <w:t xml:space="preserve"> and certifications </w:t>
      </w:r>
      <w:r w:rsidR="0051459D">
        <w:t xml:space="preserve">reported at a point </w:t>
      </w:r>
      <w:r w:rsidR="00E03617">
        <w:t xml:space="preserve">in </w:t>
      </w:r>
      <w:r w:rsidR="0051459D">
        <w:t>time</w:t>
      </w:r>
      <w:r w:rsidR="00E03617">
        <w:t>.</w:t>
      </w:r>
      <w:r w:rsidR="0051459D">
        <w:t xml:space="preserve"> </w:t>
      </w:r>
      <w:r w:rsidR="00E03617">
        <w:t xml:space="preserve">This </w:t>
      </w:r>
      <w:r w:rsidR="0028109A">
        <w:t>limit</w:t>
      </w:r>
      <w:r w:rsidR="00E03617">
        <w:t>s</w:t>
      </w:r>
      <w:r w:rsidR="0028109A">
        <w:t xml:space="preserve"> </w:t>
      </w:r>
      <w:r w:rsidR="008D6B31">
        <w:t>th</w:t>
      </w:r>
      <w:r w:rsidR="001B304F">
        <w:t>e detail</w:t>
      </w:r>
      <w:r w:rsidR="00FB3295">
        <w:t xml:space="preserve"> and </w:t>
      </w:r>
      <w:r w:rsidR="00C76E15">
        <w:t xml:space="preserve">level of analysis </w:t>
      </w:r>
      <w:r w:rsidR="001B304F">
        <w:t xml:space="preserve">that can be </w:t>
      </w:r>
      <w:r w:rsidR="00212B6B">
        <w:t xml:space="preserve">extracted from the data. </w:t>
      </w:r>
    </w:p>
    <w:p w14:paraId="1635A3FF" w14:textId="4C57CE20" w:rsidR="00241D17" w:rsidRPr="00AE349D" w:rsidRDefault="00241D17" w:rsidP="00AE349D">
      <w:pPr>
        <w:pStyle w:val="Heading3"/>
      </w:pPr>
      <w:bookmarkStart w:id="156" w:name="_Toc216711595"/>
      <w:r w:rsidRPr="00AE349D">
        <w:t>Administering the MPS Program</w:t>
      </w:r>
      <w:bookmarkEnd w:id="156"/>
    </w:p>
    <w:p w14:paraId="1D48204C" w14:textId="198D0A00" w:rsidR="00760645" w:rsidRPr="00545E5B" w:rsidRDefault="00760645" w:rsidP="00194457">
      <w:pPr>
        <w:pStyle w:val="Caption"/>
        <w:rPr>
          <w:rFonts w:eastAsiaTheme="minorHAnsi"/>
        </w:rPr>
      </w:pPr>
      <w:r w:rsidRPr="00194457">
        <w:rPr>
          <w:rFonts w:eastAsiaTheme="minorHAnsi" w:cstheme="minorBidi"/>
          <w:color w:val="auto"/>
          <w:szCs w:val="22"/>
          <w:lang w:eastAsia="en-US"/>
        </w:rPr>
        <w:t xml:space="preserve">Section 3.2 outlines the critical role and need for medical physicists, along with the importance of high-quality training to ensure safe outcomes for the public. The MPS Program has provided grants to 91 </w:t>
      </w:r>
      <w:r w:rsidR="00EF4034" w:rsidRPr="00095F74">
        <w:rPr>
          <w:rFonts w:eastAsiaTheme="minorHAnsi" w:cstheme="minorBidi"/>
          <w:color w:val="auto"/>
          <w:szCs w:val="22"/>
          <w:lang w:eastAsia="en-US"/>
        </w:rPr>
        <w:t>R</w:t>
      </w:r>
      <w:r w:rsidRPr="00194457">
        <w:rPr>
          <w:rFonts w:eastAsiaTheme="minorHAnsi" w:cstheme="minorBidi"/>
          <w:color w:val="auto"/>
          <w:szCs w:val="22"/>
          <w:lang w:eastAsia="en-US"/>
        </w:rPr>
        <w:t xml:space="preserve">egistrars out of the 187 enrolling within the 2018 to 2023 period. </w:t>
      </w:r>
      <w:r w:rsidR="00DD65F3" w:rsidRPr="00DD65F3">
        <w:rPr>
          <w:rFonts w:eastAsiaTheme="minorHAnsi" w:cstheme="minorBidi"/>
          <w:i/>
          <w:color w:val="auto"/>
          <w:szCs w:val="22"/>
          <w:lang w:eastAsia="en-US"/>
        </w:rPr>
        <w:fldChar w:fldCharType="begin" w:fldLock="1"/>
      </w:r>
      <w:r w:rsidR="00DD65F3">
        <w:rPr>
          <w:rFonts w:eastAsiaTheme="minorHAnsi" w:cstheme="minorBidi"/>
          <w:color w:val="auto"/>
          <w:szCs w:val="22"/>
          <w:lang w:eastAsia="en-US"/>
        </w:rPr>
        <w:instrText xml:space="preserve"> REF _Ref184390871 \h  \* MERGEFORMAT </w:instrText>
      </w:r>
      <w:r w:rsidR="00DD65F3" w:rsidRPr="00DD65F3">
        <w:rPr>
          <w:rFonts w:eastAsiaTheme="minorHAnsi" w:cstheme="minorBidi"/>
          <w:i/>
          <w:color w:val="auto"/>
          <w:szCs w:val="22"/>
          <w:lang w:eastAsia="en-US"/>
        </w:rPr>
      </w:r>
      <w:r w:rsidR="00DD65F3" w:rsidRPr="00DD65F3">
        <w:rPr>
          <w:rFonts w:eastAsiaTheme="minorHAnsi" w:cstheme="minorBidi"/>
          <w:i/>
          <w:color w:val="auto"/>
          <w:szCs w:val="22"/>
          <w:lang w:eastAsia="en-US"/>
        </w:rPr>
        <w:fldChar w:fldCharType="separate"/>
      </w:r>
      <w:r w:rsidR="00DD65F3" w:rsidRPr="00DD65F3">
        <w:rPr>
          <w:rFonts w:eastAsiaTheme="minorHAnsi" w:cstheme="minorBidi"/>
          <w:color w:val="auto"/>
          <w:szCs w:val="22"/>
          <w:lang w:eastAsia="en-US"/>
        </w:rPr>
        <w:t xml:space="preserve">Figure </w:t>
      </w:r>
      <w:r w:rsidR="00DD65F3" w:rsidRPr="00DD65F3" w:rsidDel="00BA2814">
        <w:rPr>
          <w:rFonts w:eastAsiaTheme="minorHAnsi" w:cstheme="minorBidi"/>
          <w:color w:val="auto"/>
          <w:szCs w:val="22"/>
          <w:lang w:eastAsia="en-US"/>
        </w:rPr>
        <w:t>14</w:t>
      </w:r>
      <w:r w:rsidR="00DD65F3" w:rsidRPr="00DD65F3">
        <w:rPr>
          <w:rFonts w:eastAsiaTheme="minorHAnsi" w:cstheme="minorBidi"/>
          <w:i/>
          <w:color w:val="auto"/>
          <w:szCs w:val="22"/>
          <w:lang w:eastAsia="en-US"/>
        </w:rPr>
        <w:fldChar w:fldCharType="end"/>
      </w:r>
      <w:r w:rsidR="00545E5B" w:rsidRPr="00095F74">
        <w:rPr>
          <w:rFonts w:eastAsiaTheme="minorHAnsi" w:cstheme="minorBidi"/>
          <w:color w:val="auto"/>
          <w:szCs w:val="22"/>
          <w:lang w:eastAsia="en-US"/>
        </w:rPr>
        <w:t xml:space="preserve"> p</w:t>
      </w:r>
      <w:r w:rsidRPr="00545E5B">
        <w:rPr>
          <w:rFonts w:eastAsiaTheme="minorHAnsi" w:cstheme="minorBidi"/>
          <w:color w:val="auto"/>
          <w:szCs w:val="22"/>
          <w:lang w:eastAsia="en-US"/>
        </w:rPr>
        <w:t xml:space="preserve">rovides a yearly breakdown of new enrolments and whether they were a grant recipient. </w:t>
      </w:r>
      <w:r w:rsidR="00497C7C">
        <w:rPr>
          <w:rFonts w:eastAsiaTheme="minorHAnsi" w:cstheme="minorBidi"/>
          <w:color w:val="auto"/>
          <w:szCs w:val="22"/>
          <w:lang w:eastAsia="en-US"/>
        </w:rPr>
        <w:t xml:space="preserve">Noting that </w:t>
      </w:r>
      <w:r w:rsidR="006A5589">
        <w:rPr>
          <w:rFonts w:eastAsiaTheme="minorHAnsi" w:cstheme="minorBidi"/>
          <w:color w:val="auto"/>
          <w:szCs w:val="22"/>
          <w:lang w:eastAsia="en-US"/>
        </w:rPr>
        <w:t>grants each year</w:t>
      </w:r>
      <w:r w:rsidR="00497C7C">
        <w:rPr>
          <w:rFonts w:eastAsiaTheme="minorHAnsi" w:cstheme="minorBidi"/>
          <w:color w:val="auto"/>
          <w:szCs w:val="22"/>
          <w:lang w:eastAsia="en-US"/>
        </w:rPr>
        <w:t xml:space="preserve"> will not align with </w:t>
      </w:r>
      <w:r w:rsidR="00497C7C">
        <w:rPr>
          <w:rFonts w:eastAsiaTheme="minorHAnsi" w:cstheme="minorBidi"/>
          <w:i/>
          <w:color w:val="auto"/>
          <w:szCs w:val="22"/>
          <w:lang w:eastAsia="en-US"/>
        </w:rPr>
        <w:fldChar w:fldCharType="begin" w:fldLock="1"/>
      </w:r>
      <w:r w:rsidR="00497C7C">
        <w:rPr>
          <w:rFonts w:eastAsiaTheme="minorHAnsi" w:cstheme="minorBidi"/>
          <w:color w:val="auto"/>
          <w:szCs w:val="22"/>
          <w:lang w:eastAsia="en-US"/>
        </w:rPr>
        <w:instrText xml:space="preserve"> REF _Ref182815625 \h </w:instrText>
      </w:r>
      <w:r w:rsidR="006A5589">
        <w:rPr>
          <w:rFonts w:eastAsiaTheme="minorHAnsi" w:cstheme="minorBidi"/>
          <w:color w:val="auto"/>
          <w:szCs w:val="22"/>
          <w:lang w:eastAsia="en-US"/>
        </w:rPr>
        <w:instrText xml:space="preserve"> \* MERGEFORMAT </w:instrText>
      </w:r>
      <w:r w:rsidR="00497C7C">
        <w:rPr>
          <w:rFonts w:eastAsiaTheme="minorHAnsi" w:cstheme="minorBidi"/>
          <w:i/>
          <w:color w:val="auto"/>
          <w:szCs w:val="22"/>
          <w:lang w:eastAsia="en-US"/>
        </w:rPr>
      </w:r>
      <w:r w:rsidR="00497C7C">
        <w:rPr>
          <w:rFonts w:eastAsiaTheme="minorHAnsi" w:cstheme="minorBidi"/>
          <w:i/>
          <w:color w:val="auto"/>
          <w:szCs w:val="22"/>
          <w:lang w:eastAsia="en-US"/>
        </w:rPr>
        <w:fldChar w:fldCharType="separate"/>
      </w:r>
      <w:r w:rsidR="00497C7C" w:rsidRPr="00194457">
        <w:rPr>
          <w:rFonts w:eastAsiaTheme="minorHAnsi" w:cstheme="minorBidi"/>
          <w:color w:val="auto"/>
          <w:szCs w:val="22"/>
          <w:lang w:eastAsia="en-US"/>
        </w:rPr>
        <w:t>Fig</w:t>
      </w:r>
      <w:bookmarkStart w:id="157" w:name="_Hlt184390880"/>
      <w:bookmarkStart w:id="158" w:name="_Hlt184390881"/>
      <w:r w:rsidR="00497C7C" w:rsidRPr="00194457">
        <w:rPr>
          <w:rFonts w:eastAsiaTheme="minorHAnsi" w:cstheme="minorBidi"/>
          <w:color w:val="auto"/>
          <w:szCs w:val="22"/>
          <w:lang w:eastAsia="en-US"/>
        </w:rPr>
        <w:t>u</w:t>
      </w:r>
      <w:bookmarkEnd w:id="157"/>
      <w:bookmarkEnd w:id="158"/>
      <w:r w:rsidR="00497C7C" w:rsidRPr="00194457">
        <w:rPr>
          <w:rFonts w:eastAsiaTheme="minorHAnsi" w:cstheme="minorBidi"/>
          <w:color w:val="auto"/>
          <w:szCs w:val="22"/>
          <w:lang w:eastAsia="en-US"/>
        </w:rPr>
        <w:t>re 10</w:t>
      </w:r>
      <w:r w:rsidR="00497C7C">
        <w:rPr>
          <w:rFonts w:eastAsiaTheme="minorHAnsi" w:cstheme="minorBidi"/>
          <w:i/>
          <w:color w:val="auto"/>
          <w:szCs w:val="22"/>
          <w:lang w:eastAsia="en-US"/>
        </w:rPr>
        <w:fldChar w:fldCharType="end"/>
      </w:r>
      <w:r w:rsidR="00497C7C">
        <w:rPr>
          <w:rFonts w:eastAsiaTheme="minorHAnsi" w:cstheme="minorBidi"/>
          <w:color w:val="auto"/>
          <w:szCs w:val="22"/>
          <w:lang w:eastAsia="en-US"/>
        </w:rPr>
        <w:t xml:space="preserve"> as </w:t>
      </w:r>
      <w:r w:rsidR="006A5589">
        <w:rPr>
          <w:rFonts w:eastAsiaTheme="minorHAnsi" w:cstheme="minorBidi"/>
          <w:color w:val="auto"/>
          <w:szCs w:val="22"/>
          <w:lang w:eastAsia="en-US"/>
        </w:rPr>
        <w:t xml:space="preserve">the Registrar associated with the </w:t>
      </w:r>
      <w:r w:rsidR="00FD41DF">
        <w:rPr>
          <w:rFonts w:eastAsiaTheme="minorHAnsi" w:cstheme="minorBidi"/>
          <w:color w:val="auto"/>
          <w:szCs w:val="22"/>
          <w:lang w:eastAsia="en-US"/>
        </w:rPr>
        <w:t xml:space="preserve">grant may have already commenced TEAP or </w:t>
      </w:r>
      <w:r w:rsidR="006A5589">
        <w:rPr>
          <w:rFonts w:eastAsiaTheme="minorHAnsi" w:cstheme="minorBidi"/>
          <w:color w:val="auto"/>
          <w:szCs w:val="22"/>
          <w:lang w:eastAsia="en-US"/>
        </w:rPr>
        <w:t xml:space="preserve">will be commencing TEAP in the subsequent year. </w:t>
      </w:r>
    </w:p>
    <w:p w14:paraId="40C73BBF" w14:textId="48195464" w:rsidR="009858A7" w:rsidRDefault="009858A7" w:rsidP="009858A7">
      <w:pPr>
        <w:pStyle w:val="Caption"/>
      </w:pPr>
      <w:bookmarkStart w:id="159" w:name="_Ref182815652"/>
      <w:bookmarkStart w:id="160" w:name="_Ref184132654"/>
      <w:bookmarkStart w:id="161" w:name="_Ref184390871"/>
      <w:bookmarkStart w:id="162" w:name="_Ref181955379"/>
      <w:bookmarkStart w:id="163" w:name="_Ref182331870"/>
      <w:r>
        <w:t xml:space="preserve">Figure </w:t>
      </w:r>
      <w:r>
        <w:fldChar w:fldCharType="begin"/>
      </w:r>
      <w:r>
        <w:instrText xml:space="preserve"> SEQ Figure \* ARABIC </w:instrText>
      </w:r>
      <w:r>
        <w:fldChar w:fldCharType="separate"/>
      </w:r>
      <w:r w:rsidR="005F7EBC">
        <w:rPr>
          <w:noProof/>
        </w:rPr>
        <w:t>14</w:t>
      </w:r>
      <w:r>
        <w:fldChar w:fldCharType="end"/>
      </w:r>
      <w:bookmarkEnd w:id="159"/>
      <w:bookmarkEnd w:id="160"/>
      <w:bookmarkEnd w:id="161"/>
      <w:r>
        <w:t xml:space="preserve">: </w:t>
      </w:r>
      <w:r w:rsidRPr="009D27F3">
        <w:t>New enrolment</w:t>
      </w:r>
      <w:r w:rsidR="004A0923">
        <w:t>s by</w:t>
      </w:r>
      <w:r w:rsidRPr="009D27F3">
        <w:t xml:space="preserve"> grant </w:t>
      </w:r>
      <w:r w:rsidR="004A0923">
        <w:t xml:space="preserve">status and Registrar </w:t>
      </w:r>
      <w:r w:rsidR="00497C7C">
        <w:t>commencement year</w:t>
      </w:r>
      <w:r w:rsidRPr="009D27F3">
        <w:t>, 2018-2023</w:t>
      </w:r>
    </w:p>
    <w:bookmarkEnd w:id="162"/>
    <w:bookmarkEnd w:id="163"/>
    <w:p w14:paraId="730BD25B" w14:textId="77777777" w:rsidR="00760645" w:rsidRDefault="00760645" w:rsidP="00D92B98">
      <w:pPr>
        <w:pStyle w:val="BodyText"/>
        <w:jc w:val="center"/>
      </w:pPr>
      <w:r>
        <w:rPr>
          <w:noProof/>
        </w:rPr>
        <w:drawing>
          <wp:inline distT="0" distB="0" distL="0" distR="0" wp14:anchorId="789C5EB8" wp14:editId="5FDBD8FC">
            <wp:extent cx="3419475" cy="2047875"/>
            <wp:effectExtent l="0" t="0" r="0" b="0"/>
            <wp:docPr id="762932380" name="Chart 1" descr="Figure 14 is a bar chart which shows New enrolments by grnat status and Registrar commencement year 2018 - 2023.&#10;2018 - 8 received a grant, 24 no grant&#10;2019 - 24 received a grant, 12 no grant&#10;2020 - 16 received a grant, 12 no grant&#10;2021 - 13 received a grant, 14 no grant&#10;2022 - 14 received a grant, 19 no grant&#10;2023 - 16 received a grant, 15 no grant. ">
              <a:extLst xmlns:a="http://schemas.openxmlformats.org/drawingml/2006/main">
                <a:ext uri="{FF2B5EF4-FFF2-40B4-BE49-F238E27FC236}">
                  <a16:creationId xmlns:a16="http://schemas.microsoft.com/office/drawing/2014/main" id="{1DD5DF59-86E7-45F3-B06A-94ABA47F14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FD2D967" w14:textId="024A3DF6" w:rsidR="00D46EE1" w:rsidRPr="00CA1835" w:rsidRDefault="004E6915" w:rsidP="00D46EE1">
      <w:pPr>
        <w:pStyle w:val="Caption"/>
        <w:rPr>
          <w:szCs w:val="24"/>
        </w:rPr>
      </w:pPr>
      <w:r>
        <w:rPr>
          <w:szCs w:val="24"/>
        </w:rPr>
        <w:t>S</w:t>
      </w:r>
      <w:r w:rsidRPr="00074AC0">
        <w:rPr>
          <w:szCs w:val="24"/>
        </w:rPr>
        <w:t xml:space="preserve">ource: </w:t>
      </w:r>
      <w:r>
        <w:rPr>
          <w:szCs w:val="24"/>
        </w:rPr>
        <w:t>KPMG analysis of ACPSEM provided Registrar data</w:t>
      </w:r>
    </w:p>
    <w:p w14:paraId="188E9121" w14:textId="1106FA22" w:rsidR="001A5920" w:rsidRPr="001A5920" w:rsidRDefault="00CA1835" w:rsidP="00911F7D">
      <w:pPr>
        <w:pStyle w:val="BodyText"/>
        <w:rPr>
          <w:lang w:eastAsia="en-AU"/>
        </w:rPr>
      </w:pPr>
      <w:bookmarkStart w:id="164" w:name="_Ref181955747"/>
      <w:r>
        <w:t xml:space="preserve">Furthermore, consultations with ACPSEM highlighted the importance of </w:t>
      </w:r>
      <w:r w:rsidR="00FD5E88">
        <w:t xml:space="preserve">Commonwealth </w:t>
      </w:r>
      <w:r>
        <w:t>funding to run operations. This was supported with ACPSEM 2023 Financial Statements</w:t>
      </w:r>
      <w:r w:rsidR="00A14AE5">
        <w:t>,</w:t>
      </w:r>
      <w:r>
        <w:t xml:space="preserve"> </w:t>
      </w:r>
      <w:r w:rsidR="00A14AE5">
        <w:t xml:space="preserve">which show </w:t>
      </w:r>
      <w:r>
        <w:t xml:space="preserve">that </w:t>
      </w:r>
      <w:r w:rsidR="00A14AE5">
        <w:t>in the 2022 and 2023 financial years</w:t>
      </w:r>
      <w:r w:rsidR="005C1893">
        <w:t xml:space="preserve"> (FYs)</w:t>
      </w:r>
      <w:r>
        <w:t>,</w:t>
      </w:r>
      <w:r w:rsidR="00A14AE5">
        <w:t xml:space="preserve"> </w:t>
      </w:r>
      <w:r>
        <w:t>the MPS Program equated to 59.9% and 58.4% of ACPSEM’s total revenue</w:t>
      </w:r>
      <w:r w:rsidR="00161B34">
        <w:t xml:space="preserve"> </w:t>
      </w:r>
      <w:r w:rsidR="00930F76">
        <w:t>respectfully</w:t>
      </w:r>
      <w:r w:rsidR="00A900E0">
        <w:t xml:space="preserve">, and </w:t>
      </w:r>
      <w:r w:rsidR="00390265">
        <w:t>60.5% and 61.0% of operational revenue</w:t>
      </w:r>
      <w:r>
        <w:t>.</w:t>
      </w:r>
      <w:r w:rsidR="00A32F8C">
        <w:t xml:space="preserve"> This does not consider the</w:t>
      </w:r>
      <w:r w:rsidR="00A32F8C" w:rsidRPr="000E0795">
        <w:t xml:space="preserve"> Medical Physicists Trainee Support stream funding</w:t>
      </w:r>
      <w:r w:rsidR="00A32F8C">
        <w:t xml:space="preserve"> as this is assumed to be pass through only.</w:t>
      </w:r>
      <w:r>
        <w:t xml:space="preserve"> A detailed breakdown </w:t>
      </w:r>
      <w:r w:rsidR="00911F7D">
        <w:t xml:space="preserve">of </w:t>
      </w:r>
      <w:r>
        <w:t>ACPSEM</w:t>
      </w:r>
      <w:r w:rsidR="00A900E0">
        <w:t xml:space="preserve"> total</w:t>
      </w:r>
      <w:r>
        <w:t xml:space="preserve"> revenue is shown in </w:t>
      </w:r>
      <w:r w:rsidR="00E54A9F">
        <w:fldChar w:fldCharType="begin" w:fldLock="1"/>
      </w:r>
      <w:r w:rsidR="00E54A9F">
        <w:instrText xml:space="preserve"> REF _Ref182815700 \h </w:instrText>
      </w:r>
      <w:r w:rsidR="00E54A9F">
        <w:fldChar w:fldCharType="separate"/>
      </w:r>
      <w:r w:rsidR="00D35A75">
        <w:t xml:space="preserve">Figure </w:t>
      </w:r>
      <w:r w:rsidR="00DD65F3" w:rsidDel="00BA2814">
        <w:rPr>
          <w:noProof/>
        </w:rPr>
        <w:t>15</w:t>
      </w:r>
      <w:r w:rsidR="00E54A9F">
        <w:fldChar w:fldCharType="end"/>
      </w:r>
      <w:r w:rsidR="00E54A9F">
        <w:t xml:space="preserve"> </w:t>
      </w:r>
      <w:r>
        <w:t>and</w:t>
      </w:r>
      <w:r w:rsidR="00E54A9F">
        <w:t xml:space="preserve"> </w:t>
      </w:r>
      <w:r w:rsidR="00E54A9F">
        <w:fldChar w:fldCharType="begin" w:fldLock="1"/>
      </w:r>
      <w:r w:rsidR="00E54A9F">
        <w:instrText xml:space="preserve"> REF _Ref182815708 \h </w:instrText>
      </w:r>
      <w:r w:rsidR="00E54A9F">
        <w:fldChar w:fldCharType="separate"/>
      </w:r>
      <w:r w:rsidR="00D35A75">
        <w:t xml:space="preserve">Figure </w:t>
      </w:r>
      <w:r w:rsidR="00DD65F3" w:rsidDel="00BA2814">
        <w:rPr>
          <w:noProof/>
        </w:rPr>
        <w:t>16</w:t>
      </w:r>
      <w:r w:rsidR="00E54A9F">
        <w:fldChar w:fldCharType="end"/>
      </w:r>
      <w:r>
        <w:t>.</w:t>
      </w:r>
    </w:p>
    <w:tbl>
      <w:tblPr>
        <w:tblStyle w:val="TableGrid"/>
        <w:tblW w:w="0" w:type="auto"/>
        <w:tblLook w:val="04A0" w:firstRow="1" w:lastRow="0" w:firstColumn="1" w:lastColumn="0" w:noHBand="0" w:noVBand="1"/>
      </w:tblPr>
      <w:tblGrid>
        <w:gridCol w:w="4819"/>
        <w:gridCol w:w="4819"/>
      </w:tblGrid>
      <w:tr w:rsidR="005B4833" w:rsidRPr="005B4833" w14:paraId="089E8A48" w14:textId="77777777" w:rsidTr="00A17C75">
        <w:trPr>
          <w:cnfStyle w:val="100000000000" w:firstRow="1" w:lastRow="0" w:firstColumn="0" w:lastColumn="0" w:oddVBand="0" w:evenVBand="0" w:oddHBand="0" w:evenHBand="0" w:firstRowFirstColumn="0" w:firstRowLastColumn="0" w:lastRowFirstColumn="0" w:lastRowLastColumn="0"/>
        </w:trPr>
        <w:tc>
          <w:tcPr>
            <w:tcW w:w="4819" w:type="dxa"/>
          </w:tcPr>
          <w:p w14:paraId="373A42C2" w14:textId="0497162E" w:rsidR="009858A7" w:rsidRPr="005B4833" w:rsidRDefault="009858A7" w:rsidP="009858A7">
            <w:pPr>
              <w:pStyle w:val="Caption"/>
              <w:rPr>
                <w:color w:val="FFFFFF" w:themeColor="background1"/>
              </w:rPr>
            </w:pPr>
            <w:bookmarkStart w:id="165" w:name="_Ref182815700"/>
            <w:r w:rsidRPr="005B4833">
              <w:rPr>
                <w:color w:val="FFFFFF" w:themeColor="background1"/>
              </w:rPr>
              <w:t xml:space="preserve">Figure </w:t>
            </w:r>
            <w:r w:rsidRPr="005B4833">
              <w:rPr>
                <w:color w:val="FFFFFF" w:themeColor="background1"/>
              </w:rPr>
              <w:fldChar w:fldCharType="begin"/>
            </w:r>
            <w:r w:rsidRPr="005B4833">
              <w:rPr>
                <w:color w:val="FFFFFF" w:themeColor="background1"/>
              </w:rPr>
              <w:instrText>SEQ Figure \* ARABIC</w:instrText>
            </w:r>
            <w:r w:rsidRPr="005B4833">
              <w:rPr>
                <w:color w:val="FFFFFF" w:themeColor="background1"/>
              </w:rPr>
              <w:fldChar w:fldCharType="separate"/>
            </w:r>
            <w:r w:rsidR="005F7EBC" w:rsidRPr="005B4833">
              <w:rPr>
                <w:noProof/>
                <w:color w:val="FFFFFF" w:themeColor="background1"/>
              </w:rPr>
              <w:t>15</w:t>
            </w:r>
            <w:r w:rsidRPr="005B4833">
              <w:rPr>
                <w:color w:val="FFFFFF" w:themeColor="background1"/>
              </w:rPr>
              <w:fldChar w:fldCharType="end"/>
            </w:r>
            <w:bookmarkEnd w:id="165"/>
            <w:r w:rsidRPr="005B4833">
              <w:rPr>
                <w:color w:val="FFFFFF" w:themeColor="background1"/>
              </w:rPr>
              <w:t xml:space="preserve">: ACPSEM total revenue split, </w:t>
            </w:r>
            <w:r w:rsidR="005C1893" w:rsidRPr="005B4833">
              <w:rPr>
                <w:color w:val="FFFFFF" w:themeColor="background1"/>
              </w:rPr>
              <w:t>FY</w:t>
            </w:r>
            <w:r w:rsidRPr="005B4833">
              <w:rPr>
                <w:color w:val="FFFFFF" w:themeColor="background1"/>
              </w:rPr>
              <w:t>2022</w:t>
            </w:r>
          </w:p>
          <w:p w14:paraId="5CAC8BD1" w14:textId="2885792E" w:rsidR="00551553" w:rsidRPr="005B4833" w:rsidRDefault="00551553" w:rsidP="00551553">
            <w:pPr>
              <w:pStyle w:val="BodyText"/>
              <w:rPr>
                <w:lang w:eastAsia="en-AU"/>
              </w:rPr>
            </w:pPr>
            <w:r w:rsidRPr="005B4833">
              <w:rPr>
                <w:noProof/>
              </w:rPr>
              <w:drawing>
                <wp:inline distT="0" distB="0" distL="0" distR="0" wp14:anchorId="2386A790" wp14:editId="0DBDABD0">
                  <wp:extent cx="2881222" cy="2053087"/>
                  <wp:effectExtent l="0" t="0" r="0" b="0"/>
                  <wp:docPr id="1887541700" name="Chart 1" descr="Figure 15 is a pie chart which shows ACPSEM total revenue split FY2022&#10;Government Grants - 60%&#10;TEAP Fees - 16%&#10;Membership Subscription Fees - 12%&#10;Accreditation and Certification Fees - 1%&#10;Other - 11%">
                    <a:extLst xmlns:a="http://schemas.openxmlformats.org/drawingml/2006/main">
                      <a:ext uri="{FF2B5EF4-FFF2-40B4-BE49-F238E27FC236}">
                        <a16:creationId xmlns:a16="http://schemas.microsoft.com/office/drawing/2014/main" id="{61B9FF22-399B-6F7B-1E8C-A87C48FC0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4DEEF16" w14:textId="41A992BB" w:rsidR="00551553" w:rsidRPr="005B4833" w:rsidRDefault="00551553" w:rsidP="00194457">
            <w:pPr>
              <w:pStyle w:val="Caption"/>
              <w:rPr>
                <w:color w:val="FFFFFF" w:themeColor="background1"/>
              </w:rPr>
            </w:pPr>
            <w:r w:rsidRPr="005B4833">
              <w:rPr>
                <w:color w:val="FFFFFF" w:themeColor="background1"/>
                <w:szCs w:val="24"/>
              </w:rPr>
              <w:t xml:space="preserve">Source: KPMG analysis of ACPSEM’s publicly available of financial statements </w:t>
            </w:r>
          </w:p>
        </w:tc>
        <w:tc>
          <w:tcPr>
            <w:tcW w:w="4819" w:type="dxa"/>
          </w:tcPr>
          <w:p w14:paraId="044C25C5" w14:textId="4386B445" w:rsidR="009858A7" w:rsidRPr="005B4833" w:rsidRDefault="009858A7" w:rsidP="009858A7">
            <w:pPr>
              <w:pStyle w:val="Caption"/>
              <w:rPr>
                <w:color w:val="FFFFFF" w:themeColor="background1"/>
              </w:rPr>
            </w:pPr>
            <w:bookmarkStart w:id="166" w:name="_Ref182815708"/>
            <w:bookmarkStart w:id="167" w:name="_Ref181955759"/>
            <w:r w:rsidRPr="005B4833">
              <w:rPr>
                <w:color w:val="FFFFFF" w:themeColor="background1"/>
              </w:rPr>
              <w:t xml:space="preserve">Figure </w:t>
            </w:r>
            <w:r w:rsidRPr="005B4833">
              <w:rPr>
                <w:color w:val="FFFFFF" w:themeColor="background1"/>
              </w:rPr>
              <w:fldChar w:fldCharType="begin"/>
            </w:r>
            <w:r w:rsidRPr="005B4833">
              <w:rPr>
                <w:color w:val="FFFFFF" w:themeColor="background1"/>
              </w:rPr>
              <w:instrText>SEQ Figure \* ARABIC</w:instrText>
            </w:r>
            <w:r w:rsidRPr="005B4833">
              <w:rPr>
                <w:color w:val="FFFFFF" w:themeColor="background1"/>
              </w:rPr>
              <w:fldChar w:fldCharType="separate"/>
            </w:r>
            <w:r w:rsidR="005F7EBC" w:rsidRPr="005B4833">
              <w:rPr>
                <w:noProof/>
                <w:color w:val="FFFFFF" w:themeColor="background1"/>
              </w:rPr>
              <w:t>16</w:t>
            </w:r>
            <w:r w:rsidRPr="005B4833">
              <w:rPr>
                <w:color w:val="FFFFFF" w:themeColor="background1"/>
              </w:rPr>
              <w:fldChar w:fldCharType="end"/>
            </w:r>
            <w:bookmarkEnd w:id="166"/>
            <w:r w:rsidRPr="005B4833">
              <w:rPr>
                <w:color w:val="FFFFFF" w:themeColor="background1"/>
              </w:rPr>
              <w:t xml:space="preserve">: ACPSEM total revenue split, </w:t>
            </w:r>
            <w:r w:rsidR="005C1893" w:rsidRPr="005B4833">
              <w:rPr>
                <w:color w:val="FFFFFF" w:themeColor="background1"/>
              </w:rPr>
              <w:t>FY</w:t>
            </w:r>
            <w:r w:rsidRPr="005B4833">
              <w:rPr>
                <w:color w:val="FFFFFF" w:themeColor="background1"/>
              </w:rPr>
              <w:t>2023</w:t>
            </w:r>
          </w:p>
          <w:bookmarkEnd w:id="167"/>
          <w:p w14:paraId="0444757C" w14:textId="77777777" w:rsidR="00551553" w:rsidRPr="005B4833" w:rsidRDefault="00551553" w:rsidP="00551553">
            <w:pPr>
              <w:pStyle w:val="BodyText"/>
              <w:rPr>
                <w:rFonts w:eastAsia="Times New Roman" w:cs="Times New Roman"/>
                <w:bCs/>
                <w:i/>
                <w:sz w:val="18"/>
                <w:szCs w:val="20"/>
                <w:lang w:eastAsia="en-AU"/>
              </w:rPr>
            </w:pPr>
            <w:r w:rsidRPr="005B4833">
              <w:rPr>
                <w:noProof/>
              </w:rPr>
              <w:drawing>
                <wp:inline distT="0" distB="0" distL="0" distR="0" wp14:anchorId="65E092A7" wp14:editId="01F9F5B8">
                  <wp:extent cx="2914650" cy="2038350"/>
                  <wp:effectExtent l="0" t="0" r="0" b="0"/>
                  <wp:docPr id="868825875" name="Chart 2" descr="Figure 16 is a pie chart which shows ACPSEM total revenue split FY2023&#10;Government Grants - 58%&#10;TEAP Fees - 15%&#10;Membership Subscription Fees - 12%&#10;Accreditation and Certification Fees - 2%&#10;Other - 13%">
                    <a:extLst xmlns:a="http://schemas.openxmlformats.org/drawingml/2006/main">
                      <a:ext uri="{FF2B5EF4-FFF2-40B4-BE49-F238E27FC236}">
                        <a16:creationId xmlns:a16="http://schemas.microsoft.com/office/drawing/2014/main" id="{638BE69D-9A96-421A-A534-EE8A5A84F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786C773" w14:textId="056F8DE6" w:rsidR="00551553" w:rsidRPr="005B4833" w:rsidRDefault="00551553" w:rsidP="009858A7">
            <w:pPr>
              <w:pStyle w:val="Caption"/>
              <w:rPr>
                <w:color w:val="FFFFFF" w:themeColor="background1"/>
                <w:szCs w:val="24"/>
              </w:rPr>
            </w:pPr>
            <w:r w:rsidRPr="005B4833">
              <w:rPr>
                <w:color w:val="FFFFFF" w:themeColor="background1"/>
                <w:szCs w:val="24"/>
              </w:rPr>
              <w:t xml:space="preserve">Source: KPMG analysis of ACPSEM’s publicly available of financial statements </w:t>
            </w:r>
          </w:p>
        </w:tc>
      </w:tr>
    </w:tbl>
    <w:bookmarkEnd w:id="164"/>
    <w:p w14:paraId="29F73192" w14:textId="755EA62D" w:rsidR="00CE7B24" w:rsidRPr="005B4833" w:rsidRDefault="00BC79D4" w:rsidP="005B4833">
      <w:pPr>
        <w:pStyle w:val="BodyText"/>
      </w:pPr>
      <w:r w:rsidRPr="00C821B0">
        <w:t xml:space="preserve">Under ACPSEM’s current funding strategy, there is a reliance on </w:t>
      </w:r>
      <w:r w:rsidR="00B41521" w:rsidRPr="00C821B0">
        <w:t xml:space="preserve">the MPS Program funding. </w:t>
      </w:r>
      <w:r w:rsidR="00693EAE" w:rsidRPr="00C821B0">
        <w:t>Future f</w:t>
      </w:r>
      <w:r w:rsidR="008F183C" w:rsidRPr="00C821B0">
        <w:t xml:space="preserve">unding changes </w:t>
      </w:r>
      <w:r w:rsidR="00693EAE" w:rsidRPr="00C821B0">
        <w:t xml:space="preserve">to the MPS Program should consider the implications on </w:t>
      </w:r>
      <w:r w:rsidR="0034647E" w:rsidRPr="00C821B0">
        <w:t>ACPSEM</w:t>
      </w:r>
      <w:r w:rsidR="00693EAE" w:rsidRPr="00C821B0">
        <w:t xml:space="preserve">’s operations and the </w:t>
      </w:r>
      <w:r w:rsidR="00C821B0" w:rsidRPr="00C821B0">
        <w:t>continued delivery of TEAP</w:t>
      </w:r>
      <w:r w:rsidR="00693EAE" w:rsidRPr="00C821B0">
        <w:t>.</w:t>
      </w:r>
    </w:p>
    <w:p w14:paraId="23BB1B80" w14:textId="5370D062" w:rsidR="00760645" w:rsidRPr="007D7A37" w:rsidRDefault="00760645" w:rsidP="00DC27F5">
      <w:pPr>
        <w:pStyle w:val="Heading4"/>
      </w:pPr>
      <w:r w:rsidRPr="00DC27F5">
        <w:t>Jurisdictions</w:t>
      </w:r>
    </w:p>
    <w:p w14:paraId="0DBD7EA7" w14:textId="7DC33A30" w:rsidR="000B1677" w:rsidRDefault="009B55EA" w:rsidP="00760645">
      <w:pPr>
        <w:pStyle w:val="BodyText"/>
      </w:pPr>
      <w:r>
        <w:t>Section</w:t>
      </w:r>
      <w:r w:rsidR="0028182B">
        <w:t xml:space="preserve"> </w:t>
      </w:r>
      <w:r w:rsidR="0028182B">
        <w:fldChar w:fldCharType="begin" w:fldLock="1"/>
      </w:r>
      <w:r w:rsidR="0028182B">
        <w:instrText xml:space="preserve"> REF _Ref181947110 \r \h </w:instrText>
      </w:r>
      <w:r w:rsidR="0028182B">
        <w:fldChar w:fldCharType="separate"/>
      </w:r>
      <w:r w:rsidR="00D35A75">
        <w:t>3.2.2</w:t>
      </w:r>
      <w:r w:rsidR="0028182B">
        <w:fldChar w:fldCharType="end"/>
      </w:r>
      <w:r w:rsidR="00C47AB5">
        <w:t xml:space="preserve"> </w:t>
      </w:r>
      <w:r w:rsidR="00A8573A">
        <w:t xml:space="preserve">details </w:t>
      </w:r>
      <w:r w:rsidR="009C476A">
        <w:t xml:space="preserve">how the MPS Program </w:t>
      </w:r>
      <w:r w:rsidR="00DA3E55">
        <w:t xml:space="preserve">aligns with other </w:t>
      </w:r>
      <w:r w:rsidR="00DE59A3">
        <w:t xml:space="preserve">Commonwealth and </w:t>
      </w:r>
      <w:r w:rsidR="006853E4">
        <w:t xml:space="preserve">state/territory </w:t>
      </w:r>
      <w:r w:rsidR="00DE59A3">
        <w:t xml:space="preserve">initiatives. </w:t>
      </w:r>
      <w:r w:rsidR="006C6A6E">
        <w:t xml:space="preserve">Consultations further highlighted </w:t>
      </w:r>
      <w:r w:rsidR="00B952C8">
        <w:t xml:space="preserve">the varying </w:t>
      </w:r>
      <w:r w:rsidR="005D07F7">
        <w:t xml:space="preserve">approaches to </w:t>
      </w:r>
      <w:r w:rsidR="00021D88">
        <w:t>supporting the</w:t>
      </w:r>
      <w:r w:rsidR="00641D5C">
        <w:t xml:space="preserve"> medical physicist workforc</w:t>
      </w:r>
      <w:r w:rsidR="00B1531E">
        <w:t>e</w:t>
      </w:r>
      <w:r w:rsidR="007F496A">
        <w:t xml:space="preserve">, including </w:t>
      </w:r>
      <w:r w:rsidR="00B1531E">
        <w:t xml:space="preserve">the </w:t>
      </w:r>
      <w:r w:rsidR="004D0A4B">
        <w:t xml:space="preserve">level of state funded </w:t>
      </w:r>
      <w:r w:rsidR="008673BC">
        <w:t xml:space="preserve">support </w:t>
      </w:r>
      <w:r w:rsidR="005572A3">
        <w:t>programs</w:t>
      </w:r>
      <w:r w:rsidR="007F496A">
        <w:t xml:space="preserve"> and roles </w:t>
      </w:r>
      <w:r w:rsidR="008673BC">
        <w:t xml:space="preserve">and </w:t>
      </w:r>
      <w:r w:rsidR="007F496A">
        <w:t xml:space="preserve">the </w:t>
      </w:r>
      <w:r w:rsidR="00D80C82">
        <w:t>r</w:t>
      </w:r>
      <w:r w:rsidR="00A57C4C">
        <w:t>emuneration</w:t>
      </w:r>
      <w:r w:rsidR="007F496A">
        <w:t xml:space="preserve"> outlined in enterprise agreements. </w:t>
      </w:r>
      <w:r w:rsidR="008673BC">
        <w:t xml:space="preserve"> </w:t>
      </w:r>
      <w:r w:rsidR="002F4BEF">
        <w:t>A theme from</w:t>
      </w:r>
      <w:r w:rsidR="00833CBB">
        <w:t xml:space="preserve"> many </w:t>
      </w:r>
      <w:r w:rsidR="002F4BEF">
        <w:t xml:space="preserve">consultations was the significance of </w:t>
      </w:r>
      <w:r w:rsidR="003D5B80">
        <w:t>a</w:t>
      </w:r>
      <w:r w:rsidR="002F4BEF">
        <w:t xml:space="preserve"> preceptor role</w:t>
      </w:r>
      <w:r w:rsidR="00432BED">
        <w:t>, with one survey respondent suggest</w:t>
      </w:r>
      <w:r w:rsidR="005D5EFA">
        <w:t>ing to “</w:t>
      </w:r>
      <w:r w:rsidR="005D5EFA" w:rsidRPr="005D5EFA">
        <w:t xml:space="preserve">have a state-based preceptor for each TEAP </w:t>
      </w:r>
      <w:r w:rsidR="005D5EFA">
        <w:t>specialty”. P</w:t>
      </w:r>
      <w:r w:rsidR="00A03378">
        <w:t xml:space="preserve">rivate facilities </w:t>
      </w:r>
      <w:r w:rsidR="00B44226">
        <w:t>employ</w:t>
      </w:r>
      <w:r w:rsidR="00A03378">
        <w:t xml:space="preserve"> a national preceptor for their </w:t>
      </w:r>
      <w:r w:rsidR="005D5EFA">
        <w:t>R</w:t>
      </w:r>
      <w:r w:rsidR="00A03378">
        <w:t>egistrars</w:t>
      </w:r>
      <w:r w:rsidR="005D5EFA">
        <w:t xml:space="preserve"> </w:t>
      </w:r>
      <w:proofErr w:type="gramStart"/>
      <w:r w:rsidR="005D5EFA">
        <w:t>however,</w:t>
      </w:r>
      <w:proofErr w:type="gramEnd"/>
      <w:r w:rsidR="005D5EFA">
        <w:t xml:space="preserve"> </w:t>
      </w:r>
      <w:r w:rsidR="00A03378">
        <w:t>public facilities rely on</w:t>
      </w:r>
      <w:r w:rsidR="00B44226">
        <w:t xml:space="preserve"> there being a state funded role</w:t>
      </w:r>
      <w:r w:rsidR="001614B9">
        <w:t xml:space="preserve"> which varies for each </w:t>
      </w:r>
      <w:r w:rsidR="005D5EFA">
        <w:t>jurisdiction</w:t>
      </w:r>
      <w:r w:rsidR="001614B9">
        <w:t xml:space="preserve">. </w:t>
      </w:r>
      <w:r w:rsidR="000B1677">
        <w:t xml:space="preserve">This was particularly noticed in consultations with Victorian Supervisors who spoke to the loss of their state-wide preceptor in 2018/2019 and the negative impacts it had on Registrars and the increased workload for Supervisors. </w:t>
      </w:r>
      <w:r w:rsidR="00246515">
        <w:t xml:space="preserve"> </w:t>
      </w:r>
      <w:r w:rsidR="000B1677">
        <w:t xml:space="preserve">Additionally, the </w:t>
      </w:r>
      <w:r w:rsidR="008C6158">
        <w:t xml:space="preserve">NSW </w:t>
      </w:r>
      <w:r w:rsidR="007E7DE6">
        <w:t xml:space="preserve">Ministry of Health funds HETI to provide resources for </w:t>
      </w:r>
      <w:r w:rsidR="00765540">
        <w:t>DIMP Registrars and Supervisors</w:t>
      </w:r>
      <w:r w:rsidR="00486915">
        <w:t>,</w:t>
      </w:r>
      <w:r w:rsidR="007D7A37">
        <w:t xml:space="preserve"> to improve the quality of training received and reduce burden on Supervisors. One consultation highlight</w:t>
      </w:r>
      <w:r w:rsidR="002760E5">
        <w:t>ed</w:t>
      </w:r>
      <w:r w:rsidR="007D7A37">
        <w:t xml:space="preserve"> that these resources are only available for public facilities</w:t>
      </w:r>
      <w:r w:rsidR="007A5416">
        <w:t xml:space="preserve">, and that private facilities need to produce their own resources duplicating effort. </w:t>
      </w:r>
    </w:p>
    <w:p w14:paraId="2E072DBE" w14:textId="7701E076" w:rsidR="003A3047" w:rsidRDefault="00CF6913" w:rsidP="00DF6D09">
      <w:pPr>
        <w:pStyle w:val="BodyText"/>
      </w:pPr>
      <w:r>
        <w:t>Consultation</w:t>
      </w:r>
      <w:r w:rsidR="0003107D">
        <w:t xml:space="preserve"> with ACPSEM raised concerns over </w:t>
      </w:r>
      <w:r>
        <w:t>jurisdictions</w:t>
      </w:r>
      <w:r w:rsidR="004A2149">
        <w:t xml:space="preserve"> funding </w:t>
      </w:r>
      <w:r>
        <w:t xml:space="preserve">the MPS Program </w:t>
      </w:r>
      <w:r w:rsidR="00117183">
        <w:t xml:space="preserve">which focused on </w:t>
      </w:r>
      <w:r w:rsidR="00AA70B2">
        <w:t>the inequities that</w:t>
      </w:r>
      <w:r w:rsidR="00657549">
        <w:t xml:space="preserve"> they believed would occur</w:t>
      </w:r>
      <w:r w:rsidR="00A3165C">
        <w:t xml:space="preserve"> and the </w:t>
      </w:r>
      <w:r w:rsidR="0019091E">
        <w:t xml:space="preserve">reduction in </w:t>
      </w:r>
      <w:r w:rsidR="00385BDE">
        <w:t xml:space="preserve">Registrar </w:t>
      </w:r>
      <w:r w:rsidR="00DA215E">
        <w:t xml:space="preserve">standardisation between jurisdictions. </w:t>
      </w:r>
      <w:r w:rsidR="001C3531">
        <w:t>It was also believed that</w:t>
      </w:r>
      <w:r w:rsidR="00A66FBF">
        <w:t xml:space="preserve"> roles would be outsourced to consultants for cost saving methods</w:t>
      </w:r>
      <w:r w:rsidR="002145D3">
        <w:t xml:space="preserve">, reducing oversight and </w:t>
      </w:r>
      <w:r w:rsidR="00FB2986">
        <w:t>increas</w:t>
      </w:r>
      <w:r w:rsidR="00DB71CF">
        <w:t>ing</w:t>
      </w:r>
      <w:r w:rsidR="00FB2986">
        <w:t xml:space="preserve"> risk due to the </w:t>
      </w:r>
      <w:r w:rsidR="00D41C99">
        <w:t xml:space="preserve">lack of formal certification and registration required by legislation for medical physicists. </w:t>
      </w:r>
    </w:p>
    <w:p w14:paraId="6ACC2E51" w14:textId="422B5ACA" w:rsidR="00441198" w:rsidRDefault="00441198">
      <w:pPr>
        <w:spacing w:before="0" w:after="160" w:line="259" w:lineRule="auto"/>
        <w:rPr>
          <w:rFonts w:ascii="KPMG Bold" w:eastAsiaTheme="majorEastAsia" w:hAnsi="KPMG Bold" w:cstheme="majorBidi"/>
          <w:color w:val="1E49E2" w:themeColor="accent2"/>
          <w:sz w:val="40"/>
          <w:szCs w:val="26"/>
        </w:rPr>
      </w:pPr>
      <w:r>
        <w:br w:type="page"/>
      </w:r>
    </w:p>
    <w:p w14:paraId="0D418FAA" w14:textId="16EBB003" w:rsidR="00441198" w:rsidRDefault="00441198" w:rsidP="00584EC6">
      <w:pPr>
        <w:pStyle w:val="Heading2"/>
        <w:numPr>
          <w:ilvl w:val="1"/>
          <w:numId w:val="69"/>
        </w:numPr>
      </w:pPr>
      <w:bookmarkStart w:id="168" w:name="_Ref181947044"/>
      <w:bookmarkStart w:id="169" w:name="_Toc184396571"/>
      <w:bookmarkStart w:id="170" w:name="_Toc216711596"/>
      <w:bookmarkStart w:id="171" w:name="_Toc216791999"/>
      <w:r>
        <w:t>KEQ5: How effective is the MPS Program in meeting its intended objectives?</w:t>
      </w:r>
      <w:bookmarkEnd w:id="168"/>
      <w:bookmarkEnd w:id="169"/>
      <w:bookmarkEnd w:id="170"/>
      <w:bookmarkEnd w:id="171"/>
    </w:p>
    <w:p w14:paraId="7A91EB1E" w14:textId="0846DA66" w:rsidR="000B1F0C" w:rsidRPr="00242835" w:rsidRDefault="00611248" w:rsidP="00242835">
      <w:r w:rsidRPr="00611248">
        <w:rPr>
          <w:i/>
        </w:rPr>
        <w:t xml:space="preserve">The effectiveness domain focuses on </w:t>
      </w:r>
      <w:r w:rsidR="001876BF">
        <w:rPr>
          <w:i/>
        </w:rPr>
        <w:t xml:space="preserve">the </w:t>
      </w:r>
      <w:r w:rsidRPr="00611248">
        <w:rPr>
          <w:i/>
        </w:rPr>
        <w:t>extent to which the MPS Program achieved, or is expected to achieve, its outcomes.</w:t>
      </w:r>
      <w:r>
        <w:rPr>
          <w:i/>
        </w:rPr>
        <w:t xml:space="preserve"> </w:t>
      </w:r>
      <w:r w:rsidR="000B1F0C">
        <w:rPr>
          <w:i/>
        </w:rPr>
        <w:t>This Section investigates the following sub-questions:</w:t>
      </w:r>
    </w:p>
    <w:p w14:paraId="4AF5E645" w14:textId="4DC507EB" w:rsidR="000B1F0C" w:rsidRDefault="000B1F0C" w:rsidP="000B1F0C">
      <w:pPr>
        <w:spacing w:before="0" w:after="160" w:line="259" w:lineRule="auto"/>
      </w:pPr>
      <w:r>
        <w:t>5</w:t>
      </w:r>
      <w:r w:rsidRPr="000B1F0C">
        <w:t xml:space="preserve">.1 </w:t>
      </w:r>
      <w:r w:rsidR="00C13912" w:rsidRPr="00C13912">
        <w:t>Is the MPS Program achieving its objectives</w:t>
      </w:r>
      <w:r w:rsidRPr="000B1F0C">
        <w:t xml:space="preserve">?  </w:t>
      </w:r>
    </w:p>
    <w:p w14:paraId="568FAF05" w14:textId="699210B7" w:rsidR="000B1F0C" w:rsidRDefault="000B1F0C" w:rsidP="000B1F0C">
      <w:pPr>
        <w:spacing w:before="0" w:after="160" w:line="259" w:lineRule="auto"/>
      </w:pPr>
      <w:r>
        <w:t>5</w:t>
      </w:r>
      <w:r w:rsidRPr="000B1F0C">
        <w:t xml:space="preserve">.2 </w:t>
      </w:r>
      <w:r w:rsidR="00C40B47" w:rsidRPr="00C40B47">
        <w:t>How has the MPS Program impacted the quality of services delivered by medical physicists?</w:t>
      </w:r>
    </w:p>
    <w:p w14:paraId="7DA2632C" w14:textId="77777777" w:rsidR="00963C28" w:rsidRDefault="00963C28" w:rsidP="000B1F0C">
      <w:pPr>
        <w:spacing w:before="0" w:after="160" w:line="259" w:lineRule="auto"/>
      </w:pPr>
    </w:p>
    <w:tbl>
      <w:tblPr>
        <w:tblStyle w:val="TableGrid"/>
        <w:tblW w:w="9870" w:type="dxa"/>
        <w:tblLook w:val="04A0" w:firstRow="1" w:lastRow="0" w:firstColumn="1" w:lastColumn="0" w:noHBand="0" w:noVBand="1"/>
      </w:tblPr>
      <w:tblGrid>
        <w:gridCol w:w="1408"/>
        <w:gridCol w:w="8462"/>
      </w:tblGrid>
      <w:tr w:rsidR="00963C28" w14:paraId="6ACBC7E3" w14:textId="77777777">
        <w:trPr>
          <w:cnfStyle w:val="100000000000" w:firstRow="1" w:lastRow="0" w:firstColumn="0" w:lastColumn="0" w:oddVBand="0" w:evenVBand="0" w:oddHBand="0" w:evenHBand="0" w:firstRowFirstColumn="0" w:firstRowLastColumn="0" w:lastRowFirstColumn="0" w:lastRowLastColumn="0"/>
          <w:trHeight w:val="148"/>
        </w:trPr>
        <w:tc>
          <w:tcPr>
            <w:tcW w:w="1408" w:type="dxa"/>
            <w:tcMar>
              <w:top w:w="113" w:type="dxa"/>
              <w:left w:w="227" w:type="dxa"/>
              <w:bottom w:w="113" w:type="dxa"/>
              <w:right w:w="113" w:type="dxa"/>
            </w:tcMar>
          </w:tcPr>
          <w:p w14:paraId="52F291A4" w14:textId="77777777" w:rsidR="00963C28" w:rsidRPr="00DC6578" w:rsidRDefault="00963C28">
            <w:pPr>
              <w:rPr>
                <w:rFonts w:cs="Arial"/>
                <w:b/>
                <w:bCs/>
              </w:rPr>
            </w:pPr>
            <w:r>
              <w:rPr>
                <w:rFonts w:cs="Arial"/>
                <w:b/>
                <w:bCs/>
                <w:noProof/>
              </w:rPr>
              <w:drawing>
                <wp:inline distT="0" distB="0" distL="0" distR="0" wp14:anchorId="72C6C6EA" wp14:editId="6A2B156A">
                  <wp:extent cx="283780" cy="283780"/>
                  <wp:effectExtent l="0" t="0" r="0" b="0"/>
                  <wp:docPr id="1974763314"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63314" name="Graphic 37">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flipH="1">
                            <a:off x="0" y="0"/>
                            <a:ext cx="292646" cy="292646"/>
                          </a:xfrm>
                          <a:prstGeom prst="rect">
                            <a:avLst/>
                          </a:prstGeom>
                        </pic:spPr>
                      </pic:pic>
                    </a:graphicData>
                  </a:graphic>
                </wp:inline>
              </w:drawing>
            </w:r>
          </w:p>
        </w:tc>
        <w:tc>
          <w:tcPr>
            <w:tcW w:w="8462" w:type="dxa"/>
            <w:vAlign w:val="center"/>
          </w:tcPr>
          <w:p w14:paraId="3ECA1D1D" w14:textId="77777777" w:rsidR="00963C28" w:rsidRPr="00DC6578" w:rsidRDefault="00963C28">
            <w:pPr>
              <w:rPr>
                <w:rFonts w:cs="Arial"/>
                <w:b/>
                <w:bCs/>
              </w:rPr>
            </w:pPr>
            <w:r w:rsidRPr="00DC6578">
              <w:rPr>
                <w:rFonts w:cs="Arial"/>
                <w:b/>
                <w:bCs/>
              </w:rPr>
              <w:t>Key</w:t>
            </w:r>
            <w:r>
              <w:rPr>
                <w:rFonts w:cs="Arial"/>
                <w:b/>
                <w:bCs/>
              </w:rPr>
              <w:t xml:space="preserve"> </w:t>
            </w:r>
            <w:r w:rsidRPr="00DC6578">
              <w:rPr>
                <w:rFonts w:cs="Arial"/>
                <w:b/>
                <w:bCs/>
              </w:rPr>
              <w:t>findings</w:t>
            </w:r>
          </w:p>
        </w:tc>
      </w:tr>
      <w:tr w:rsidR="00963C28" w14:paraId="35AF9F11" w14:textId="77777777">
        <w:trPr>
          <w:cnfStyle w:val="000000100000" w:firstRow="0" w:lastRow="0" w:firstColumn="0" w:lastColumn="0" w:oddVBand="0" w:evenVBand="0" w:oddHBand="1" w:evenHBand="0" w:firstRowFirstColumn="0" w:firstRowLastColumn="0" w:lastRowFirstColumn="0" w:lastRowLastColumn="0"/>
          <w:trHeight w:val="148"/>
        </w:trPr>
        <w:tc>
          <w:tcPr>
            <w:tcW w:w="9870" w:type="dxa"/>
            <w:gridSpan w:val="2"/>
            <w:tcBorders>
              <w:bottom w:val="single" w:sz="2" w:space="0" w:color="1E49E2"/>
            </w:tcBorders>
            <w:shd w:val="clear" w:color="auto" w:fill="F1F4FE"/>
            <w:tcMar>
              <w:top w:w="113" w:type="dxa"/>
              <w:left w:w="227" w:type="dxa"/>
              <w:bottom w:w="113" w:type="dxa"/>
              <w:right w:w="113" w:type="dxa"/>
            </w:tcMar>
          </w:tcPr>
          <w:p w14:paraId="26C02DF4" w14:textId="55BC083E" w:rsidR="00963C28" w:rsidRPr="00DC6578" w:rsidRDefault="00963C28">
            <w:pPr>
              <w:rPr>
                <w:rFonts w:cs="Arial"/>
                <w:b/>
                <w:bCs/>
              </w:rPr>
            </w:pPr>
            <w:r w:rsidRPr="00963C28">
              <w:rPr>
                <w:rFonts w:cs="Arial"/>
                <w:b/>
                <w:bCs/>
                <w:color w:val="1E49E2" w:themeColor="accent2"/>
              </w:rPr>
              <w:t>The MPS Program was found to be somewhat effective at meeting its intended objectives</w:t>
            </w:r>
            <w:r w:rsidRPr="00850B5E">
              <w:rPr>
                <w:rFonts w:cs="Arial"/>
                <w:b/>
                <w:bCs/>
                <w:color w:val="1E49E2" w:themeColor="accent2"/>
              </w:rPr>
              <w:t>.</w:t>
            </w:r>
          </w:p>
        </w:tc>
      </w:tr>
      <w:tr w:rsidR="00963C28" w14:paraId="263ED096" w14:textId="77777777">
        <w:trPr>
          <w:trHeight w:val="148"/>
        </w:trPr>
        <w:tc>
          <w:tcPr>
            <w:tcW w:w="9870" w:type="dxa"/>
            <w:gridSpan w:val="2"/>
            <w:tcBorders>
              <w:top w:val="single" w:sz="2" w:space="0" w:color="1E49E2"/>
              <w:bottom w:val="single" w:sz="2" w:space="0" w:color="1E49E2"/>
            </w:tcBorders>
            <w:shd w:val="clear" w:color="auto" w:fill="F2F2F2" w:themeFill="background1" w:themeFillShade="F2"/>
            <w:tcMar>
              <w:top w:w="113" w:type="dxa"/>
              <w:left w:w="227" w:type="dxa"/>
              <w:bottom w:w="113" w:type="dxa"/>
              <w:right w:w="113" w:type="dxa"/>
            </w:tcMar>
          </w:tcPr>
          <w:p w14:paraId="2D761636" w14:textId="26E7010D" w:rsidR="00963C28" w:rsidRPr="00FC52D1" w:rsidRDefault="00963C28">
            <w:pPr>
              <w:rPr>
                <w:rFonts w:cs="Arial"/>
                <w:i/>
              </w:rPr>
            </w:pPr>
            <w:r w:rsidRPr="008E2AB5">
              <w:rPr>
                <w:rFonts w:cs="Arial"/>
                <w:b/>
                <w:bCs/>
                <w:color w:val="1E49E2" w:themeColor="accent2"/>
              </w:rPr>
              <w:t>Strength of evidence:</w:t>
            </w:r>
            <w:r>
              <w:rPr>
                <w:rFonts w:cs="Arial"/>
                <w:b/>
                <w:bCs/>
              </w:rPr>
              <w:t xml:space="preserve"> </w:t>
            </w:r>
            <w:r w:rsidRPr="00A23DDA">
              <w:rPr>
                <w:rFonts w:cs="Arial"/>
              </w:rPr>
              <w:t>There is</w:t>
            </w:r>
            <w:r>
              <w:rPr>
                <w:rFonts w:cs="Arial"/>
                <w:b/>
                <w:bCs/>
              </w:rPr>
              <w:t xml:space="preserve"> </w:t>
            </w:r>
            <w:r w:rsidRPr="00963C28">
              <w:rPr>
                <w:rFonts w:cs="Arial"/>
                <w:b/>
                <w:bCs/>
              </w:rPr>
              <w:t>some evidence</w:t>
            </w:r>
            <w:r>
              <w:rPr>
                <w:rFonts w:cs="Arial"/>
              </w:rPr>
              <w:t xml:space="preserve"> to support these findings, however data limitations exist.</w:t>
            </w:r>
          </w:p>
        </w:tc>
      </w:tr>
      <w:tr w:rsidR="00963C28" w14:paraId="4AD8202C" w14:textId="77777777" w:rsidTr="00963C28">
        <w:trPr>
          <w:cnfStyle w:val="000000100000" w:firstRow="0" w:lastRow="0" w:firstColumn="0" w:lastColumn="0" w:oddVBand="0" w:evenVBand="0" w:oddHBand="1" w:evenHBand="0" w:firstRowFirstColumn="0" w:firstRowLastColumn="0" w:lastRowFirstColumn="0" w:lastRowLastColumn="0"/>
          <w:trHeight w:val="308"/>
        </w:trPr>
        <w:tc>
          <w:tcPr>
            <w:tcW w:w="9870" w:type="dxa"/>
            <w:gridSpan w:val="2"/>
            <w:tcBorders>
              <w:top w:val="single" w:sz="2" w:space="0" w:color="1E49E2"/>
              <w:bottom w:val="single" w:sz="2" w:space="0" w:color="1E49E2"/>
            </w:tcBorders>
            <w:tcMar>
              <w:top w:w="113" w:type="dxa"/>
              <w:left w:w="227" w:type="dxa"/>
              <w:bottom w:w="113" w:type="dxa"/>
              <w:right w:w="113" w:type="dxa"/>
            </w:tcMar>
          </w:tcPr>
          <w:p w14:paraId="52D4E275" w14:textId="77777777" w:rsidR="00963C28" w:rsidRDefault="00963C28">
            <w:pPr>
              <w:pStyle w:val="Tablelistbullet"/>
              <w:numPr>
                <w:ilvl w:val="0"/>
                <w:numId w:val="0"/>
              </w:numPr>
              <w:ind w:left="360" w:hanging="360"/>
            </w:pPr>
            <w:r>
              <w:rPr>
                <w:rFonts w:cs="Arial"/>
                <w:b/>
                <w:bCs/>
                <w:color w:val="1E49E2" w:themeColor="accent2"/>
              </w:rPr>
              <w:t>Key findings</w:t>
            </w:r>
          </w:p>
          <w:p w14:paraId="4F8FF8D6" w14:textId="3A97BAF8" w:rsidR="00963C28" w:rsidRDefault="00963C28" w:rsidP="00963C28">
            <w:pPr>
              <w:pStyle w:val="Tablelistbullet"/>
            </w:pPr>
            <w:r w:rsidRPr="00790E83">
              <w:t xml:space="preserve">Activities undertaken through the MPS Program do not have clear impact alignment to program outcomes. As such, </w:t>
            </w:r>
            <w:r>
              <w:t>a</w:t>
            </w:r>
            <w:r w:rsidRPr="00790E83">
              <w:t xml:space="preserve">chievement observed against short- and medium-term program outcomes </w:t>
            </w:r>
            <w:r>
              <w:t>wa</w:t>
            </w:r>
            <w:r w:rsidRPr="00790E83">
              <w:t>s limited</w:t>
            </w:r>
            <w:r>
              <w:t>. While no outcomes ha</w:t>
            </w:r>
            <w:r w:rsidR="00D8460C">
              <w:t>ve</w:t>
            </w:r>
            <w:r w:rsidR="008063C3">
              <w:t xml:space="preserve"> currently</w:t>
            </w:r>
            <w:r>
              <w:t xml:space="preserve"> been achieved, </w:t>
            </w:r>
            <w:proofErr w:type="gramStart"/>
            <w:r w:rsidR="008063C3">
              <w:t xml:space="preserve">the </w:t>
            </w:r>
            <w:r>
              <w:t>majority of</w:t>
            </w:r>
            <w:proofErr w:type="gramEnd"/>
            <w:r>
              <w:t xml:space="preserve"> outcomes had emerging achievement. </w:t>
            </w:r>
          </w:p>
          <w:p w14:paraId="6149F797" w14:textId="77777777" w:rsidR="00963C28" w:rsidRDefault="00963C28" w:rsidP="00963C28">
            <w:pPr>
              <w:pStyle w:val="Tablelistbullet"/>
            </w:pPr>
            <w:r>
              <w:t>T</w:t>
            </w:r>
            <w:r w:rsidRPr="00A05562">
              <w:t xml:space="preserve">he Department affords flexibility to </w:t>
            </w:r>
            <w:r>
              <w:t xml:space="preserve">ACPSEM </w:t>
            </w:r>
            <w:r w:rsidRPr="00A05562">
              <w:t>to deliver the MPS Program as they seem fit</w:t>
            </w:r>
            <w:r>
              <w:t xml:space="preserve">, allowing them </w:t>
            </w:r>
            <w:r w:rsidRPr="00A05562">
              <w:t>to respond to the</w:t>
            </w:r>
            <w:r>
              <w:t xml:space="preserve"> changing</w:t>
            </w:r>
            <w:r w:rsidRPr="00A05562">
              <w:t xml:space="preserve"> needs of the workforce</w:t>
            </w:r>
            <w:r>
              <w:t xml:space="preserve">. </w:t>
            </w:r>
          </w:p>
          <w:p w14:paraId="6DAC517E" w14:textId="48A8E390" w:rsidR="00963C28" w:rsidRPr="00291721" w:rsidRDefault="00963C28" w:rsidP="00963C28">
            <w:pPr>
              <w:pStyle w:val="Tablelistbullet"/>
            </w:pPr>
            <w:r>
              <w:t>TEAP has had several positive impacts on the workforce</w:t>
            </w:r>
            <w:r w:rsidR="007D21E3">
              <w:t xml:space="preserve"> and accounted </w:t>
            </w:r>
            <w:r>
              <w:t>for 55% of registered workforce growth during the period</w:t>
            </w:r>
            <w:r w:rsidR="00CE5837">
              <w:t xml:space="preserve">. Additionally, stakeholders noted in </w:t>
            </w:r>
            <w:r>
              <w:t xml:space="preserve">consultations an increase in knowledge and safety within the medical physicist workforce. </w:t>
            </w:r>
          </w:p>
          <w:p w14:paraId="06BF2F5C" w14:textId="77777777" w:rsidR="00963C28" w:rsidRDefault="00963C28" w:rsidP="00963C28">
            <w:pPr>
              <w:pStyle w:val="Tablelistbullet"/>
            </w:pPr>
            <w:r w:rsidRPr="00E21B55">
              <w:t>Facility applications for Commonwealth funded Registrar positions have been in decline since 2019. Successful grants are distributed amongst jurisdictions, with NSW and QLD receiving the majority.</w:t>
            </w:r>
            <w:r>
              <w:t xml:space="preserve"> </w:t>
            </w:r>
            <w:r w:rsidRPr="00E21B55">
              <w:t xml:space="preserve">Grants predominately </w:t>
            </w:r>
            <w:r>
              <w:t>went</w:t>
            </w:r>
            <w:r w:rsidRPr="00E21B55">
              <w:t xml:space="preserve"> to metropolitan facilities.</w:t>
            </w:r>
            <w:r>
              <w:t xml:space="preserve"> </w:t>
            </w:r>
          </w:p>
          <w:p w14:paraId="1344A0C3" w14:textId="122ED904" w:rsidR="00963C28" w:rsidRPr="00FC52D1" w:rsidRDefault="00963C28" w:rsidP="00963C28">
            <w:pPr>
              <w:pStyle w:val="Tablelistbullet"/>
            </w:pPr>
            <w:r>
              <w:t>Consultations highlighted that c</w:t>
            </w:r>
            <w:r w:rsidRPr="005A669F">
              <w:t xml:space="preserve">urrent distribution of the </w:t>
            </w:r>
            <w:r>
              <w:t>m</w:t>
            </w:r>
            <w:r w:rsidRPr="005A669F">
              <w:t xml:space="preserve">edical </w:t>
            </w:r>
            <w:r>
              <w:t>p</w:t>
            </w:r>
            <w:r w:rsidRPr="005A669F">
              <w:t>hysicist workforce not only impacts patient access to treatment but has ongoing implications for future workforce distribution</w:t>
            </w:r>
            <w:r w:rsidRPr="008034E8">
              <w:t>.</w:t>
            </w:r>
          </w:p>
        </w:tc>
      </w:tr>
      <w:tr w:rsidR="00963C28" w14:paraId="06E0A280" w14:textId="77777777">
        <w:trPr>
          <w:trHeight w:val="333"/>
        </w:trPr>
        <w:tc>
          <w:tcPr>
            <w:tcW w:w="9870" w:type="dxa"/>
            <w:gridSpan w:val="2"/>
            <w:tcBorders>
              <w:top w:val="single" w:sz="2" w:space="0" w:color="1E49E2"/>
            </w:tcBorders>
            <w:shd w:val="clear" w:color="auto" w:fill="F2F2F2" w:themeFill="background1" w:themeFillShade="F2"/>
            <w:tcMar>
              <w:top w:w="113" w:type="dxa"/>
              <w:left w:w="227" w:type="dxa"/>
              <w:bottom w:w="113" w:type="dxa"/>
              <w:right w:w="113" w:type="dxa"/>
            </w:tcMar>
          </w:tcPr>
          <w:p w14:paraId="60570ED3" w14:textId="03CFBA73" w:rsidR="00963C28" w:rsidRPr="00582C82" w:rsidRDefault="00963C28">
            <w:pPr>
              <w:pStyle w:val="Tablelistbullet"/>
              <w:numPr>
                <w:ilvl w:val="0"/>
                <w:numId w:val="0"/>
              </w:numPr>
            </w:pPr>
            <w:r w:rsidRPr="00E34DB1">
              <w:rPr>
                <w:rFonts w:cs="Arial"/>
                <w:b/>
                <w:color w:val="1E49E2" w:themeColor="accent2"/>
              </w:rPr>
              <w:t>Limitations:</w:t>
            </w:r>
            <w:r>
              <w:t xml:space="preserve"> </w:t>
            </w:r>
            <w:r w:rsidRPr="00963C28">
              <w:rPr>
                <w:rFonts w:cs="Arial"/>
              </w:rPr>
              <w:t>Applicable data limitations for KEQ5 include information availability, third party information, multiple data sources, stakeholder consultation pool and RPS limitations</w:t>
            </w:r>
            <w:r>
              <w:rPr>
                <w:rFonts w:cs="Arial"/>
              </w:rPr>
              <w:t>.</w:t>
            </w:r>
          </w:p>
        </w:tc>
      </w:tr>
    </w:tbl>
    <w:p w14:paraId="3D9E91D8" w14:textId="6EE59533" w:rsidR="00385A54" w:rsidRPr="00AE349D" w:rsidRDefault="00385A54" w:rsidP="00AE349D">
      <w:pPr>
        <w:pStyle w:val="Heading3"/>
      </w:pPr>
      <w:bookmarkStart w:id="172" w:name="_Toc216711597"/>
      <w:r w:rsidRPr="00AE349D">
        <w:t>Program outcomes</w:t>
      </w:r>
      <w:bookmarkEnd w:id="172"/>
      <w:r w:rsidRPr="00AE349D">
        <w:t xml:space="preserve"> </w:t>
      </w:r>
    </w:p>
    <w:p w14:paraId="42786878" w14:textId="0567CAC4" w:rsidR="00D925BB" w:rsidRDefault="00671924" w:rsidP="00671924">
      <w:pPr>
        <w:pStyle w:val="BodyText"/>
      </w:pPr>
      <w:bookmarkStart w:id="173" w:name="_Hlk181345462"/>
      <w:r>
        <w:t xml:space="preserve">The MPS Program logic </w:t>
      </w:r>
      <w:r w:rsidR="00D87D73">
        <w:t>(</w:t>
      </w:r>
      <w:r w:rsidR="00D87D73">
        <w:fldChar w:fldCharType="begin" w:fldLock="1"/>
      </w:r>
      <w:r w:rsidR="00D87D73">
        <w:instrText xml:space="preserve"> REF _Ref180588116 \h </w:instrText>
      </w:r>
      <w:r w:rsidR="00D87D73">
        <w:fldChar w:fldCharType="separate"/>
      </w:r>
      <w:r w:rsidR="00D35A75">
        <w:t xml:space="preserve">Figure </w:t>
      </w:r>
      <w:r w:rsidR="00D35A75">
        <w:rPr>
          <w:noProof/>
        </w:rPr>
        <w:t>2</w:t>
      </w:r>
      <w:r w:rsidR="00D87D73">
        <w:fldChar w:fldCharType="end"/>
      </w:r>
      <w:r w:rsidR="00FE56BC">
        <w:t xml:space="preserve"> in Section </w:t>
      </w:r>
      <w:r w:rsidR="00FE56BC">
        <w:fldChar w:fldCharType="begin" w:fldLock="1"/>
      </w:r>
      <w:r w:rsidR="00FE56BC">
        <w:instrText xml:space="preserve"> REF _Ref182493516 \r \h </w:instrText>
      </w:r>
      <w:r w:rsidR="00FE56BC">
        <w:fldChar w:fldCharType="separate"/>
      </w:r>
      <w:r w:rsidR="00FE56BC">
        <w:t>2.2.2</w:t>
      </w:r>
      <w:r w:rsidR="00FE56BC">
        <w:fldChar w:fldCharType="end"/>
      </w:r>
      <w:r w:rsidR="00FE56BC">
        <w:t xml:space="preserve"> </w:t>
      </w:r>
      <w:r w:rsidR="00FE56BC">
        <w:fldChar w:fldCharType="begin" w:fldLock="1"/>
      </w:r>
      <w:r w:rsidR="00FE56BC">
        <w:instrText xml:space="preserve"> REF _Ref182493516 \h </w:instrText>
      </w:r>
      <w:r w:rsidR="00FE56BC">
        <w:fldChar w:fldCharType="separate"/>
      </w:r>
      <w:r w:rsidR="00FE56BC">
        <w:t>Program objectives</w:t>
      </w:r>
      <w:r w:rsidR="00FE56BC">
        <w:fldChar w:fldCharType="end"/>
      </w:r>
      <w:r w:rsidR="00D87D73">
        <w:t xml:space="preserve">) </w:t>
      </w:r>
      <w:r>
        <w:t>developed by the Department</w:t>
      </w:r>
      <w:r w:rsidR="00D87D73">
        <w:t xml:space="preserve"> </w:t>
      </w:r>
      <w:r>
        <w:t xml:space="preserve">outlines short-, medium- and long-term outcomes. </w:t>
      </w:r>
      <w:r w:rsidR="000B31F8">
        <w:rPr>
          <w:highlight w:val="yellow"/>
        </w:rPr>
        <w:fldChar w:fldCharType="begin" w:fldLock="1"/>
      </w:r>
      <w:r w:rsidR="000B31F8">
        <w:instrText xml:space="preserve"> REF _Ref181946717 \h </w:instrText>
      </w:r>
      <w:r w:rsidR="000B31F8">
        <w:rPr>
          <w:highlight w:val="yellow"/>
        </w:rPr>
      </w:r>
      <w:r w:rsidR="000B31F8">
        <w:rPr>
          <w:highlight w:val="yellow"/>
        </w:rPr>
        <w:fldChar w:fldCharType="separate"/>
      </w:r>
      <w:r w:rsidR="00D35A75">
        <w:t xml:space="preserve">Table </w:t>
      </w:r>
      <w:r w:rsidR="00D35A75">
        <w:rPr>
          <w:noProof/>
        </w:rPr>
        <w:t>11</w:t>
      </w:r>
      <w:r w:rsidR="000B31F8">
        <w:rPr>
          <w:highlight w:val="yellow"/>
        </w:rPr>
        <w:fldChar w:fldCharType="end"/>
      </w:r>
      <w:r w:rsidRPr="000B31F8">
        <w:t xml:space="preserve"> and </w:t>
      </w:r>
      <w:r w:rsidR="000B31F8">
        <w:rPr>
          <w:highlight w:val="yellow"/>
        </w:rPr>
        <w:fldChar w:fldCharType="begin" w:fldLock="1"/>
      </w:r>
      <w:r w:rsidR="000B31F8">
        <w:rPr>
          <w:highlight w:val="yellow"/>
        </w:rPr>
        <w:instrText xml:space="preserve"> REF _Ref182485234 \h </w:instrText>
      </w:r>
      <w:r w:rsidR="000B31F8">
        <w:rPr>
          <w:highlight w:val="yellow"/>
        </w:rPr>
      </w:r>
      <w:r w:rsidR="000B31F8">
        <w:rPr>
          <w:highlight w:val="yellow"/>
        </w:rPr>
        <w:fldChar w:fldCharType="separate"/>
      </w:r>
      <w:r w:rsidR="00D35A75">
        <w:t xml:space="preserve">Table </w:t>
      </w:r>
      <w:r w:rsidR="00D35A75">
        <w:rPr>
          <w:noProof/>
        </w:rPr>
        <w:t>12</w:t>
      </w:r>
      <w:r w:rsidR="000B31F8">
        <w:rPr>
          <w:highlight w:val="yellow"/>
        </w:rPr>
        <w:fldChar w:fldCharType="end"/>
      </w:r>
      <w:r>
        <w:t xml:space="preserve"> below provide a summary of the intended short-term and medium-term outcomes for the MPS Program and an indication of their relative achievement. A table on the MPS Program’s long-term outcome is not included due to both the </w:t>
      </w:r>
      <w:proofErr w:type="gramStart"/>
      <w:r>
        <w:t>time period</w:t>
      </w:r>
      <w:proofErr w:type="gramEnd"/>
      <w:r>
        <w:t xml:space="preserve"> scope of the review and the lack of available and reliable workforce data to measure the achievement of the outcome </w:t>
      </w:r>
      <w:r w:rsidRPr="00A96525">
        <w:t>(</w:t>
      </w:r>
      <w:r w:rsidR="00A96525">
        <w:t>refer</w:t>
      </w:r>
      <w:r w:rsidRPr="00A96525">
        <w:t xml:space="preserve"> </w:t>
      </w:r>
      <w:r w:rsidR="00587829">
        <w:t>to Section</w:t>
      </w:r>
      <w:r w:rsidR="00D925BB">
        <w:t xml:space="preserve"> </w:t>
      </w:r>
      <w:r w:rsidR="00D925BB">
        <w:fldChar w:fldCharType="begin" w:fldLock="1"/>
      </w:r>
      <w:r w:rsidR="00D925BB">
        <w:instrText xml:space="preserve"> REF _Ref181947788 \r \h </w:instrText>
      </w:r>
      <w:r w:rsidR="00D925BB">
        <w:fldChar w:fldCharType="separate"/>
      </w:r>
      <w:r w:rsidR="00D925BB">
        <w:rPr>
          <w:cs/>
        </w:rPr>
        <w:t>‎</w:t>
      </w:r>
      <w:r w:rsidR="00D925BB">
        <w:t>3.4.3</w:t>
      </w:r>
      <w:r w:rsidR="00D925BB">
        <w:fldChar w:fldCharType="end"/>
      </w:r>
      <w:r w:rsidR="00587829">
        <w:t>).</w:t>
      </w:r>
      <w:r w:rsidRPr="00A96525">
        <w:t xml:space="preserve"> </w:t>
      </w:r>
    </w:p>
    <w:p w14:paraId="3543E182" w14:textId="095950AB" w:rsidR="00671924" w:rsidRDefault="00B53EA9" w:rsidP="00671924">
      <w:pPr>
        <w:pStyle w:val="BodyText"/>
      </w:pPr>
      <w:r>
        <w:t xml:space="preserve">The assessment against each outcome did not include </w:t>
      </w:r>
      <w:r w:rsidR="00FE1400">
        <w:t xml:space="preserve">a counterfactual or comparison group to determine impact on achievement or the </w:t>
      </w:r>
      <w:r w:rsidR="00A45EBA">
        <w:t>m</w:t>
      </w:r>
      <w:r w:rsidR="00FE1400">
        <w:t xml:space="preserve">edical </w:t>
      </w:r>
      <w:r w:rsidR="00A45EBA">
        <w:t>p</w:t>
      </w:r>
      <w:r w:rsidR="00FE1400">
        <w:t xml:space="preserve">hysicist workforce in the absence of the MPS Program. </w:t>
      </w:r>
      <w:r w:rsidR="00021314">
        <w:t xml:space="preserve">It </w:t>
      </w:r>
      <w:r w:rsidR="00021314" w:rsidRPr="00021314">
        <w:t xml:space="preserve">should be noted that the Department affords flexibility to </w:t>
      </w:r>
      <w:r w:rsidR="001051AA">
        <w:t>ACPSEM</w:t>
      </w:r>
      <w:r w:rsidR="00021314" w:rsidRPr="00021314">
        <w:t xml:space="preserve"> to </w:t>
      </w:r>
      <w:r w:rsidR="00A05562">
        <w:t>deliver</w:t>
      </w:r>
      <w:r w:rsidR="00021314" w:rsidRPr="00021314">
        <w:t xml:space="preserve"> the MPS Program as they seem fit. This program flexibility allows ACPSEM to determine how best to respond to the needs of the workforce in </w:t>
      </w:r>
      <w:r w:rsidR="00780311">
        <w:t>a</w:t>
      </w:r>
      <w:r w:rsidR="00021314" w:rsidRPr="00021314">
        <w:t xml:space="preserve"> dynamic field.</w:t>
      </w:r>
    </w:p>
    <w:p w14:paraId="10035AFB" w14:textId="3A3BA67E" w:rsidR="008732B4" w:rsidRDefault="00CE7B24">
      <w:pPr>
        <w:spacing w:before="0" w:after="160" w:line="259" w:lineRule="auto"/>
        <w:rPr>
          <w:rFonts w:eastAsia="Times New Roman" w:cs="Times New Roman"/>
          <w:bCs/>
          <w:i/>
          <w:color w:val="00338D" w:themeColor="accent1"/>
          <w:sz w:val="18"/>
          <w:szCs w:val="20"/>
          <w:lang w:eastAsia="en-AU"/>
        </w:rPr>
      </w:pPr>
      <w:bookmarkStart w:id="174" w:name="_Ref181946717"/>
      <w:r>
        <w:br w:type="page"/>
      </w:r>
    </w:p>
    <w:p w14:paraId="0FACD52C" w14:textId="0A170173" w:rsidR="00671924" w:rsidRDefault="00671924" w:rsidP="006634B5">
      <w:pPr>
        <w:pStyle w:val="Caption"/>
      </w:pPr>
      <w:r>
        <w:t xml:space="preserve">Table </w:t>
      </w:r>
      <w:r w:rsidR="006634B5">
        <w:fldChar w:fldCharType="begin"/>
      </w:r>
      <w:r w:rsidR="006634B5">
        <w:instrText xml:space="preserve"> SEQ Table \* ARABIC </w:instrText>
      </w:r>
      <w:r w:rsidR="006634B5">
        <w:fldChar w:fldCharType="separate"/>
      </w:r>
      <w:r w:rsidR="005F7EBC">
        <w:rPr>
          <w:noProof/>
        </w:rPr>
        <w:t>11</w:t>
      </w:r>
      <w:r w:rsidR="006634B5">
        <w:fldChar w:fldCharType="end"/>
      </w:r>
      <w:bookmarkEnd w:id="174"/>
      <w:r w:rsidR="006634B5">
        <w:t>:</w:t>
      </w:r>
      <w:r>
        <w:t xml:space="preserve"> Summary of the MPS Program’s short-term outcomes and level of </w:t>
      </w:r>
      <w:r w:rsidR="00A96525">
        <w:t>achievement</w:t>
      </w:r>
    </w:p>
    <w:tbl>
      <w:tblPr>
        <w:tblStyle w:val="GridTable1Light-Accent1"/>
        <w:tblW w:w="0" w:type="auto"/>
        <w:tblLook w:val="04A0" w:firstRow="1" w:lastRow="0" w:firstColumn="1" w:lastColumn="0" w:noHBand="0" w:noVBand="1"/>
      </w:tblPr>
      <w:tblGrid>
        <w:gridCol w:w="2823"/>
        <w:gridCol w:w="395"/>
        <w:gridCol w:w="6410"/>
      </w:tblGrid>
      <w:tr w:rsidR="00B138C1" w14:paraId="5B7BD69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3" w:type="dxa"/>
            <w:tcBorders>
              <w:top w:val="nil"/>
              <w:left w:val="nil"/>
            </w:tcBorders>
            <w:shd w:val="clear" w:color="auto" w:fill="F1F4FE"/>
          </w:tcPr>
          <w:p w14:paraId="37A5594C" w14:textId="77777777" w:rsidR="00B138C1" w:rsidRPr="00520148" w:rsidRDefault="00B138C1">
            <w:pPr>
              <w:pStyle w:val="BodyText"/>
            </w:pPr>
            <w:r w:rsidRPr="00520148">
              <w:t>Short-term outcomes</w:t>
            </w:r>
          </w:p>
        </w:tc>
        <w:tc>
          <w:tcPr>
            <w:tcW w:w="395" w:type="dxa"/>
            <w:tcBorders>
              <w:top w:val="nil"/>
            </w:tcBorders>
          </w:tcPr>
          <w:p w14:paraId="5D5F888E" w14:textId="77777777" w:rsidR="00B138C1" w:rsidRPr="00520148" w:rsidRDefault="00B138C1">
            <w:pPr>
              <w:pStyle w:val="BodyText"/>
              <w:cnfStyle w:val="100000000000" w:firstRow="1" w:lastRow="0" w:firstColumn="0" w:lastColumn="0" w:oddVBand="0" w:evenVBand="0" w:oddHBand="0" w:evenHBand="0" w:firstRowFirstColumn="0" w:firstRowLastColumn="0" w:lastRowFirstColumn="0" w:lastRowLastColumn="0"/>
            </w:pPr>
          </w:p>
        </w:tc>
        <w:tc>
          <w:tcPr>
            <w:tcW w:w="6410" w:type="dxa"/>
            <w:tcBorders>
              <w:top w:val="nil"/>
              <w:right w:val="nil"/>
            </w:tcBorders>
          </w:tcPr>
          <w:p w14:paraId="3506A885" w14:textId="77777777" w:rsidR="00B138C1" w:rsidRPr="00520148" w:rsidRDefault="00B138C1">
            <w:pPr>
              <w:pStyle w:val="BodyText"/>
              <w:cnfStyle w:val="100000000000" w:firstRow="1" w:lastRow="0" w:firstColumn="0" w:lastColumn="0" w:oddVBand="0" w:evenVBand="0" w:oddHBand="0" w:evenHBand="0" w:firstRowFirstColumn="0" w:firstRowLastColumn="0" w:lastRowFirstColumn="0" w:lastRowLastColumn="0"/>
            </w:pPr>
            <w:r w:rsidRPr="00520148">
              <w:t>Achievement</w:t>
            </w:r>
          </w:p>
        </w:tc>
      </w:tr>
      <w:tr w:rsidR="00B138C1" w14:paraId="3431B117" w14:textId="77777777">
        <w:tc>
          <w:tcPr>
            <w:cnfStyle w:val="001000000000" w:firstRow="0" w:lastRow="0" w:firstColumn="1" w:lastColumn="0" w:oddVBand="0" w:evenVBand="0" w:oddHBand="0" w:evenHBand="0" w:firstRowFirstColumn="0" w:firstRowLastColumn="0" w:lastRowFirstColumn="0" w:lastRowLastColumn="0"/>
            <w:tcW w:w="2823" w:type="dxa"/>
            <w:tcBorders>
              <w:left w:val="nil"/>
            </w:tcBorders>
            <w:shd w:val="clear" w:color="auto" w:fill="F1F4FE"/>
          </w:tcPr>
          <w:p w14:paraId="38E49515" w14:textId="36864794" w:rsidR="00B138C1" w:rsidRDefault="00B138C1" w:rsidP="00B138C1">
            <w:pPr>
              <w:pStyle w:val="BodyText"/>
            </w:pPr>
            <w:r>
              <w:t xml:space="preserve">Greater number of applications for funding under the MPS Program </w:t>
            </w:r>
          </w:p>
        </w:tc>
        <w:tc>
          <w:tcPr>
            <w:tcW w:w="395" w:type="dxa"/>
          </w:tcPr>
          <w:p w14:paraId="343816E1" w14:textId="15B78ADC"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rsidRPr="00FA4788">
              <w:rPr>
                <w:rFonts w:ascii="Wingdings 2" w:eastAsia="Wingdings 2" w:hAnsi="Wingdings 2" w:cs="Wingdings 2"/>
                <w:color w:val="C00000"/>
              </w:rPr>
              <w:t>□</w:t>
            </w:r>
          </w:p>
        </w:tc>
        <w:tc>
          <w:tcPr>
            <w:tcW w:w="6410" w:type="dxa"/>
            <w:tcBorders>
              <w:right w:val="nil"/>
            </w:tcBorders>
          </w:tcPr>
          <w:p w14:paraId="4A626211" w14:textId="1363174A"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rPr>
                <w:highlight w:val="yellow"/>
              </w:rPr>
              <w:fldChar w:fldCharType="begin" w:fldLock="1"/>
            </w:r>
            <w:r>
              <w:instrText xml:space="preserve"> REF _Ref182815957 \h </w:instrText>
            </w:r>
            <w:r>
              <w:rPr>
                <w:highlight w:val="yellow"/>
              </w:rPr>
            </w:r>
            <w:r>
              <w:rPr>
                <w:highlight w:val="yellow"/>
              </w:rPr>
              <w:fldChar w:fldCharType="separate"/>
            </w:r>
            <w:r>
              <w:t xml:space="preserve">Figure </w:t>
            </w:r>
            <w:r w:rsidR="00CA6BD2" w:rsidDel="00BA2814">
              <w:rPr>
                <w:noProof/>
              </w:rPr>
              <w:t>22</w:t>
            </w:r>
            <w:r>
              <w:rPr>
                <w:highlight w:val="yellow"/>
              </w:rPr>
              <w:fldChar w:fldCharType="end"/>
            </w:r>
            <w:r>
              <w:t xml:space="preserve"> shows the trend of applications since 2018. Applications for grants remained consistent between 24 to 28 for 2018 to 2022 grant rounds. In 2023 applications dropped 37% from the prior year, to 15. Additionally, </w:t>
            </w:r>
            <w:r>
              <w:rPr>
                <w:highlight w:val="yellow"/>
              </w:rPr>
              <w:fldChar w:fldCharType="begin" w:fldLock="1"/>
            </w:r>
            <w:r>
              <w:instrText xml:space="preserve"> REF _Ref182815957 \h </w:instrText>
            </w:r>
            <w:r>
              <w:rPr>
                <w:highlight w:val="yellow"/>
              </w:rPr>
            </w:r>
            <w:r>
              <w:rPr>
                <w:highlight w:val="yellow"/>
              </w:rPr>
              <w:fldChar w:fldCharType="separate"/>
            </w:r>
            <w:r>
              <w:t xml:space="preserve">Figure </w:t>
            </w:r>
            <w:r w:rsidR="00CA6BD2" w:rsidDel="00BA2814">
              <w:rPr>
                <w:noProof/>
              </w:rPr>
              <w:t>22</w:t>
            </w:r>
            <w:r>
              <w:rPr>
                <w:highlight w:val="yellow"/>
              </w:rPr>
              <w:fldChar w:fldCharType="end"/>
            </w:r>
            <w:r>
              <w:t xml:space="preserve"> shows that the number of grants provided has reduced each year over the review period. </w:t>
            </w:r>
          </w:p>
          <w:p w14:paraId="66D27DD1" w14:textId="3B58F5FA" w:rsidR="00B138C1" w:rsidRPr="00DC27F5" w:rsidRDefault="00B138C1" w:rsidP="00B138C1">
            <w:pPr>
              <w:pStyle w:val="BodyText"/>
              <w:cnfStyle w:val="000000000000" w:firstRow="0" w:lastRow="0" w:firstColumn="0" w:lastColumn="0" w:oddVBand="0" w:evenVBand="0" w:oddHBand="0" w:evenHBand="0" w:firstRowFirstColumn="0" w:firstRowLastColumn="0" w:lastRowFirstColumn="0" w:lastRowLastColumn="0"/>
              <w:rPr>
                <w:i/>
                <w:color w:val="00338D" w:themeColor="accent1"/>
                <w:szCs w:val="20"/>
              </w:rPr>
            </w:pPr>
            <w:r>
              <w:t xml:space="preserve">The MPS Program aims to provide profession-led, competitive funding to support Registrars however the funding model and amount has remained unchanged since 2018. Stakeholders continually highlighted that this stagnation combined with the increasing costs of a Registrar reduces the incentive of the MPS Program grant.  </w:t>
            </w:r>
          </w:p>
        </w:tc>
      </w:tr>
      <w:tr w:rsidR="00B138C1" w14:paraId="53AA8010" w14:textId="77777777">
        <w:tc>
          <w:tcPr>
            <w:cnfStyle w:val="001000000000" w:firstRow="0" w:lastRow="0" w:firstColumn="1" w:lastColumn="0" w:oddVBand="0" w:evenVBand="0" w:oddHBand="0" w:evenHBand="0" w:firstRowFirstColumn="0" w:firstRowLastColumn="0" w:lastRowFirstColumn="0" w:lastRowLastColumn="0"/>
            <w:tcW w:w="2823" w:type="dxa"/>
            <w:tcBorders>
              <w:left w:val="nil"/>
            </w:tcBorders>
            <w:shd w:val="clear" w:color="auto" w:fill="F1F4FE"/>
          </w:tcPr>
          <w:p w14:paraId="716383FD" w14:textId="5EE13C74" w:rsidR="00B138C1" w:rsidRDefault="00B138C1" w:rsidP="00B138C1">
            <w:pPr>
              <w:pStyle w:val="BodyText"/>
            </w:pPr>
            <w:r>
              <w:t xml:space="preserve">Distribution of financial support for trainees participating in the MPS Program according to workforce need, including in regional areas. </w:t>
            </w:r>
          </w:p>
        </w:tc>
        <w:tc>
          <w:tcPr>
            <w:tcW w:w="395" w:type="dxa"/>
          </w:tcPr>
          <w:p w14:paraId="11CB6970" w14:textId="01D916AB"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rsidRPr="00121CCB">
              <w:rPr>
                <w:rFonts w:ascii="Wingdings 2" w:eastAsia="Wingdings 2" w:hAnsi="Wingdings 2" w:cs="Wingdings 2"/>
                <w:color w:val="A66500"/>
              </w:rPr>
              <w:t>□</w:t>
            </w:r>
          </w:p>
        </w:tc>
        <w:tc>
          <w:tcPr>
            <w:tcW w:w="6410" w:type="dxa"/>
            <w:tcBorders>
              <w:right w:val="nil"/>
            </w:tcBorders>
          </w:tcPr>
          <w:p w14:paraId="00476083" w14:textId="77777777"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t xml:space="preserve">Workforce need is one criterion in the grant application assessment process. In addition to the independent Grant Selection Panel’s ranking, input is sought from jurisdictions and the executive of private providers for further insights into their workforce need. Workforce need for this purpose is undefined. Consultations highlighted that more weighting is placed on the quality and safety of training that a Registrar would receive at a facility as opposed to the facility’s location. </w:t>
            </w:r>
          </w:p>
          <w:p w14:paraId="4D4E3285" w14:textId="77777777"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t xml:space="preserve">Grant application data provided by ACPSEM shows that since 2018 only 1 (4%) regional loading grant has been unsuccessful. This data did not specify expanded settings.  </w:t>
            </w:r>
          </w:p>
          <w:p w14:paraId="4398B026" w14:textId="143AB451"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t xml:space="preserve">The distribution of grants is detailed in </w:t>
            </w:r>
            <w:r w:rsidR="00D7422D" w:rsidRPr="00D7422D">
              <w:t>Section</w:t>
            </w:r>
            <w:r w:rsidRPr="00D7422D">
              <w:t xml:space="preserve"> </w:t>
            </w:r>
            <w:r w:rsidR="00D7422D" w:rsidRPr="00D7422D">
              <w:fldChar w:fldCharType="begin" w:fldLock="1"/>
            </w:r>
            <w:r w:rsidR="00D7422D" w:rsidRPr="00D7422D">
              <w:instrText xml:space="preserve"> REF _Ref184393477 \r \h </w:instrText>
            </w:r>
            <w:r w:rsidR="00D7422D">
              <w:instrText xml:space="preserve"> \* MERGEFORMAT </w:instrText>
            </w:r>
            <w:r w:rsidR="00D7422D" w:rsidRPr="00D7422D">
              <w:fldChar w:fldCharType="separate"/>
            </w:r>
            <w:r w:rsidR="00D7422D" w:rsidRPr="00D7422D">
              <w:t>3.5.4</w:t>
            </w:r>
            <w:r w:rsidR="00D7422D" w:rsidRPr="00D7422D">
              <w:fldChar w:fldCharType="end"/>
            </w:r>
            <w:r w:rsidRPr="00D7422D">
              <w:rPr>
                <w:i/>
                <w:iCs/>
              </w:rPr>
              <w:fldChar w:fldCharType="begin" w:fldLock="1"/>
            </w:r>
            <w:r w:rsidRPr="00D7422D">
              <w:rPr>
                <w:i/>
              </w:rPr>
              <w:instrText xml:space="preserve"> REF _Ref181949663 \h </w:instrText>
            </w:r>
            <w:r w:rsidRPr="00D7422D">
              <w:rPr>
                <w:i/>
                <w:iCs/>
              </w:rPr>
              <w:instrText xml:space="preserve"> \* MERGEFORMAT </w:instrText>
            </w:r>
            <w:r w:rsidRPr="00D7422D">
              <w:rPr>
                <w:i/>
                <w:iCs/>
              </w:rPr>
            </w:r>
            <w:r w:rsidRPr="00D7422D">
              <w:rPr>
                <w:i/>
                <w:iCs/>
              </w:rPr>
              <w:fldChar w:fldCharType="end"/>
            </w:r>
            <w:r>
              <w:t xml:space="preserve"> below, which also highlights the importance of workforce distribution for medical physicists.  </w:t>
            </w:r>
          </w:p>
        </w:tc>
      </w:tr>
      <w:tr w:rsidR="00B138C1" w14:paraId="4C74462D" w14:textId="77777777">
        <w:tc>
          <w:tcPr>
            <w:cnfStyle w:val="001000000000" w:firstRow="0" w:lastRow="0" w:firstColumn="1" w:lastColumn="0" w:oddVBand="0" w:evenVBand="0" w:oddHBand="0" w:evenHBand="0" w:firstRowFirstColumn="0" w:firstRowLastColumn="0" w:lastRowFirstColumn="0" w:lastRowLastColumn="0"/>
            <w:tcW w:w="2823" w:type="dxa"/>
            <w:tcBorders>
              <w:left w:val="nil"/>
            </w:tcBorders>
            <w:shd w:val="clear" w:color="auto" w:fill="F1F4FE"/>
          </w:tcPr>
          <w:p w14:paraId="4EFFD2FC" w14:textId="1030F59E" w:rsidR="00B138C1" w:rsidRDefault="00B138C1" w:rsidP="00B138C1">
            <w:pPr>
              <w:pStyle w:val="BodyText"/>
            </w:pPr>
            <w:r>
              <w:t xml:space="preserve">Increased </w:t>
            </w:r>
            <w:r w:rsidRPr="00E62D2C">
              <w:t>demand</w:t>
            </w:r>
            <w:r>
              <w:t xml:space="preserve"> for TEAP training in all pathways </w:t>
            </w:r>
          </w:p>
        </w:tc>
        <w:tc>
          <w:tcPr>
            <w:tcW w:w="395" w:type="dxa"/>
          </w:tcPr>
          <w:p w14:paraId="474DD9F9" w14:textId="414B60C0"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rsidRPr="00121CCB">
              <w:rPr>
                <w:rFonts w:ascii="Wingdings 2" w:eastAsia="Wingdings 2" w:hAnsi="Wingdings 2" w:cs="Wingdings 2"/>
                <w:color w:val="A66500"/>
              </w:rPr>
              <w:t>□</w:t>
            </w:r>
          </w:p>
        </w:tc>
        <w:tc>
          <w:tcPr>
            <w:tcW w:w="6410" w:type="dxa"/>
            <w:tcBorders>
              <w:right w:val="nil"/>
            </w:tcBorders>
          </w:tcPr>
          <w:p w14:paraId="03CB81FE" w14:textId="115AFEF5"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t>Many c</w:t>
            </w:r>
            <w:r w:rsidRPr="00F01901">
              <w:t xml:space="preserve">onsultations highlighted that the workforce is oversubscribed at the entrant level, with the number of </w:t>
            </w:r>
            <w:proofErr w:type="gramStart"/>
            <w:r w:rsidRPr="00F01901">
              <w:t>Masters</w:t>
            </w:r>
            <w:proofErr w:type="gramEnd"/>
            <w:r w:rsidRPr="00F01901">
              <w:t xml:space="preserve"> and PhD graduates exceeding TEAP Registrar positions available each year. In consultations some facilities reported receiving more than 30 applications for the one Registrar position.</w:t>
            </w:r>
            <w:r>
              <w:t xml:space="preserve"> </w:t>
            </w:r>
          </w:p>
          <w:p w14:paraId="10B009CA" w14:textId="6C07D59E"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t xml:space="preserve">While demand to undertake TEAP is increasing, the ability to capitalise on the increased demand is driven by Supervisor and facility capacity, </w:t>
            </w:r>
            <w:r w:rsidR="00556F89">
              <w:t xml:space="preserve">and </w:t>
            </w:r>
            <w:r>
              <w:t xml:space="preserve">willingness and ability to take on a Registrar. </w:t>
            </w:r>
          </w:p>
        </w:tc>
      </w:tr>
      <w:tr w:rsidR="00B138C1" w14:paraId="795BB556" w14:textId="77777777">
        <w:tc>
          <w:tcPr>
            <w:cnfStyle w:val="001000000000" w:firstRow="0" w:lastRow="0" w:firstColumn="1" w:lastColumn="0" w:oddVBand="0" w:evenVBand="0" w:oddHBand="0" w:evenHBand="0" w:firstRowFirstColumn="0" w:firstRowLastColumn="0" w:lastRowFirstColumn="0" w:lastRowLastColumn="0"/>
            <w:tcW w:w="2823" w:type="dxa"/>
            <w:tcBorders>
              <w:left w:val="nil"/>
            </w:tcBorders>
            <w:shd w:val="clear" w:color="auto" w:fill="F1F4FE"/>
          </w:tcPr>
          <w:p w14:paraId="23B5043E" w14:textId="7B4471EE" w:rsidR="00B138C1" w:rsidRDefault="00B138C1" w:rsidP="00B138C1">
            <w:pPr>
              <w:pStyle w:val="BodyText"/>
            </w:pPr>
            <w:r>
              <w:t xml:space="preserve">Medical Physicist workforce has better understanding of expected standards of knowledge, skills, expertise, and judiciousness to ensure safety and efficacy of clinical medical physics and RPS.  </w:t>
            </w:r>
          </w:p>
        </w:tc>
        <w:tc>
          <w:tcPr>
            <w:tcW w:w="395" w:type="dxa"/>
          </w:tcPr>
          <w:p w14:paraId="72707478" w14:textId="0BD3B80B"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rsidRPr="00121CCB">
              <w:rPr>
                <w:rFonts w:ascii="Wingdings 2" w:eastAsia="Wingdings 2" w:hAnsi="Wingdings 2" w:cs="Wingdings 2"/>
                <w:color w:val="A66500"/>
              </w:rPr>
              <w:t>□</w:t>
            </w:r>
          </w:p>
        </w:tc>
        <w:tc>
          <w:tcPr>
            <w:tcW w:w="6410" w:type="dxa"/>
            <w:tcBorders>
              <w:right w:val="nil"/>
            </w:tcBorders>
          </w:tcPr>
          <w:p w14:paraId="544825C8" w14:textId="3ED74862" w:rsidR="00B138C1" w:rsidRPr="00461BDC" w:rsidRDefault="00B138C1" w:rsidP="00B138C1">
            <w:pPr>
              <w:pStyle w:val="BodyText"/>
              <w:cnfStyle w:val="000000000000" w:firstRow="0" w:lastRow="0" w:firstColumn="0" w:lastColumn="0" w:oddVBand="0" w:evenVBand="0" w:oddHBand="0" w:evenHBand="0" w:firstRowFirstColumn="0" w:firstRowLastColumn="0" w:lastRowFirstColumn="0" w:lastRowLastColumn="0"/>
              <w:rPr>
                <w:i/>
                <w:iCs/>
              </w:rPr>
            </w:pPr>
            <w:r>
              <w:t>C</w:t>
            </w:r>
            <w:r w:rsidRPr="00723196">
              <w:t>onsultations and surveys highlighted varying views on length, depth and breadth of the new TEAP curriculum</w:t>
            </w:r>
            <w:r>
              <w:t>. However,</w:t>
            </w:r>
            <w:r w:rsidRPr="00723196">
              <w:t xml:space="preserve"> various stakeholders stated that TEAP provides trainees with the knowledge, tools and skills to problem solve beyond training. Consultations with ARPANSA highlighted that TEAP progresses trainees to a level of competency where they are safe and can accurately undertake </w:t>
            </w:r>
            <w:r>
              <w:t>their duties</w:t>
            </w:r>
            <w:r w:rsidRPr="00723196">
              <w:t>.</w:t>
            </w:r>
            <w:r>
              <w:t xml:space="preserve"> </w:t>
            </w:r>
            <w:r w:rsidRPr="00BE0247">
              <w:rPr>
                <w:i/>
                <w:iCs/>
              </w:rPr>
              <w:t xml:space="preserve">  </w:t>
            </w:r>
          </w:p>
          <w:p w14:paraId="5F311767" w14:textId="096D702F"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t>Beyond TEAP</w:t>
            </w:r>
            <w:r w:rsidR="00102954">
              <w:t>,</w:t>
            </w:r>
            <w:r>
              <w:t xml:space="preserve"> consultations spoke to a gap in the broader understanding of the importance and value add of medical physicists to ensure safe, efficient and accurate treatments, as detailed in Section</w:t>
            </w:r>
            <w:r w:rsidR="003E7A81">
              <w:t xml:space="preserve"> </w:t>
            </w:r>
            <w:r w:rsidR="003E7A81">
              <w:fldChar w:fldCharType="begin" w:fldLock="1"/>
            </w:r>
            <w:r w:rsidR="003E7A81">
              <w:instrText xml:space="preserve"> REF _Ref181946599 \r \h </w:instrText>
            </w:r>
            <w:r w:rsidR="003E7A81">
              <w:fldChar w:fldCharType="separate"/>
            </w:r>
            <w:r w:rsidR="003E7A81">
              <w:rPr>
                <w:cs/>
              </w:rPr>
              <w:t>‎</w:t>
            </w:r>
            <w:r w:rsidR="003E7A81">
              <w:t>3.1.6</w:t>
            </w:r>
            <w:r w:rsidR="003E7A81">
              <w:fldChar w:fldCharType="end"/>
            </w:r>
            <w:r w:rsidR="003E7A81">
              <w:t xml:space="preserve"> </w:t>
            </w:r>
            <w:r>
              <w:t xml:space="preserve">. </w:t>
            </w:r>
          </w:p>
        </w:tc>
      </w:tr>
      <w:tr w:rsidR="00B138C1" w14:paraId="30489A7F" w14:textId="77777777">
        <w:tc>
          <w:tcPr>
            <w:cnfStyle w:val="001000000000" w:firstRow="0" w:lastRow="0" w:firstColumn="1" w:lastColumn="0" w:oddVBand="0" w:evenVBand="0" w:oddHBand="0" w:evenHBand="0" w:firstRowFirstColumn="0" w:firstRowLastColumn="0" w:lastRowFirstColumn="0" w:lastRowLastColumn="0"/>
            <w:tcW w:w="2823" w:type="dxa"/>
            <w:tcBorders>
              <w:left w:val="nil"/>
            </w:tcBorders>
            <w:shd w:val="clear" w:color="auto" w:fill="F1F4FE"/>
          </w:tcPr>
          <w:p w14:paraId="4E48AC29" w14:textId="626832EF" w:rsidR="00B138C1" w:rsidRDefault="00B138C1" w:rsidP="00B138C1">
            <w:pPr>
              <w:pStyle w:val="BodyText"/>
            </w:pPr>
            <w:r>
              <w:t xml:space="preserve">Introduction of minimum training and accreditation standards for the medical physicist workforce (defined scope of practice) </w:t>
            </w:r>
          </w:p>
        </w:tc>
        <w:tc>
          <w:tcPr>
            <w:tcW w:w="395" w:type="dxa"/>
          </w:tcPr>
          <w:p w14:paraId="55018DEA" w14:textId="5276DB68"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rsidRPr="00121CCB">
              <w:rPr>
                <w:rFonts w:ascii="Wingdings 2" w:eastAsia="Wingdings 2" w:hAnsi="Wingdings 2" w:cs="Wingdings 2"/>
                <w:color w:val="A66500"/>
              </w:rPr>
              <w:t>□</w:t>
            </w:r>
          </w:p>
        </w:tc>
        <w:tc>
          <w:tcPr>
            <w:tcW w:w="6410" w:type="dxa"/>
            <w:tcBorders>
              <w:right w:val="nil"/>
            </w:tcBorders>
          </w:tcPr>
          <w:p w14:paraId="37AE2EDD" w14:textId="5EF64C5F"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t xml:space="preserve">Medical physicist scope of practice was approved by ACPSEM Board in November 2023 and is available via the ACPSEM website. The document focuses on foundational clinical scope of practice key capabilities and enabling </w:t>
            </w:r>
            <w:proofErr w:type="gramStart"/>
            <w:r>
              <w:t>components, and</w:t>
            </w:r>
            <w:proofErr w:type="gramEnd"/>
            <w:r>
              <w:t xml:space="preserve"> additionally defines advance scope of practice for some subspecialty skills.</w:t>
            </w:r>
            <w:r>
              <w:rPr>
                <w:rFonts w:ascii="ZWAdobeF" w:hAnsi="ZWAdobeF" w:cs="ZWAdobeF"/>
                <w:sz w:val="2"/>
                <w:szCs w:val="2"/>
              </w:rPr>
              <w:t>58F</w:t>
            </w:r>
            <w:r w:rsidR="005F7EBC">
              <w:rPr>
                <w:rFonts w:ascii="ZWAdobeF" w:hAnsi="ZWAdobeF" w:cs="ZWAdobeF"/>
                <w:sz w:val="2"/>
                <w:szCs w:val="2"/>
              </w:rPr>
              <w:t>70F</w:t>
            </w:r>
            <w:r>
              <w:rPr>
                <w:rStyle w:val="FootnoteReference"/>
              </w:rPr>
              <w:footnoteReference w:id="72"/>
            </w:r>
            <w:r>
              <w:t xml:space="preserve">  As per grant performance reporting, supplementary scope of practices </w:t>
            </w:r>
            <w:proofErr w:type="gramStart"/>
            <w:r>
              <w:t>are</w:t>
            </w:r>
            <w:proofErr w:type="gramEnd"/>
            <w:r>
              <w:t xml:space="preserve"> under development to define the medical physicist role in further circumstances. </w:t>
            </w:r>
          </w:p>
        </w:tc>
      </w:tr>
      <w:tr w:rsidR="00B138C1" w14:paraId="551FCC04" w14:textId="77777777">
        <w:tc>
          <w:tcPr>
            <w:cnfStyle w:val="001000000000" w:firstRow="0" w:lastRow="0" w:firstColumn="1" w:lastColumn="0" w:oddVBand="0" w:evenVBand="0" w:oddHBand="0" w:evenHBand="0" w:firstRowFirstColumn="0" w:firstRowLastColumn="0" w:lastRowFirstColumn="0" w:lastRowLastColumn="0"/>
            <w:tcW w:w="2823" w:type="dxa"/>
            <w:tcBorders>
              <w:left w:val="nil"/>
              <w:bottom w:val="nil"/>
            </w:tcBorders>
            <w:shd w:val="clear" w:color="auto" w:fill="F1F4FE"/>
          </w:tcPr>
          <w:p w14:paraId="6C5BB52E" w14:textId="3ECED615" w:rsidR="00B138C1" w:rsidRDefault="00B138C1" w:rsidP="00B138C1">
            <w:pPr>
              <w:pStyle w:val="BodyText"/>
            </w:pPr>
            <w:r>
              <w:t xml:space="preserve">Increased workforce development, research and technologies for radiation oncology treatment </w:t>
            </w:r>
          </w:p>
        </w:tc>
        <w:tc>
          <w:tcPr>
            <w:tcW w:w="395" w:type="dxa"/>
            <w:tcBorders>
              <w:bottom w:val="nil"/>
            </w:tcBorders>
          </w:tcPr>
          <w:p w14:paraId="154284A6" w14:textId="1FF7C590"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rsidRPr="00EF278F">
              <w:rPr>
                <w:rFonts w:ascii="Wingdings 2" w:eastAsia="Wingdings 2" w:hAnsi="Wingdings 2" w:cs="Wingdings 2"/>
                <w:color w:val="C00000"/>
              </w:rPr>
              <w:t>□</w:t>
            </w:r>
          </w:p>
        </w:tc>
        <w:tc>
          <w:tcPr>
            <w:tcW w:w="6410" w:type="dxa"/>
            <w:tcBorders>
              <w:bottom w:val="nil"/>
              <w:right w:val="nil"/>
            </w:tcBorders>
          </w:tcPr>
          <w:p w14:paraId="7F62E84B" w14:textId="224A06F5"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t>Radiation oncology research is not a funded activity as part of the MPS Program</w:t>
            </w:r>
            <w:r w:rsidR="009C35B0">
              <w:t>. A</w:t>
            </w:r>
            <w:r>
              <w:t>s such</w:t>
            </w:r>
            <w:r w:rsidR="009C35B0">
              <w:t>,</w:t>
            </w:r>
            <w:r>
              <w:t xml:space="preserve"> review findings are limited. </w:t>
            </w:r>
          </w:p>
          <w:p w14:paraId="1076944A" w14:textId="0416C524" w:rsidR="00B138C1" w:rsidRDefault="00B138C1" w:rsidP="002B3BB1">
            <w:pPr>
              <w:pStyle w:val="BodyText"/>
              <w:cnfStyle w:val="000000000000" w:firstRow="0" w:lastRow="0" w:firstColumn="0" w:lastColumn="0" w:oddVBand="0" w:evenVBand="0" w:oddHBand="0" w:evenHBand="0" w:firstRowFirstColumn="0" w:firstRowLastColumn="0" w:lastRowFirstColumn="0" w:lastRowLastColumn="0"/>
            </w:pPr>
            <w:r>
              <w:t xml:space="preserve">Within TEAP, research components </w:t>
            </w:r>
            <w:r w:rsidR="009C35B0">
              <w:t xml:space="preserve">were removed from the curriculum </w:t>
            </w:r>
            <w:r>
              <w:t xml:space="preserve">to assist in having an achievable </w:t>
            </w:r>
            <w:r w:rsidR="002B3BB1">
              <w:t xml:space="preserve">workload for </w:t>
            </w:r>
            <w:r w:rsidR="009C35B0">
              <w:t>completion</w:t>
            </w:r>
            <w:r w:rsidR="002B3BB1">
              <w:t xml:space="preserve"> in three years</w:t>
            </w:r>
            <w:r>
              <w:t xml:space="preserve">. While some stakeholders considered this </w:t>
            </w:r>
            <w:r w:rsidR="004B09B7">
              <w:t>to be a positive change</w:t>
            </w:r>
            <w:r>
              <w:t xml:space="preserve">, Registrar survey respondents raised the inclusion of research as a suggested improvement to TEAP. </w:t>
            </w:r>
          </w:p>
          <w:p w14:paraId="33E78D2D" w14:textId="158CA3D0" w:rsidR="00B138C1" w:rsidRDefault="00B138C1" w:rsidP="00B138C1">
            <w:pPr>
              <w:pStyle w:val="BodyText"/>
              <w:cnfStyle w:val="000000000000" w:firstRow="0" w:lastRow="0" w:firstColumn="0" w:lastColumn="0" w:oddVBand="0" w:evenVBand="0" w:oddHBand="0" w:evenHBand="0" w:firstRowFirstColumn="0" w:firstRowLastColumn="0" w:lastRowFirstColumn="0" w:lastRowLastColumn="0"/>
            </w:pPr>
            <w:r>
              <w:t>Beyond training, consultations with ARPANSA highlighted the role research and trials will play in the future of the profession. However, most examples provided related to international studies.</w:t>
            </w:r>
          </w:p>
        </w:tc>
      </w:tr>
    </w:tbl>
    <w:p w14:paraId="3FE29908" w14:textId="77777777" w:rsidR="00B138C1" w:rsidRDefault="00B138C1" w:rsidP="00B138C1">
      <w:pPr>
        <w:pStyle w:val="Caption"/>
        <w:rPr>
          <w:i/>
          <w:iCs/>
          <w:color w:val="C00000"/>
        </w:rPr>
      </w:pPr>
      <w:r w:rsidRPr="00C265FF">
        <w:rPr>
          <w:iCs/>
          <w:color w:val="388600"/>
        </w:rPr>
        <w:t xml:space="preserve">      </w:t>
      </w:r>
      <w:r w:rsidRPr="00C265FF">
        <w:rPr>
          <w:rFonts w:ascii="Wingdings 2" w:eastAsia="Wingdings 2" w:hAnsi="Wingdings 2" w:cs="Wingdings 2"/>
          <w:color w:val="388600"/>
        </w:rPr>
        <w:t>□</w:t>
      </w:r>
      <w:r>
        <w:rPr>
          <w:iCs/>
          <w:color w:val="C00000"/>
        </w:rPr>
        <w:t xml:space="preserve"> </w:t>
      </w:r>
      <w:r w:rsidRPr="008702BB">
        <w:rPr>
          <w:iCs/>
          <w:color w:val="auto"/>
        </w:rPr>
        <w:t>Achieved</w:t>
      </w:r>
      <w:r>
        <w:rPr>
          <w:iCs/>
          <w:color w:val="C00000"/>
        </w:rPr>
        <w:t xml:space="preserve"> </w:t>
      </w:r>
      <w:r>
        <w:rPr>
          <w:iCs/>
          <w:color w:val="C00000"/>
        </w:rPr>
        <w:tab/>
      </w:r>
      <w:r>
        <w:rPr>
          <w:iCs/>
          <w:color w:val="C00000"/>
        </w:rPr>
        <w:tab/>
      </w:r>
      <w:r w:rsidRPr="00121CCB">
        <w:rPr>
          <w:rFonts w:ascii="Wingdings 2" w:eastAsia="Wingdings 2" w:hAnsi="Wingdings 2" w:cs="Wingdings 2"/>
          <w:color w:val="A66500"/>
        </w:rPr>
        <w:t>□</w:t>
      </w:r>
      <w:r>
        <w:rPr>
          <w:iCs/>
          <w:color w:val="C00000"/>
        </w:rPr>
        <w:t xml:space="preserve"> </w:t>
      </w:r>
      <w:r>
        <w:rPr>
          <w:iCs/>
          <w:color w:val="auto"/>
        </w:rPr>
        <w:t>Emerging</w:t>
      </w:r>
      <w:r>
        <w:rPr>
          <w:iCs/>
          <w:color w:val="C00000"/>
        </w:rPr>
        <w:t xml:space="preserve"> </w:t>
      </w:r>
      <w:r>
        <w:rPr>
          <w:iCs/>
          <w:color w:val="C00000"/>
        </w:rPr>
        <w:tab/>
      </w:r>
      <w:r>
        <w:rPr>
          <w:iCs/>
          <w:color w:val="C00000"/>
        </w:rPr>
        <w:tab/>
      </w:r>
      <w:r w:rsidRPr="003824D3">
        <w:rPr>
          <w:rFonts w:ascii="Wingdings 2" w:eastAsia="Wingdings 2" w:hAnsi="Wingdings 2" w:cs="Wingdings 2"/>
          <w:color w:val="C00000"/>
        </w:rPr>
        <w:t>□</w:t>
      </w:r>
      <w:r>
        <w:rPr>
          <w:iCs/>
          <w:color w:val="C00000"/>
        </w:rPr>
        <w:t xml:space="preserve"> </w:t>
      </w:r>
      <w:r>
        <w:rPr>
          <w:iCs/>
          <w:color w:val="auto"/>
        </w:rPr>
        <w:t>No evidence</w:t>
      </w:r>
      <w:r>
        <w:rPr>
          <w:iCs/>
          <w:color w:val="C00000"/>
        </w:rPr>
        <w:t xml:space="preserve"> </w:t>
      </w:r>
    </w:p>
    <w:p w14:paraId="500A5680" w14:textId="421AED7F" w:rsidR="00B138C1" w:rsidRDefault="00BC4951" w:rsidP="00B138C1">
      <w:pPr>
        <w:pStyle w:val="BodyText"/>
        <w:rPr>
          <w:lang w:eastAsia="en-AU"/>
        </w:rPr>
      </w:pPr>
      <w:r w:rsidRPr="008702BB">
        <w:rPr>
          <w:rFonts w:eastAsia="Times New Roman" w:cs="Times New Roman"/>
          <w:bCs/>
          <w:i/>
          <w:color w:val="00338D" w:themeColor="accent1"/>
          <w:sz w:val="18"/>
          <w:szCs w:val="20"/>
          <w:lang w:eastAsia="en-AU"/>
        </w:rPr>
        <w:t>Source: KPMG</w:t>
      </w:r>
      <w:r w:rsidR="002314D7">
        <w:rPr>
          <w:rFonts w:eastAsia="Times New Roman" w:cs="Times New Roman"/>
          <w:bCs/>
          <w:i/>
          <w:color w:val="00338D" w:themeColor="accent1"/>
          <w:sz w:val="18"/>
          <w:szCs w:val="20"/>
          <w:lang w:eastAsia="en-AU"/>
        </w:rPr>
        <w:t>,</w:t>
      </w:r>
      <w:r w:rsidRPr="008702BB">
        <w:rPr>
          <w:rFonts w:eastAsia="Times New Roman" w:cs="Times New Roman"/>
          <w:bCs/>
          <w:i/>
          <w:color w:val="00338D" w:themeColor="accent1"/>
          <w:sz w:val="18"/>
          <w:szCs w:val="20"/>
          <w:lang w:eastAsia="en-AU"/>
        </w:rPr>
        <w:t xml:space="preserve"> 2024</w:t>
      </w:r>
      <w:r w:rsidR="002314D7">
        <w:rPr>
          <w:rFonts w:eastAsia="Times New Roman" w:cs="Times New Roman"/>
          <w:bCs/>
          <w:i/>
          <w:color w:val="00338D" w:themeColor="accent1"/>
          <w:sz w:val="18"/>
          <w:szCs w:val="20"/>
          <w:lang w:eastAsia="en-AU"/>
        </w:rPr>
        <w:t>.</w:t>
      </w:r>
    </w:p>
    <w:p w14:paraId="53E7AB89" w14:textId="77777777" w:rsidR="004A76AE" w:rsidRDefault="004A76AE" w:rsidP="004A76AE">
      <w:pPr>
        <w:pStyle w:val="BodyText"/>
      </w:pPr>
    </w:p>
    <w:p w14:paraId="2E5E8042" w14:textId="33D1B990" w:rsidR="004A76AE" w:rsidRPr="002E0AFD" w:rsidRDefault="004A76AE" w:rsidP="00E425B5">
      <w:pPr>
        <w:pStyle w:val="BodyText"/>
        <w:shd w:val="clear" w:color="auto" w:fill="CAF1FF" w:themeFill="accent4" w:themeFillTint="33"/>
        <w:rPr>
          <w:i/>
          <w:iCs/>
        </w:rPr>
      </w:pPr>
      <w:r w:rsidRPr="002E0AFD">
        <w:rPr>
          <w:i/>
          <w:iCs/>
          <w:noProof/>
        </w:rPr>
        <w:drawing>
          <wp:anchor distT="0" distB="0" distL="114300" distR="114300" simplePos="0" relativeHeight="251679744" behindDoc="0" locked="0" layoutInCell="1" allowOverlap="1" wp14:anchorId="17EF9260" wp14:editId="5CCF242C">
            <wp:simplePos x="0" y="0"/>
            <wp:positionH relativeFrom="column">
              <wp:posOffset>3810</wp:posOffset>
            </wp:positionH>
            <wp:positionV relativeFrom="paragraph">
              <wp:posOffset>-4445</wp:posOffset>
            </wp:positionV>
            <wp:extent cx="438785" cy="446405"/>
            <wp:effectExtent l="0" t="0" r="0" b="0"/>
            <wp:wrapSquare wrapText="bothSides"/>
            <wp:docPr id="938046240" name="Graphic 938046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5"/>
                        </a:ext>
                      </a:extLst>
                    </a:blip>
                    <a:stretch>
                      <a:fillRect/>
                    </a:stretch>
                  </pic:blipFill>
                  <pic:spPr>
                    <a:xfrm>
                      <a:off x="0" y="0"/>
                      <a:ext cx="438785" cy="446405"/>
                    </a:xfrm>
                    <a:prstGeom prst="rect">
                      <a:avLst/>
                    </a:prstGeom>
                  </pic:spPr>
                </pic:pic>
              </a:graphicData>
            </a:graphic>
          </wp:anchor>
        </w:drawing>
      </w:r>
      <w:r w:rsidRPr="002E0AFD">
        <w:rPr>
          <w:i/>
          <w:iCs/>
          <w:color w:val="00338D" w:themeColor="accent1"/>
          <w:szCs w:val="20"/>
        </w:rPr>
        <w:t xml:space="preserve">“With the reduced 3-year program, there is absolutely no room for extra-curricular work as a medical physicist. That is, our research opportunities are severely limited. Not because there </w:t>
      </w:r>
      <w:proofErr w:type="gramStart"/>
      <w:r w:rsidRPr="002E0AFD">
        <w:rPr>
          <w:i/>
          <w:iCs/>
          <w:color w:val="00338D" w:themeColor="accent1"/>
          <w:szCs w:val="20"/>
        </w:rPr>
        <w:t>isn't</w:t>
      </w:r>
      <w:proofErr w:type="gramEnd"/>
      <w:r w:rsidRPr="002E0AFD">
        <w:rPr>
          <w:i/>
          <w:iCs/>
          <w:color w:val="00338D" w:themeColor="accent1"/>
          <w:szCs w:val="20"/>
        </w:rPr>
        <w:t xml:space="preserve"> projects we can't be involved in, but instead, we have no flexibility in a timeline to fit research into such a densely packed </w:t>
      </w:r>
      <w:proofErr w:type="gramStart"/>
      <w:r w:rsidRPr="002E0AFD">
        <w:rPr>
          <w:i/>
          <w:iCs/>
          <w:color w:val="00338D" w:themeColor="accent1"/>
          <w:szCs w:val="20"/>
        </w:rPr>
        <w:t>3 year</w:t>
      </w:r>
      <w:proofErr w:type="gramEnd"/>
      <w:r w:rsidRPr="002E0AFD">
        <w:rPr>
          <w:i/>
          <w:iCs/>
          <w:color w:val="00338D" w:themeColor="accent1"/>
          <w:szCs w:val="20"/>
        </w:rPr>
        <w:t xml:space="preserve"> course.”</w:t>
      </w:r>
    </w:p>
    <w:p w14:paraId="67E6C313" w14:textId="7A6B290F" w:rsidR="002B2A22" w:rsidRPr="002E0AFD" w:rsidRDefault="004A76AE" w:rsidP="00E425B5">
      <w:pPr>
        <w:pStyle w:val="BodyText"/>
        <w:shd w:val="clear" w:color="auto" w:fill="CAF1FF" w:themeFill="accent4" w:themeFillTint="33"/>
        <w:rPr>
          <w:b/>
          <w:bCs/>
          <w:i/>
          <w:iCs/>
          <w:lang w:eastAsia="en-AU"/>
        </w:rPr>
      </w:pPr>
      <w:r w:rsidRPr="002E0AFD">
        <w:rPr>
          <w:b/>
          <w:bCs/>
          <w:i/>
          <w:iCs/>
        </w:rPr>
        <w:t>Surveyed Registrar</w:t>
      </w:r>
    </w:p>
    <w:p w14:paraId="385FD6CB" w14:textId="77777777" w:rsidR="002B2A22" w:rsidRDefault="002B2A22" w:rsidP="00B138C1">
      <w:pPr>
        <w:pStyle w:val="BodyText"/>
        <w:rPr>
          <w:lang w:eastAsia="en-AU"/>
        </w:rPr>
      </w:pPr>
    </w:p>
    <w:p w14:paraId="2353C086" w14:textId="3F361378" w:rsidR="004A7D2A" w:rsidRDefault="004A7D2A" w:rsidP="004679CC">
      <w:pPr>
        <w:pStyle w:val="Caption"/>
      </w:pPr>
      <w:bookmarkStart w:id="175" w:name="_Ref182485234"/>
      <w:r>
        <w:t xml:space="preserve">Table </w:t>
      </w:r>
      <w:r w:rsidR="004679CC">
        <w:fldChar w:fldCharType="begin"/>
      </w:r>
      <w:r w:rsidR="004679CC">
        <w:instrText xml:space="preserve"> SEQ Table \* ARABIC </w:instrText>
      </w:r>
      <w:r w:rsidR="004679CC">
        <w:fldChar w:fldCharType="separate"/>
      </w:r>
      <w:r w:rsidR="005F7EBC">
        <w:rPr>
          <w:noProof/>
        </w:rPr>
        <w:t>12</w:t>
      </w:r>
      <w:r w:rsidR="004679CC">
        <w:fldChar w:fldCharType="end"/>
      </w:r>
      <w:bookmarkEnd w:id="175"/>
      <w:r w:rsidR="004679CC">
        <w:t>:</w:t>
      </w:r>
      <w:r>
        <w:t xml:space="preserve"> Summary of the MPS Program’s medium-term outcomes and level of achievement</w:t>
      </w:r>
    </w:p>
    <w:tbl>
      <w:tblPr>
        <w:tblStyle w:val="GridTable1Light-Accent1"/>
        <w:tblW w:w="0" w:type="auto"/>
        <w:tblLook w:val="04A0" w:firstRow="1" w:lastRow="0" w:firstColumn="1" w:lastColumn="0" w:noHBand="0" w:noVBand="1"/>
      </w:tblPr>
      <w:tblGrid>
        <w:gridCol w:w="2823"/>
        <w:gridCol w:w="395"/>
        <w:gridCol w:w="6410"/>
      </w:tblGrid>
      <w:tr w:rsidR="00216DBA" w14:paraId="4EBBF6B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3" w:type="dxa"/>
            <w:tcBorders>
              <w:top w:val="nil"/>
              <w:left w:val="nil"/>
            </w:tcBorders>
            <w:shd w:val="clear" w:color="auto" w:fill="F1F4FE"/>
          </w:tcPr>
          <w:p w14:paraId="6A5F2B49" w14:textId="33E284D4" w:rsidR="00216DBA" w:rsidRPr="00520148" w:rsidRDefault="00216DBA">
            <w:pPr>
              <w:pStyle w:val="BodyText"/>
            </w:pPr>
            <w:bookmarkStart w:id="176" w:name="_Hlk184309629"/>
            <w:r>
              <w:t>Medium</w:t>
            </w:r>
            <w:r w:rsidRPr="00520148">
              <w:t>-term outcomes</w:t>
            </w:r>
          </w:p>
        </w:tc>
        <w:tc>
          <w:tcPr>
            <w:tcW w:w="395" w:type="dxa"/>
            <w:tcBorders>
              <w:top w:val="nil"/>
            </w:tcBorders>
          </w:tcPr>
          <w:p w14:paraId="600C7545" w14:textId="77777777" w:rsidR="00216DBA" w:rsidRPr="00520148" w:rsidRDefault="00216DBA">
            <w:pPr>
              <w:pStyle w:val="BodyText"/>
              <w:cnfStyle w:val="100000000000" w:firstRow="1" w:lastRow="0" w:firstColumn="0" w:lastColumn="0" w:oddVBand="0" w:evenVBand="0" w:oddHBand="0" w:evenHBand="0" w:firstRowFirstColumn="0" w:firstRowLastColumn="0" w:lastRowFirstColumn="0" w:lastRowLastColumn="0"/>
            </w:pPr>
          </w:p>
        </w:tc>
        <w:tc>
          <w:tcPr>
            <w:tcW w:w="6410" w:type="dxa"/>
            <w:tcBorders>
              <w:top w:val="nil"/>
              <w:right w:val="nil"/>
            </w:tcBorders>
          </w:tcPr>
          <w:p w14:paraId="58FBCB88" w14:textId="77777777" w:rsidR="00216DBA" w:rsidRPr="00520148" w:rsidRDefault="00216DBA">
            <w:pPr>
              <w:pStyle w:val="BodyText"/>
              <w:cnfStyle w:val="100000000000" w:firstRow="1" w:lastRow="0" w:firstColumn="0" w:lastColumn="0" w:oddVBand="0" w:evenVBand="0" w:oddHBand="0" w:evenHBand="0" w:firstRowFirstColumn="0" w:firstRowLastColumn="0" w:lastRowFirstColumn="0" w:lastRowLastColumn="0"/>
            </w:pPr>
            <w:r w:rsidRPr="00520148">
              <w:t>Achievement</w:t>
            </w:r>
          </w:p>
        </w:tc>
      </w:tr>
      <w:tr w:rsidR="00216DBA" w14:paraId="21536ACA" w14:textId="77777777">
        <w:tc>
          <w:tcPr>
            <w:cnfStyle w:val="001000000000" w:firstRow="0" w:lastRow="0" w:firstColumn="1" w:lastColumn="0" w:oddVBand="0" w:evenVBand="0" w:oddHBand="0" w:evenHBand="0" w:firstRowFirstColumn="0" w:firstRowLastColumn="0" w:lastRowFirstColumn="0" w:lastRowLastColumn="0"/>
            <w:tcW w:w="2823" w:type="dxa"/>
            <w:tcBorders>
              <w:left w:val="nil"/>
            </w:tcBorders>
            <w:shd w:val="clear" w:color="auto" w:fill="F1F4FE"/>
          </w:tcPr>
          <w:p w14:paraId="1BF4FAA4" w14:textId="2A008FE1" w:rsidR="00216DBA" w:rsidRDefault="00216DBA" w:rsidP="00216DBA">
            <w:pPr>
              <w:pStyle w:val="BodyText"/>
            </w:pPr>
            <w:r>
              <w:t>Increase in enrolments and completion in all medical physicist and RPS specialities</w:t>
            </w:r>
          </w:p>
        </w:tc>
        <w:tc>
          <w:tcPr>
            <w:tcW w:w="395" w:type="dxa"/>
          </w:tcPr>
          <w:p w14:paraId="20401A7B" w14:textId="76949618"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rsidRPr="00121CCB">
              <w:rPr>
                <w:rFonts w:ascii="Wingdings 2" w:eastAsia="Wingdings 2" w:hAnsi="Wingdings 2" w:cs="Wingdings 2"/>
                <w:color w:val="A66500"/>
              </w:rPr>
              <w:t>□</w:t>
            </w:r>
          </w:p>
        </w:tc>
        <w:tc>
          <w:tcPr>
            <w:tcW w:w="6410" w:type="dxa"/>
            <w:tcBorders>
              <w:right w:val="nil"/>
            </w:tcBorders>
          </w:tcPr>
          <w:p w14:paraId="1CED3BF8" w14:textId="287E3CD9"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t>New enrolments and total enrolments remained consistent during the period 2018 to 2023. ROMP enrolments peaked in 2018 and again in 2022</w:t>
            </w:r>
            <w:r w:rsidR="00C80AAB">
              <w:t>,</w:t>
            </w:r>
            <w:r>
              <w:t xml:space="preserve"> while DIMP enrolments experienced a peak in 2019 and 2023, which aligns with the standard completion times of Registrars. However, the 2023 peak in the DIMP </w:t>
            </w:r>
            <w:r w:rsidR="00E24831">
              <w:t>S</w:t>
            </w:r>
            <w:r>
              <w:t xml:space="preserve">tream is lower than the </w:t>
            </w:r>
            <w:r w:rsidR="00E057B1">
              <w:t xml:space="preserve">peak </w:t>
            </w:r>
            <w:r>
              <w:t xml:space="preserve">experienced in 2019. </w:t>
            </w:r>
          </w:p>
          <w:p w14:paraId="54225449" w14:textId="7319A0ED"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t xml:space="preserve">As highlighted in </w:t>
            </w:r>
            <w:r>
              <w:rPr>
                <w:highlight w:val="yellow"/>
              </w:rPr>
              <w:fldChar w:fldCharType="begin" w:fldLock="1"/>
            </w:r>
            <w:r>
              <w:instrText xml:space="preserve"> REF _Ref181946717 \h </w:instrText>
            </w:r>
            <w:r>
              <w:rPr>
                <w:highlight w:val="yellow"/>
              </w:rPr>
            </w:r>
            <w:r>
              <w:rPr>
                <w:highlight w:val="yellow"/>
              </w:rPr>
              <w:fldChar w:fldCharType="separate"/>
            </w:r>
            <w:r>
              <w:t xml:space="preserve">Table </w:t>
            </w:r>
            <w:r>
              <w:rPr>
                <w:noProof/>
              </w:rPr>
              <w:t>11</w:t>
            </w:r>
            <w:r>
              <w:rPr>
                <w:highlight w:val="yellow"/>
              </w:rPr>
              <w:fldChar w:fldCharType="end"/>
            </w:r>
            <w:r>
              <w:t xml:space="preserve"> above, the ability to capitalise on the increased demand </w:t>
            </w:r>
            <w:r w:rsidR="00E057B1">
              <w:t xml:space="preserve">for </w:t>
            </w:r>
            <w:r>
              <w:t>TEAP is dependent on Supervisor and facility capability, capacity</w:t>
            </w:r>
            <w:r w:rsidR="00F616A4">
              <w:t>,</w:t>
            </w:r>
            <w:r>
              <w:t xml:space="preserve"> and willingness to train.  </w:t>
            </w:r>
          </w:p>
          <w:p w14:paraId="44086164" w14:textId="670F2DF0"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t xml:space="preserve">During the period 2018 to 30 October 2024, 130 ROMPs, 38 DIMPs and 6 RPS Registrars have competed TEAP, taking an average of 4.44, 4.46 and 4.63 years respectfully. The full effect of the curriculum change that reduced the length of TEAP has not yet been observed as the first round of Registrars to complete TEAP under the new curriculum in </w:t>
            </w:r>
            <w:r w:rsidR="005D491B">
              <w:t xml:space="preserve">its </w:t>
            </w:r>
            <w:r>
              <w:t xml:space="preserve">entirety </w:t>
            </w:r>
            <w:r w:rsidR="004561CC">
              <w:t xml:space="preserve">is </w:t>
            </w:r>
            <w:r>
              <w:t>expected in early 2025.</w:t>
            </w:r>
          </w:p>
          <w:p w14:paraId="56449D4D" w14:textId="56AC50B5" w:rsidR="00216DBA" w:rsidRPr="00DC27F5" w:rsidRDefault="00216DBA" w:rsidP="00216DBA">
            <w:pPr>
              <w:pStyle w:val="BodyText"/>
              <w:cnfStyle w:val="000000000000" w:firstRow="0" w:lastRow="0" w:firstColumn="0" w:lastColumn="0" w:oddVBand="0" w:evenVBand="0" w:oddHBand="0" w:evenHBand="0" w:firstRowFirstColumn="0" w:firstRowLastColumn="0" w:lastRowFirstColumn="0" w:lastRowLastColumn="0"/>
              <w:rPr>
                <w:i/>
                <w:color w:val="00338D" w:themeColor="accent1"/>
                <w:szCs w:val="20"/>
              </w:rPr>
            </w:pPr>
            <w:r>
              <w:t xml:space="preserve">Detailed enrolment and completion data is provided in </w:t>
            </w:r>
            <w:r w:rsidR="00761340">
              <w:t xml:space="preserve">Section </w:t>
            </w:r>
            <w:r w:rsidR="00761340">
              <w:fldChar w:fldCharType="begin" w:fldLock="1"/>
            </w:r>
            <w:r w:rsidR="00761340">
              <w:instrText xml:space="preserve"> REF _Ref184378693 \r \h </w:instrText>
            </w:r>
            <w:r w:rsidR="00761340">
              <w:fldChar w:fldCharType="separate"/>
            </w:r>
            <w:r w:rsidR="00761340">
              <w:rPr>
                <w:cs/>
              </w:rPr>
              <w:t>‎</w:t>
            </w:r>
            <w:r w:rsidR="00761340">
              <w:t>3.5.3</w:t>
            </w:r>
            <w:r w:rsidR="00761340">
              <w:fldChar w:fldCharType="end"/>
            </w:r>
            <w:r w:rsidR="00761340">
              <w:t xml:space="preserve"> below</w:t>
            </w:r>
            <w:r>
              <w:t xml:space="preserve">.   </w:t>
            </w:r>
          </w:p>
        </w:tc>
      </w:tr>
      <w:tr w:rsidR="00216DBA" w14:paraId="35411D8C" w14:textId="77777777">
        <w:tc>
          <w:tcPr>
            <w:cnfStyle w:val="001000000000" w:firstRow="0" w:lastRow="0" w:firstColumn="1" w:lastColumn="0" w:oddVBand="0" w:evenVBand="0" w:oddHBand="0" w:evenHBand="0" w:firstRowFirstColumn="0" w:firstRowLastColumn="0" w:lastRowFirstColumn="0" w:lastRowLastColumn="0"/>
            <w:tcW w:w="2823" w:type="dxa"/>
            <w:tcBorders>
              <w:left w:val="nil"/>
            </w:tcBorders>
            <w:shd w:val="clear" w:color="auto" w:fill="F1F4FE"/>
          </w:tcPr>
          <w:p w14:paraId="18349CBB" w14:textId="0EB50F57" w:rsidR="00216DBA" w:rsidRDefault="00216DBA" w:rsidP="00216DBA">
            <w:pPr>
              <w:pStyle w:val="BodyText"/>
            </w:pPr>
            <w:r>
              <w:t xml:space="preserve">More physicists undertaking medical physicist speciality training </w:t>
            </w:r>
          </w:p>
        </w:tc>
        <w:tc>
          <w:tcPr>
            <w:tcW w:w="395" w:type="dxa"/>
          </w:tcPr>
          <w:p w14:paraId="356D6124" w14:textId="531A36E6"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rsidRPr="00121CCB">
              <w:rPr>
                <w:rFonts w:ascii="Wingdings 2" w:eastAsia="Wingdings 2" w:hAnsi="Wingdings 2" w:cs="Wingdings 2"/>
                <w:color w:val="A66500"/>
              </w:rPr>
              <w:t>□</w:t>
            </w:r>
          </w:p>
        </w:tc>
        <w:tc>
          <w:tcPr>
            <w:tcW w:w="6410" w:type="dxa"/>
            <w:tcBorders>
              <w:right w:val="nil"/>
            </w:tcBorders>
          </w:tcPr>
          <w:p w14:paraId="2FB8FB89" w14:textId="6574CE27"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t xml:space="preserve">Consultations with ACPSEM highlighted that the curriculum changes removed the higher-level advanced content. The removed content became additional advanced training for medical physicists that can be undertaken as fellowships. ARPANSA consultations stated the growing need for additional and specialist training as the role of medical physicists shifts with latest research and technologies. As part of ACPSEM registration, members are required to participate in the ACPSEM CPD program and meet minimum CPD requirements over a three-year period. </w:t>
            </w:r>
          </w:p>
          <w:p w14:paraId="40346630" w14:textId="1F7135AB"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t>This review focused on TEAP as this is the predominate focus of the MPS Program. As such</w:t>
            </w:r>
            <w:r w:rsidR="00EB785E">
              <w:t>,</w:t>
            </w:r>
            <w:r>
              <w:t xml:space="preserve"> additional data and consultations were not collected or undertaken regarding specialist training.  </w:t>
            </w:r>
          </w:p>
        </w:tc>
      </w:tr>
      <w:tr w:rsidR="00216DBA" w14:paraId="39D576B3" w14:textId="77777777">
        <w:tc>
          <w:tcPr>
            <w:cnfStyle w:val="001000000000" w:firstRow="0" w:lastRow="0" w:firstColumn="1" w:lastColumn="0" w:oddVBand="0" w:evenVBand="0" w:oddHBand="0" w:evenHBand="0" w:firstRowFirstColumn="0" w:firstRowLastColumn="0" w:lastRowFirstColumn="0" w:lastRowLastColumn="0"/>
            <w:tcW w:w="2823" w:type="dxa"/>
            <w:tcBorders>
              <w:left w:val="nil"/>
            </w:tcBorders>
            <w:shd w:val="clear" w:color="auto" w:fill="F1F4FE"/>
          </w:tcPr>
          <w:p w14:paraId="1E176318" w14:textId="62CEECC6" w:rsidR="00216DBA" w:rsidRDefault="00AD1813" w:rsidP="00216DBA">
            <w:pPr>
              <w:pStyle w:val="BodyText"/>
            </w:pPr>
            <w:r>
              <w:t>‘</w:t>
            </w:r>
            <w:r w:rsidR="00B048BE">
              <w:t xml:space="preserve">Medical </w:t>
            </w:r>
            <w:r w:rsidR="00204B84">
              <w:t>physicist</w:t>
            </w:r>
            <w:r>
              <w:t>’</w:t>
            </w:r>
            <w:r w:rsidR="00204B84">
              <w:t xml:space="preserve"> </w:t>
            </w:r>
            <w:r w:rsidR="00216DBA">
              <w:t xml:space="preserve">registered as Allied Health and registered under the NRAS </w:t>
            </w:r>
          </w:p>
        </w:tc>
        <w:tc>
          <w:tcPr>
            <w:tcW w:w="395" w:type="dxa"/>
          </w:tcPr>
          <w:p w14:paraId="02416464" w14:textId="625A916B"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rsidRPr="00121CCB">
              <w:rPr>
                <w:rFonts w:ascii="Wingdings 2" w:eastAsia="Wingdings 2" w:hAnsi="Wingdings 2" w:cs="Wingdings 2"/>
                <w:color w:val="A66500"/>
              </w:rPr>
              <w:t>□</w:t>
            </w:r>
          </w:p>
        </w:tc>
        <w:tc>
          <w:tcPr>
            <w:tcW w:w="6410" w:type="dxa"/>
            <w:tcBorders>
              <w:right w:val="nil"/>
            </w:tcBorders>
          </w:tcPr>
          <w:p w14:paraId="4789ACEF" w14:textId="77777777"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t xml:space="preserve">Various stakeholders are currently advocating for and progressing the formal registration and protected title of medical physicists under the NRAS. </w:t>
            </w:r>
          </w:p>
          <w:p w14:paraId="21B50D8C" w14:textId="29DCB952"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t xml:space="preserve">Most consultations highlighted the significance and importance of registration, and the positive impacts it could have on the workforce. Other stakeholders felt that the practical implications of registration would be minimal.  </w:t>
            </w:r>
            <w:r w:rsidR="00502F77">
              <w:t xml:space="preserve">It should be noted that </w:t>
            </w:r>
            <w:r w:rsidR="00CB1494">
              <w:t xml:space="preserve">registration under NRAS is one type of regulation </w:t>
            </w:r>
            <w:r w:rsidR="0087664C">
              <w:t xml:space="preserve">governing health workers in </w:t>
            </w:r>
            <w:proofErr w:type="gramStart"/>
            <w:r w:rsidR="0087664C">
              <w:t>Australia</w:t>
            </w:r>
            <w:r w:rsidR="00300C43">
              <w:t>, and</w:t>
            </w:r>
            <w:proofErr w:type="gramEnd"/>
            <w:r w:rsidR="00300C43">
              <w:t xml:space="preserve"> has a strong focus on </w:t>
            </w:r>
            <w:r w:rsidR="0077330E">
              <w:t>protection of the public</w:t>
            </w:r>
            <w:r w:rsidR="0087664C">
              <w:t xml:space="preserve">. NRAS registration can be costly and restrictive and </w:t>
            </w:r>
            <w:r w:rsidR="00BB6B56">
              <w:t>there may be other forms of registration that provide similar benefits at lower cost.</w:t>
            </w:r>
            <w:r w:rsidR="005F7EBC">
              <w:rPr>
                <w:rFonts w:ascii="ZWAdobeF" w:hAnsi="ZWAdobeF" w:cs="ZWAdobeF"/>
                <w:sz w:val="2"/>
                <w:szCs w:val="2"/>
              </w:rPr>
              <w:t>71F</w:t>
            </w:r>
            <w:r w:rsidR="003E0A3C">
              <w:rPr>
                <w:rStyle w:val="FootnoteReference"/>
              </w:rPr>
              <w:footnoteReference w:id="73"/>
            </w:r>
          </w:p>
        </w:tc>
      </w:tr>
      <w:tr w:rsidR="00216DBA" w14:paraId="1D31EACE" w14:textId="77777777">
        <w:tc>
          <w:tcPr>
            <w:cnfStyle w:val="001000000000" w:firstRow="0" w:lastRow="0" w:firstColumn="1" w:lastColumn="0" w:oddVBand="0" w:evenVBand="0" w:oddHBand="0" w:evenHBand="0" w:firstRowFirstColumn="0" w:firstRowLastColumn="0" w:lastRowFirstColumn="0" w:lastRowLastColumn="0"/>
            <w:tcW w:w="2823" w:type="dxa"/>
            <w:tcBorders>
              <w:left w:val="nil"/>
            </w:tcBorders>
            <w:shd w:val="clear" w:color="auto" w:fill="F1F4FE"/>
          </w:tcPr>
          <w:p w14:paraId="4D377C68" w14:textId="55FF1221" w:rsidR="00216DBA" w:rsidRDefault="00216DBA" w:rsidP="00216DBA">
            <w:pPr>
              <w:pStyle w:val="BodyText"/>
            </w:pPr>
            <w:r>
              <w:t xml:space="preserve">Enhanced capacity and capability to train the medical physicist and RPS workforce </w:t>
            </w:r>
          </w:p>
        </w:tc>
        <w:tc>
          <w:tcPr>
            <w:tcW w:w="395" w:type="dxa"/>
          </w:tcPr>
          <w:p w14:paraId="64AC7147" w14:textId="3567693C"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rsidRPr="00BD2AA5">
              <w:rPr>
                <w:rFonts w:ascii="Wingdings 2" w:eastAsia="Wingdings 2" w:hAnsi="Wingdings 2" w:cs="Wingdings 2"/>
                <w:color w:val="C00000"/>
              </w:rPr>
              <w:t>□</w:t>
            </w:r>
          </w:p>
        </w:tc>
        <w:tc>
          <w:tcPr>
            <w:tcW w:w="6410" w:type="dxa"/>
            <w:tcBorders>
              <w:right w:val="nil"/>
            </w:tcBorders>
          </w:tcPr>
          <w:p w14:paraId="5B3CF631" w14:textId="1EF8309C"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t>A consistent theme across stakeholder consultation was the substantial time and effort associated with the Supervisor role</w:t>
            </w:r>
            <w:r w:rsidR="00FC24F0">
              <w:t xml:space="preserve">. Many stakeholders found that </w:t>
            </w:r>
            <w:r>
              <w:t xml:space="preserve">the change in curriculum placed further responsibilities on Supervisors. Supervisor burden and capacity is further detailed in Sections </w:t>
            </w:r>
            <w:r>
              <w:fldChar w:fldCharType="begin" w:fldLock="1"/>
            </w:r>
            <w:r>
              <w:instrText xml:space="preserve"> REF _Ref182582028 \r \h </w:instrText>
            </w:r>
            <w:r>
              <w:fldChar w:fldCharType="separate"/>
            </w:r>
            <w:r>
              <w:t>3.1.1</w:t>
            </w:r>
            <w:r>
              <w:fldChar w:fldCharType="end"/>
            </w:r>
            <w:r>
              <w:t xml:space="preserve"> and </w:t>
            </w:r>
            <w:r>
              <w:fldChar w:fldCharType="begin" w:fldLock="1"/>
            </w:r>
            <w:r>
              <w:instrText xml:space="preserve"> REF _Ref181963173 \r \h </w:instrText>
            </w:r>
            <w:r>
              <w:fldChar w:fldCharType="separate"/>
            </w:r>
            <w:r>
              <w:t>3.5.2</w:t>
            </w:r>
            <w:r>
              <w:fldChar w:fldCharType="end"/>
            </w:r>
            <w:r w:rsidRPr="001C5D51">
              <w:rPr>
                <w:i/>
                <w:iCs/>
              </w:rPr>
              <w:t xml:space="preserve">. </w:t>
            </w:r>
          </w:p>
          <w:p w14:paraId="4682A648" w14:textId="211B17EC" w:rsidR="00216DBA" w:rsidRDefault="00216DBA" w:rsidP="00216DBA">
            <w:pPr>
              <w:pStyle w:val="BodyText"/>
              <w:cnfStyle w:val="000000000000" w:firstRow="0" w:lastRow="0" w:firstColumn="0" w:lastColumn="0" w:oddVBand="0" w:evenVBand="0" w:oddHBand="0" w:evenHBand="0" w:firstRowFirstColumn="0" w:firstRowLastColumn="0" w:lastRowFirstColumn="0" w:lastRowLastColumn="0"/>
            </w:pPr>
            <w:r>
              <w:t>To assist in Supervisor capability</w:t>
            </w:r>
            <w:r w:rsidR="007261E0">
              <w:t>,</w:t>
            </w:r>
            <w:r>
              <w:t xml:space="preserve"> ACPSEM provides training videos targeted at new Supervisors, a </w:t>
            </w:r>
            <w:proofErr w:type="gramStart"/>
            <w:r>
              <w:t>Supervisor</w:t>
            </w:r>
            <w:proofErr w:type="gramEnd"/>
            <w:r>
              <w:t xml:space="preserve"> workshop series, and additional education sessions. While </w:t>
            </w:r>
            <w:r w:rsidR="007261E0">
              <w:t xml:space="preserve">stakeholders </w:t>
            </w:r>
            <w:r>
              <w:t xml:space="preserve">spoke highly of the workshops provided by ACPSEM, one </w:t>
            </w:r>
            <w:r w:rsidR="007261E0">
              <w:t xml:space="preserve">stakeholder </w:t>
            </w:r>
            <w:r>
              <w:t xml:space="preserve">acknowledged </w:t>
            </w:r>
            <w:r w:rsidR="007261E0">
              <w:t xml:space="preserve">in consultation </w:t>
            </w:r>
            <w:r>
              <w:t>the difficulty of being an educator to a Registrar without having formalised educator training. These challenges can be alleviated through state-wide educator and preceptor roles detailed in Section</w:t>
            </w:r>
            <w:r w:rsidR="00CE5A87">
              <w:t xml:space="preserve"> </w:t>
            </w:r>
            <w:r w:rsidR="00CE5A87">
              <w:fldChar w:fldCharType="begin" w:fldLock="1"/>
            </w:r>
            <w:r w:rsidR="00CE5A87">
              <w:instrText xml:space="preserve"> REF _Ref184131177 \r \h </w:instrText>
            </w:r>
            <w:r w:rsidR="00CE5A87">
              <w:fldChar w:fldCharType="separate"/>
            </w:r>
            <w:r w:rsidR="00CE5A87">
              <w:rPr>
                <w:cs/>
              </w:rPr>
              <w:t>‎</w:t>
            </w:r>
            <w:r w:rsidR="00CE5A87">
              <w:t>3.1.5</w:t>
            </w:r>
            <w:r w:rsidR="00CE5A87">
              <w:fldChar w:fldCharType="end"/>
            </w:r>
            <w:r>
              <w:t>.</w:t>
            </w:r>
          </w:p>
        </w:tc>
      </w:tr>
    </w:tbl>
    <w:p w14:paraId="50F9388C" w14:textId="5FCF71F8" w:rsidR="00216DBA" w:rsidRPr="0019756D" w:rsidRDefault="00216DBA" w:rsidP="0019756D">
      <w:pPr>
        <w:tabs>
          <w:tab w:val="left" w:pos="1843"/>
          <w:tab w:val="left" w:pos="3686"/>
        </w:tabs>
      </w:pPr>
      <w:r w:rsidRPr="00C265FF">
        <w:rPr>
          <w:rFonts w:ascii="Wingdings 2" w:eastAsia="Wingdings 2" w:hAnsi="Wingdings 2" w:cs="Wingdings 2"/>
        </w:rPr>
        <w:t>□</w:t>
      </w:r>
      <w:r w:rsidRPr="0019756D">
        <w:t xml:space="preserve"> </w:t>
      </w:r>
      <w:r w:rsidRPr="008702BB">
        <w:rPr>
          <w:iCs/>
        </w:rPr>
        <w:t>Achieved</w:t>
      </w:r>
      <w:r w:rsidR="0019756D">
        <w:rPr>
          <w:iCs/>
        </w:rPr>
        <w:tab/>
      </w:r>
      <w:r w:rsidR="0019756D">
        <w:rPr>
          <w:rFonts w:ascii="Wingdings 2" w:eastAsia="Wingdings 2" w:hAnsi="Wingdings 2" w:cs="Wingdings 2"/>
        </w:rPr>
        <w:t>¡</w:t>
      </w:r>
      <w:r w:rsidRPr="0019756D">
        <w:t xml:space="preserve"> </w:t>
      </w:r>
      <w:r>
        <w:rPr>
          <w:iCs/>
        </w:rPr>
        <w:t>Emerging</w:t>
      </w:r>
      <w:r w:rsidR="0019756D">
        <w:rPr>
          <w:iCs/>
        </w:rPr>
        <w:tab/>
      </w:r>
      <w:r w:rsidRPr="003824D3">
        <w:rPr>
          <w:rFonts w:ascii="Wingdings 2" w:eastAsia="Wingdings 2" w:hAnsi="Wingdings 2" w:cs="Wingdings 2"/>
          <w:color w:val="C00000"/>
        </w:rPr>
        <w:t>□</w:t>
      </w:r>
      <w:r w:rsidR="0019756D">
        <w:rPr>
          <w:iCs/>
          <w:color w:val="C00000"/>
        </w:rPr>
        <w:t xml:space="preserve"> </w:t>
      </w:r>
      <w:r>
        <w:rPr>
          <w:iCs/>
        </w:rPr>
        <w:t>No evidence</w:t>
      </w:r>
    </w:p>
    <w:bookmarkEnd w:id="176"/>
    <w:p w14:paraId="49C8596D" w14:textId="5F0F0F5F" w:rsidR="008702BB" w:rsidRPr="008702BB" w:rsidRDefault="008702BB" w:rsidP="0019756D">
      <w:pPr>
        <w:pStyle w:val="Footer"/>
        <w:rPr>
          <w:lang w:eastAsia="en-AU"/>
        </w:rPr>
      </w:pPr>
      <w:r w:rsidRPr="008702BB">
        <w:rPr>
          <w:lang w:eastAsia="en-AU"/>
        </w:rPr>
        <w:t>Source: KPMG</w:t>
      </w:r>
      <w:r w:rsidR="00F718B0">
        <w:rPr>
          <w:lang w:eastAsia="en-AU"/>
        </w:rPr>
        <w:t>,</w:t>
      </w:r>
      <w:r w:rsidRPr="008702BB">
        <w:rPr>
          <w:lang w:eastAsia="en-AU"/>
        </w:rPr>
        <w:t xml:space="preserve"> 2024</w:t>
      </w:r>
      <w:r w:rsidR="00F718B0">
        <w:rPr>
          <w:lang w:eastAsia="en-AU"/>
        </w:rPr>
        <w:t>.</w:t>
      </w:r>
    </w:p>
    <w:p w14:paraId="3468B33A" w14:textId="77777777" w:rsidR="0017189E" w:rsidRPr="00AE349D" w:rsidRDefault="0017189E" w:rsidP="00AE349D">
      <w:pPr>
        <w:pStyle w:val="Heading3"/>
      </w:pPr>
      <w:bookmarkStart w:id="177" w:name="_Ref181963173"/>
      <w:bookmarkStart w:id="178" w:name="_Toc216711598"/>
      <w:r w:rsidRPr="00AE349D">
        <w:t>Effectiveness of TEAP design</w:t>
      </w:r>
      <w:bookmarkEnd w:id="177"/>
      <w:bookmarkEnd w:id="178"/>
    </w:p>
    <w:p w14:paraId="2FB081BA" w14:textId="77777777" w:rsidR="0017189E" w:rsidRPr="0086361C" w:rsidRDefault="0017189E" w:rsidP="00DC27F5">
      <w:pPr>
        <w:pStyle w:val="Heading4"/>
        <w:rPr>
          <w:bCs/>
        </w:rPr>
      </w:pPr>
      <w:r w:rsidRPr="00504BA0">
        <w:t>Scope of the curriculum</w:t>
      </w:r>
    </w:p>
    <w:p w14:paraId="216D8541" w14:textId="68605150" w:rsidR="0017189E" w:rsidRPr="0019756D" w:rsidRDefault="0017189E" w:rsidP="0019756D">
      <w:r>
        <w:t xml:space="preserve">Numerous stakeholders were confident that the TEAP curriculum is fit for purpose and provides Registrars with the knowledge and skills required to practice independently and be minimally competent in their profession. Stakeholders consistently reported that the breadth of the program is large, and some highlighted that the program is intentionally not designed to develop expertise in all areas nor guarantee an excellent level of practice. Rather, the curriculum is reflective of the breadth the </w:t>
      </w:r>
      <w:r w:rsidR="002025C3">
        <w:t xml:space="preserve">medical physicist </w:t>
      </w:r>
      <w:r>
        <w:t xml:space="preserve">role demands, and there will always be a need to learn specialisations on the job and depth of knowledge can be developed after the program. </w:t>
      </w:r>
    </w:p>
    <w:p w14:paraId="019DC970" w14:textId="70FD35D7" w:rsidR="0017189E" w:rsidRPr="00CE56EC" w:rsidRDefault="0017189E" w:rsidP="0019756D">
      <w:r w:rsidRPr="0019756D">
        <w:t>Conversely, some stakeholders to</w:t>
      </w:r>
      <w:r>
        <w:t xml:space="preserve">ok issue with the course not allowing for specialisation or a deeper level of knowledge, and this was commonly attributed to the reduction of the course timeframes from 5 years to 3 years. While these stakeholders acknowledged the need for breadth in the curriculum, they indicated that the level of focus on different aspects of the curriculum should shift to be better aligned with the realistic demands of clinically practicing </w:t>
      </w:r>
      <w:r w:rsidR="00577603">
        <w:t>medical physicists</w:t>
      </w:r>
      <w:r>
        <w:t>. Suggestions included scaling back specialised or uncommon practices in the curriculum or offering specialist modules.</w:t>
      </w:r>
    </w:p>
    <w:p w14:paraId="1D45715B" w14:textId="5CAD0441" w:rsidR="0017189E" w:rsidRPr="00504BA0" w:rsidRDefault="0017189E" w:rsidP="00DC27F5">
      <w:pPr>
        <w:pStyle w:val="Heading4"/>
      </w:pPr>
      <w:r w:rsidRPr="00504BA0">
        <w:t>Duration of TEAP</w:t>
      </w:r>
    </w:p>
    <w:p w14:paraId="0C1A7539" w14:textId="277174FB" w:rsidR="0017189E" w:rsidRDefault="0017189E" w:rsidP="0019756D">
      <w:r>
        <w:t xml:space="preserve">In 2019, TEAP transitioned from a 5-year to 3-year time limited registration, with all newly enrolling Registrars expected to complete TEAP within the new timeframe. This change was the result of ACPSEM’s focus on streamlining TEAP progression and completion. Stakeholders from the ACER indicated that this change in duration was primarily made to improve efficiency of the program, reduce instances of overassessment, and improve responsiveness to increasing workforce demands. While there was a consensus amongst stakeholders that the original 5-year duration was too long, the consolidation of TEAP to a 3-year course was found to have several implications for the </w:t>
      </w:r>
      <w:r w:rsidR="008B6490">
        <w:t xml:space="preserve">effectiveness </w:t>
      </w:r>
      <w:r>
        <w:t xml:space="preserve">of the curriculum and the experience of Supervisors and Registrars. </w:t>
      </w:r>
    </w:p>
    <w:p w14:paraId="6E0FBD6B" w14:textId="3AE868BB" w:rsidR="0017189E" w:rsidRDefault="0017189E" w:rsidP="0019756D">
      <w:r>
        <w:t xml:space="preserve">Stakeholders </w:t>
      </w:r>
      <w:r w:rsidR="00863C79">
        <w:t>consistently</w:t>
      </w:r>
      <w:r>
        <w:t xml:space="preserve"> highlighted that </w:t>
      </w:r>
      <w:proofErr w:type="gramStart"/>
      <w:r>
        <w:t>in order to</w:t>
      </w:r>
      <w:proofErr w:type="gramEnd"/>
      <w:r>
        <w:t xml:space="preserve"> support completion within the 3 years, the new curricula for the three disciplines implemented from 2020 onwards sacrificed some practices and shifted its focus from practical skills to theory. While </w:t>
      </w:r>
      <w:proofErr w:type="gramStart"/>
      <w:r>
        <w:t>the majority of</w:t>
      </w:r>
      <w:proofErr w:type="gramEnd"/>
      <w:r>
        <w:t xml:space="preserve"> stakeholders agreed that the shortened timeframe was tight and challenging, some of these stakeholders felt that the changes to the curriculum were effective in making the completion of the course achievable in 3 years. Some stakeholders also felt confident that the curriculum was being taught to an appropriate level of depth in their facility, which may be attributed to the additional supports made available to their facility’s </w:t>
      </w:r>
      <w:r w:rsidRPr="00522DFB">
        <w:t>Registrars</w:t>
      </w:r>
      <w:r>
        <w:t xml:space="preserve"> and </w:t>
      </w:r>
      <w:r w:rsidRPr="00522DFB">
        <w:t>Supervisors</w:t>
      </w:r>
      <w:r>
        <w:t xml:space="preserve"> (see </w:t>
      </w:r>
      <w:r w:rsidRPr="00522DFB">
        <w:t>Section</w:t>
      </w:r>
      <w:r w:rsidR="00FA5DF7">
        <w:t xml:space="preserve"> </w:t>
      </w:r>
      <w:r w:rsidR="00FA5DF7">
        <w:fldChar w:fldCharType="begin" w:fldLock="1"/>
      </w:r>
      <w:r w:rsidR="00FA5DF7">
        <w:instrText xml:space="preserve"> REF _Ref184131177 \r \h </w:instrText>
      </w:r>
      <w:r w:rsidR="00FA5DF7">
        <w:fldChar w:fldCharType="separate"/>
      </w:r>
      <w:r w:rsidR="00FA5DF7">
        <w:rPr>
          <w:cs/>
        </w:rPr>
        <w:t>‎</w:t>
      </w:r>
      <w:r w:rsidR="00FA5DF7">
        <w:t>3.1.5</w:t>
      </w:r>
      <w:r w:rsidR="00FA5DF7">
        <w:fldChar w:fldCharType="end"/>
      </w:r>
      <w:r w:rsidR="00FF122F">
        <w:t>).</w:t>
      </w:r>
      <w:r>
        <w:t xml:space="preserve"> </w:t>
      </w:r>
    </w:p>
    <w:p w14:paraId="259BA88E" w14:textId="45EDB574" w:rsidR="00645208" w:rsidRDefault="0017189E" w:rsidP="00645208">
      <w:r>
        <w:t xml:space="preserve">However, some stakeholders took issue with the curriculum changes. Several stakeholders highlighted </w:t>
      </w:r>
      <w:r w:rsidR="00FA5DF7">
        <w:t xml:space="preserve">that </w:t>
      </w:r>
      <w:r w:rsidR="008F599E">
        <w:t>3 years</w:t>
      </w:r>
      <w:r>
        <w:t xml:space="preserve"> is not a sufficient length of time to gain the depth of knowledge and experience required to practice clinically, and that the reduced emphasis on practical skills and practical examinations is detrimental to the training of Registrars. The shortened timeframe was also found to substantially increase workload, burden, and stress on both Registrars and Supervisors. This was particularly challenging in hospitals experiencing high clinical demands, as it was felt that the shortened timeframe offers less flexibility and understanding of the prioritisation of clinical demands. This was made particularly evident by an experienced ROMP Supervisor in NSW who expressed that the shortened timeframe significantly increased stress experienced by Supervisors and Registrars, resulting in increased cases of stress-related leave taken by Registrars, greater responsibility on Supervisors to support the mental wellbeing of Registrars, and reduced interest in supervising amongst staff.</w:t>
      </w:r>
      <w:r w:rsidR="008F599E">
        <w:t xml:space="preserve"> </w:t>
      </w:r>
      <w:r w:rsidR="004606AA">
        <w:t>In response to the survey question</w:t>
      </w:r>
      <w:r w:rsidR="008F599E">
        <w:t xml:space="preserve"> “do you have any suggested improvements to the design, delivery and/or funding arrangements of the program to best meet the trained needs of </w:t>
      </w:r>
      <w:r w:rsidR="00D404D2">
        <w:t>m</w:t>
      </w:r>
      <w:r w:rsidR="008F599E">
        <w:t xml:space="preserve">edical </w:t>
      </w:r>
      <w:r w:rsidR="00D404D2">
        <w:t>p</w:t>
      </w:r>
      <w:r w:rsidR="008F599E">
        <w:t>hysicists and RPS?”</w:t>
      </w:r>
      <w:r w:rsidR="004606AA">
        <w:t>,</w:t>
      </w:r>
      <w:r w:rsidR="008F599E">
        <w:t xml:space="preserve"> </w:t>
      </w:r>
      <w:r w:rsidR="009761D7">
        <w:t xml:space="preserve">there were </w:t>
      </w:r>
      <w:r w:rsidR="008F599E">
        <w:t xml:space="preserve">14 Supervisors </w:t>
      </w:r>
      <w:r w:rsidR="009761D7">
        <w:t xml:space="preserve">who </w:t>
      </w:r>
      <w:r w:rsidR="008F599E">
        <w:t xml:space="preserve">responded in relation to TEAP duration, stating that three years is not enough time and/or </w:t>
      </w:r>
      <w:r w:rsidR="00271D79">
        <w:t xml:space="preserve">suggesting the program should be extended </w:t>
      </w:r>
      <w:r w:rsidR="008F599E">
        <w:t xml:space="preserve">to 4 years. </w:t>
      </w:r>
    </w:p>
    <w:p w14:paraId="3979ACD5" w14:textId="4773F66E" w:rsidR="00645208" w:rsidRPr="00645208" w:rsidRDefault="00645208" w:rsidP="00645208">
      <w:pPr>
        <w:pStyle w:val="BodyText"/>
        <w:shd w:val="clear" w:color="auto" w:fill="CAF1FF" w:themeFill="accent4" w:themeFillTint="33"/>
      </w:pPr>
      <w:r w:rsidRPr="001B2509">
        <w:rPr>
          <w:noProof/>
        </w:rPr>
        <w:drawing>
          <wp:anchor distT="0" distB="0" distL="114300" distR="114300" simplePos="0" relativeHeight="251681792" behindDoc="0" locked="0" layoutInCell="1" allowOverlap="1" wp14:anchorId="6C0C5A57" wp14:editId="30F2A508">
            <wp:simplePos x="0" y="0"/>
            <wp:positionH relativeFrom="column">
              <wp:posOffset>3810</wp:posOffset>
            </wp:positionH>
            <wp:positionV relativeFrom="paragraph">
              <wp:posOffset>-4445</wp:posOffset>
            </wp:positionV>
            <wp:extent cx="438785" cy="446405"/>
            <wp:effectExtent l="0" t="0" r="0" b="0"/>
            <wp:wrapSquare wrapText="bothSides"/>
            <wp:docPr id="339479696" name="Graphic 3394796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5"/>
                        </a:ext>
                      </a:extLst>
                    </a:blip>
                    <a:stretch>
                      <a:fillRect/>
                    </a:stretch>
                  </pic:blipFill>
                  <pic:spPr>
                    <a:xfrm>
                      <a:off x="0" y="0"/>
                      <a:ext cx="438785" cy="446405"/>
                    </a:xfrm>
                    <a:prstGeom prst="rect">
                      <a:avLst/>
                    </a:prstGeom>
                  </pic:spPr>
                </pic:pic>
              </a:graphicData>
            </a:graphic>
          </wp:anchor>
        </w:drawing>
      </w:r>
      <w:r w:rsidRPr="009C411C">
        <w:rPr>
          <w:color w:val="00338D" w:themeColor="accent1"/>
          <w:szCs w:val="20"/>
        </w:rPr>
        <w:t>“For TEAP grant recipients, the strict 3-year duration is limiting. All the training needs to go perfectly for TEAP to be completed within that timeframe</w:t>
      </w:r>
      <w:r>
        <w:rPr>
          <w:color w:val="00338D" w:themeColor="accent1"/>
          <w:szCs w:val="20"/>
        </w:rPr>
        <w:t>.</w:t>
      </w:r>
      <w:r w:rsidRPr="009C411C">
        <w:rPr>
          <w:color w:val="00338D" w:themeColor="accent1"/>
          <w:szCs w:val="20"/>
        </w:rPr>
        <w:t>”</w:t>
      </w:r>
    </w:p>
    <w:p w14:paraId="56239EB7" w14:textId="0BE830BD" w:rsidR="00C54DCA" w:rsidRDefault="00645208" w:rsidP="00645208">
      <w:pPr>
        <w:shd w:val="clear" w:color="auto" w:fill="CAF1FF" w:themeFill="accent4" w:themeFillTint="33"/>
      </w:pPr>
      <w:r w:rsidRPr="002D2AD3">
        <w:t xml:space="preserve">Surveyed </w:t>
      </w:r>
      <w:r>
        <w:t>Supervisor</w:t>
      </w:r>
    </w:p>
    <w:p w14:paraId="444285DF" w14:textId="77777777" w:rsidR="00C54DCA" w:rsidRDefault="00C54DCA" w:rsidP="0019756D"/>
    <w:p w14:paraId="4FF1A375" w14:textId="77777777" w:rsidR="0017189E" w:rsidRDefault="0017189E" w:rsidP="00DC27F5">
      <w:pPr>
        <w:pStyle w:val="Heading4"/>
      </w:pPr>
      <w:r w:rsidRPr="00504BA0">
        <w:t>Gaps in the curriculum</w:t>
      </w:r>
    </w:p>
    <w:p w14:paraId="0418A2A3" w14:textId="4CF55057" w:rsidR="0017189E" w:rsidRDefault="0017189E" w:rsidP="0017189E">
      <w:pPr>
        <w:pStyle w:val="BodyText"/>
      </w:pPr>
      <w:r>
        <w:t xml:space="preserve">Despite some stakeholders saying the curriculum is too broad and too full, others identified gaps in the curriculum, such as professional development and project management skills. A requirement of the new curriculum is that it would serve as a dynamic curriculum that is adaptive to changing technologies. With the role of </w:t>
      </w:r>
      <w:r w:rsidR="00577603">
        <w:t>medical physicists</w:t>
      </w:r>
      <w:r>
        <w:t xml:space="preserve"> expanding significantly in recent years in response to the rapid development and adoption of new technologies and practices, some stakeholders observed that the curriculum could improve on its inclusion of emerging technologies such as AI and </w:t>
      </w:r>
      <w:r w:rsidR="00056CCC">
        <w:t xml:space="preserve">Information Technology </w:t>
      </w:r>
      <w:r>
        <w:t xml:space="preserve">aspects of </w:t>
      </w:r>
      <w:r w:rsidR="00782963">
        <w:t>medical physi</w:t>
      </w:r>
      <w:r w:rsidR="00056CCC">
        <w:t>ci</w:t>
      </w:r>
      <w:r w:rsidR="00782963">
        <w:t>st</w:t>
      </w:r>
      <w:r>
        <w:t xml:space="preserve"> infrastructure.</w:t>
      </w:r>
    </w:p>
    <w:p w14:paraId="656CE82A" w14:textId="23CBF250" w:rsidR="001E5161" w:rsidRPr="00AE349D" w:rsidRDefault="001E5161" w:rsidP="00AE349D">
      <w:pPr>
        <w:pStyle w:val="Heading3"/>
      </w:pPr>
      <w:bookmarkStart w:id="179" w:name="_Ref181955001"/>
      <w:bookmarkStart w:id="180" w:name="_Ref184378693"/>
      <w:bookmarkStart w:id="181" w:name="_Toc216711599"/>
      <w:r w:rsidRPr="00AE349D">
        <w:t xml:space="preserve">Training, certification and assessment </w:t>
      </w:r>
      <w:bookmarkEnd w:id="179"/>
      <w:r w:rsidR="009F42D3" w:rsidRPr="00AE349D">
        <w:t xml:space="preserve">of </w:t>
      </w:r>
      <w:r w:rsidR="00D404D2" w:rsidRPr="00AE349D">
        <w:t>m</w:t>
      </w:r>
      <w:r w:rsidR="009F42D3" w:rsidRPr="00AE349D">
        <w:t xml:space="preserve">edical </w:t>
      </w:r>
      <w:r w:rsidR="00D404D2" w:rsidRPr="00AE349D">
        <w:t>p</w:t>
      </w:r>
      <w:r w:rsidR="009F42D3" w:rsidRPr="00AE349D">
        <w:t>hysicists</w:t>
      </w:r>
      <w:bookmarkEnd w:id="180"/>
      <w:bookmarkEnd w:id="181"/>
      <w:r w:rsidR="009F42D3" w:rsidRPr="00AE349D">
        <w:t xml:space="preserve"> </w:t>
      </w:r>
    </w:p>
    <w:p w14:paraId="105072A3" w14:textId="431763BF" w:rsidR="00BC7A94" w:rsidRPr="00393081" w:rsidRDefault="00BC7A94" w:rsidP="00504CB4">
      <w:r w:rsidRPr="0052651F">
        <w:t xml:space="preserve">According to </w:t>
      </w:r>
      <w:r w:rsidR="001051AA">
        <w:t>ACPSEM</w:t>
      </w:r>
      <w:r w:rsidRPr="0052651F">
        <w:t>, the number of medical physics specialists has increased from 335 in 2016 to 436 in 2021, and much of this increase can be attributed to the training of physicists through TEAP</w:t>
      </w:r>
      <w:r w:rsidR="00DC75F0">
        <w:t>.</w:t>
      </w:r>
      <w:r w:rsidR="002B7D94" w:rsidRPr="00194457">
        <w:rPr>
          <w:vertAlign w:val="superscript"/>
        </w:rPr>
        <w:fldChar w:fldCharType="begin"/>
      </w:r>
      <w:r w:rsidR="002B7D94" w:rsidRPr="00194457">
        <w:rPr>
          <w:vertAlign w:val="superscript"/>
        </w:rPr>
        <w:instrText xml:space="preserve"> NOTEREF _Ref184388845 \h </w:instrText>
      </w:r>
      <w:r w:rsidR="002B7D94">
        <w:rPr>
          <w:vertAlign w:val="superscript"/>
        </w:rPr>
        <w:instrText xml:space="preserve"> \* MERGEFORMAT </w:instrText>
      </w:r>
      <w:r w:rsidR="002B7D94" w:rsidRPr="00194457">
        <w:rPr>
          <w:vertAlign w:val="superscript"/>
        </w:rPr>
      </w:r>
      <w:r w:rsidR="002B7D94" w:rsidRPr="00194457">
        <w:rPr>
          <w:vertAlign w:val="superscript"/>
        </w:rPr>
        <w:fldChar w:fldCharType="separate"/>
      </w:r>
      <w:r w:rsidR="005F7EBC">
        <w:rPr>
          <w:vertAlign w:val="superscript"/>
        </w:rPr>
        <w:t>46</w:t>
      </w:r>
      <w:r w:rsidR="002B7D94" w:rsidRPr="00194457">
        <w:rPr>
          <w:vertAlign w:val="superscript"/>
        </w:rPr>
        <w:fldChar w:fldCharType="end"/>
      </w:r>
      <w:r w:rsidRPr="0052651F">
        <w:t xml:space="preserve"> Almost three-quarters of </w:t>
      </w:r>
      <w:r w:rsidR="00073A65">
        <w:t>S</w:t>
      </w:r>
      <w:r w:rsidRPr="0052651F">
        <w:t xml:space="preserve">upervisors surveyed as part of this evaluation </w:t>
      </w:r>
      <w:r w:rsidR="00187BC2" w:rsidRPr="0052651F">
        <w:t>(72%</w:t>
      </w:r>
      <w:r w:rsidR="00187BC2">
        <w:t>, 39 respondents</w:t>
      </w:r>
      <w:r w:rsidR="00187BC2" w:rsidRPr="0052651F">
        <w:t xml:space="preserve">) </w:t>
      </w:r>
      <w:r w:rsidRPr="0052651F">
        <w:t>agree that TEAP is positively impacting the number of certified professionals in their discipline in their region/facility</w:t>
      </w:r>
      <w:r w:rsidR="003661C7">
        <w:t xml:space="preserve"> (n=54)</w:t>
      </w:r>
      <w:r w:rsidRPr="0052651F">
        <w:t>.</w:t>
      </w:r>
    </w:p>
    <w:p w14:paraId="1E137557" w14:textId="2D5A03BA" w:rsidR="001E5161" w:rsidRPr="00504CB4" w:rsidRDefault="001E5161" w:rsidP="00504CB4">
      <w:r w:rsidRPr="00905084">
        <w:rPr>
          <w:lang w:eastAsia="en-AU"/>
        </w:rPr>
        <w:t>Increased certification of medical physicists is driven by three factors that are included as performance indicators within the Grant Agreement</w:t>
      </w:r>
      <w:r w:rsidR="00585075">
        <w:rPr>
          <w:lang w:eastAsia="en-AU"/>
        </w:rPr>
        <w:t>, n</w:t>
      </w:r>
      <w:r w:rsidRPr="00905084">
        <w:rPr>
          <w:lang w:eastAsia="en-AU"/>
        </w:rPr>
        <w:t xml:space="preserve">amely: </w:t>
      </w:r>
    </w:p>
    <w:p w14:paraId="6B895B87" w14:textId="77777777" w:rsidR="001E5161" w:rsidRPr="00504CB4" w:rsidRDefault="001E5161" w:rsidP="00504CB4">
      <w:pPr>
        <w:pStyle w:val="ListBullet"/>
      </w:pPr>
      <w:r w:rsidRPr="00504CB4">
        <w:t xml:space="preserve">Enrolment numbers in </w:t>
      </w:r>
      <w:proofErr w:type="gramStart"/>
      <w:r w:rsidRPr="00504CB4">
        <w:t>TEAP;</w:t>
      </w:r>
      <w:proofErr w:type="gramEnd"/>
      <w:r w:rsidRPr="00504CB4">
        <w:t xml:space="preserve"> </w:t>
      </w:r>
    </w:p>
    <w:p w14:paraId="0F892A7B" w14:textId="77777777" w:rsidR="001E5161" w:rsidRPr="00504CB4" w:rsidRDefault="001E5161" w:rsidP="00504CB4">
      <w:pPr>
        <w:pStyle w:val="ListBullet"/>
      </w:pPr>
      <w:r w:rsidRPr="00504CB4">
        <w:t xml:space="preserve">Subsequent completion of TEAP; and </w:t>
      </w:r>
    </w:p>
    <w:p w14:paraId="1C2F5B78" w14:textId="77777777" w:rsidR="001E5161" w:rsidRDefault="001E5161" w:rsidP="00504CB4">
      <w:pPr>
        <w:pStyle w:val="ListBullet"/>
        <w:rPr>
          <w:lang w:eastAsia="en-AU"/>
        </w:rPr>
      </w:pPr>
      <w:r w:rsidRPr="00504CB4">
        <w:t>New externally experienced candidates seekin</w:t>
      </w:r>
      <w:r w:rsidRPr="00905084">
        <w:rPr>
          <w:lang w:eastAsia="en-AU"/>
        </w:rPr>
        <w:t xml:space="preserve">g TEAP certification/registrations. </w:t>
      </w:r>
    </w:p>
    <w:p w14:paraId="15E87E1A" w14:textId="3152C3B1" w:rsidR="000633EB" w:rsidRPr="00504CB4" w:rsidRDefault="009F520B" w:rsidP="00504CB4">
      <w:r>
        <w:rPr>
          <w:lang w:eastAsia="en-AU"/>
        </w:rPr>
        <w:t>The three factors are discussed in detail below.</w:t>
      </w:r>
    </w:p>
    <w:p w14:paraId="03734149" w14:textId="1EB25E77" w:rsidR="00071E0B" w:rsidRPr="00071E0B" w:rsidRDefault="00071E0B" w:rsidP="00DC27F5">
      <w:pPr>
        <w:pStyle w:val="Heading4"/>
        <w:rPr>
          <w:rFonts w:ascii="Arial" w:hAnsi="Arial"/>
        </w:rPr>
      </w:pPr>
      <w:r w:rsidRPr="00DC27F5">
        <w:t>New enrolments</w:t>
      </w:r>
    </w:p>
    <w:p w14:paraId="1B68C1D1" w14:textId="51131FE3" w:rsidR="00BC7A94" w:rsidDel="00A137E7" w:rsidRDefault="00CA6BD2">
      <w:pPr>
        <w:spacing w:before="0" w:after="160" w:line="259" w:lineRule="auto"/>
      </w:pPr>
      <w:r>
        <w:fldChar w:fldCharType="begin" w:fldLock="1"/>
      </w:r>
      <w:r>
        <w:instrText xml:space="preserve"> REF _Ref182816133 \h  \* MERGEFORMAT </w:instrText>
      </w:r>
      <w:r>
        <w:fldChar w:fldCharType="separate"/>
      </w:r>
      <w:r w:rsidRPr="00CA6BD2">
        <w:t xml:space="preserve">Figure </w:t>
      </w:r>
      <w:r w:rsidRPr="00CA6BD2" w:rsidDel="00BA2814">
        <w:t>17</w:t>
      </w:r>
      <w:r>
        <w:fldChar w:fldCharType="end"/>
      </w:r>
      <w:r w:rsidR="00BC7A94" w:rsidRPr="00BC7A94">
        <w:t xml:space="preserve"> below </w:t>
      </w:r>
      <w:r w:rsidR="002631F0">
        <w:t xml:space="preserve">shows </w:t>
      </w:r>
      <w:r w:rsidR="007B6A70">
        <w:t xml:space="preserve">yearly </w:t>
      </w:r>
      <w:r w:rsidR="002631F0">
        <w:t>new enrolments during the 2018 to 202</w:t>
      </w:r>
      <w:r w:rsidR="007B6A70">
        <w:t>3</w:t>
      </w:r>
      <w:r w:rsidR="002631F0">
        <w:t xml:space="preserve"> period </w:t>
      </w:r>
      <w:r w:rsidR="000C15B6">
        <w:t xml:space="preserve">by TEAP stream. </w:t>
      </w:r>
      <w:r w:rsidR="00CA6317">
        <w:t xml:space="preserve">New enrolments remain </w:t>
      </w:r>
      <w:r w:rsidR="0088407E">
        <w:t>steady throughout the period</w:t>
      </w:r>
      <w:r w:rsidR="00470E1E">
        <w:t>.</w:t>
      </w:r>
      <w:r w:rsidR="008C4A40">
        <w:t xml:space="preserve"> RPS experienced </w:t>
      </w:r>
      <w:r w:rsidR="00EB6396">
        <w:t>a</w:t>
      </w:r>
      <w:r w:rsidR="00700BC2">
        <w:t xml:space="preserve"> peak in 2019</w:t>
      </w:r>
      <w:r w:rsidR="00EB6396">
        <w:t>, while for other periods</w:t>
      </w:r>
      <w:r w:rsidR="00700BC2">
        <w:t xml:space="preserve"> enrolments </w:t>
      </w:r>
      <w:r w:rsidR="004F4805">
        <w:t>are between 1 to 3 Registrars.</w:t>
      </w:r>
      <w:r w:rsidR="008C4A40">
        <w:t xml:space="preserve"> </w:t>
      </w:r>
      <w:r w:rsidR="00470E1E">
        <w:t>P</w:t>
      </w:r>
      <w:r w:rsidR="008C4A40">
        <w:t>eaks are observed for</w:t>
      </w:r>
      <w:r w:rsidR="00A9662E">
        <w:t xml:space="preserve"> ROMP </w:t>
      </w:r>
      <w:r w:rsidR="008C4A40">
        <w:t xml:space="preserve">in 2018 and 2022, </w:t>
      </w:r>
      <w:r w:rsidR="00A9662E">
        <w:t xml:space="preserve">and DIMP </w:t>
      </w:r>
      <w:r w:rsidR="008C4A40">
        <w:t>in 2019 and 2023</w:t>
      </w:r>
      <w:r w:rsidR="008D2B4C">
        <w:t>. T</w:t>
      </w:r>
      <w:r w:rsidR="00470E1E">
        <w:t>his cycle is</w:t>
      </w:r>
      <w:r w:rsidR="00A9662E">
        <w:t xml:space="preserve"> consistent with </w:t>
      </w:r>
      <w:r w:rsidR="00757970">
        <w:t xml:space="preserve">competition data shown below. </w:t>
      </w:r>
      <w:r w:rsidR="00F759CC">
        <w:t>However, the DIMP peak in 2023 is lower than that of 2019</w:t>
      </w:r>
      <w:r w:rsidR="00DF6911">
        <w:t>,</w:t>
      </w:r>
      <w:r w:rsidR="00F759CC">
        <w:t xml:space="preserve"> </w:t>
      </w:r>
      <w:r w:rsidR="00296DE1">
        <w:t xml:space="preserve">suggesting a reduced Registrar replacement rate. </w:t>
      </w:r>
    </w:p>
    <w:p w14:paraId="1C908E92" w14:textId="253C376D" w:rsidR="00931D97" w:rsidRDefault="00931D97" w:rsidP="00931D97">
      <w:pPr>
        <w:pStyle w:val="Caption"/>
      </w:pPr>
      <w:bookmarkStart w:id="182" w:name="_Ref182816133"/>
      <w:bookmarkStart w:id="183" w:name="_Ref181951956"/>
      <w:r>
        <w:t xml:space="preserve">Figure </w:t>
      </w:r>
      <w:r>
        <w:fldChar w:fldCharType="begin"/>
      </w:r>
      <w:r>
        <w:instrText xml:space="preserve"> SEQ Figure \* ARABIC </w:instrText>
      </w:r>
      <w:r>
        <w:fldChar w:fldCharType="separate"/>
      </w:r>
      <w:r w:rsidR="005F7EBC">
        <w:rPr>
          <w:noProof/>
        </w:rPr>
        <w:t>17</w:t>
      </w:r>
      <w:r>
        <w:fldChar w:fldCharType="end"/>
      </w:r>
      <w:bookmarkEnd w:id="182"/>
      <w:r>
        <w:t xml:space="preserve">: </w:t>
      </w:r>
      <w:r w:rsidRPr="00001835">
        <w:t>New enrolments by stream, 2018-2023</w:t>
      </w:r>
    </w:p>
    <w:bookmarkEnd w:id="183"/>
    <w:p w14:paraId="068F5BD5" w14:textId="58330EBF" w:rsidR="00296DE1" w:rsidRDefault="00353296" w:rsidP="00504CB4">
      <w:r>
        <w:rPr>
          <w:noProof/>
        </w:rPr>
        <w:drawing>
          <wp:inline distT="0" distB="0" distL="0" distR="0" wp14:anchorId="6FEB15D9" wp14:editId="088A4931">
            <wp:extent cx="4286250" cy="2476500"/>
            <wp:effectExtent l="0" t="0" r="0" b="0"/>
            <wp:docPr id="1256587881" name="Chart 1" descr="Figure 17 is a bar chart which shows New enrollments by stream 2018-2023&#10;&#10;For 2018: &#10;DIMP - 7&#10;ROMP - 24&#10;RPS - 1&#10;&#10;For 2019:&#10;DIMP - 12&#10;ROMP - 19&#10;RPS - 5&#10;&#10;For 2020:&#10;DIMP - 7&#10;ROMP - 19&#10;RPS - 2&#10;&#10;For 2021:&#10;DIMP - 7&#10;ROMP - 17&#10;RPS - 3&#10;&#10;For 2022:&#10;DIMP - 7&#10;ROMP - 25&#10;RPS - 1&#10;&#10;For 2023:&#10;DIMP - 10&#10;ROMP - 18&#10;RPS - 3&#10;">
              <a:extLst xmlns:a="http://schemas.openxmlformats.org/drawingml/2006/main">
                <a:ext uri="{FF2B5EF4-FFF2-40B4-BE49-F238E27FC236}">
                  <a16:creationId xmlns:a16="http://schemas.microsoft.com/office/drawing/2014/main" id="{C6054899-8DF2-D7DB-04F6-CA2934D2D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EAA9BB5" w14:textId="6772E5D1" w:rsidR="00353296" w:rsidRDefault="00353296" w:rsidP="00504CB4">
      <w:pPr>
        <w:pStyle w:val="Footer"/>
      </w:pPr>
      <w:bookmarkStart w:id="184" w:name="_Hlk181955230"/>
      <w:r>
        <w:t>S</w:t>
      </w:r>
      <w:r w:rsidRPr="00074AC0">
        <w:t xml:space="preserve">ource: </w:t>
      </w:r>
      <w:r>
        <w:t>KPMG</w:t>
      </w:r>
      <w:bookmarkEnd w:id="184"/>
      <w:r>
        <w:t xml:space="preserve"> analysis of ACPSEM provided Registrar data</w:t>
      </w:r>
    </w:p>
    <w:p w14:paraId="4612C5B7" w14:textId="6874A4B8" w:rsidR="00071E0B" w:rsidRPr="00DC27F5" w:rsidRDefault="00071E0B" w:rsidP="00DC27F5">
      <w:pPr>
        <w:pStyle w:val="Heading4"/>
      </w:pPr>
      <w:r w:rsidRPr="00DC27F5">
        <w:t>TEAP Completion</w:t>
      </w:r>
    </w:p>
    <w:p w14:paraId="31EA8948" w14:textId="4E3D0083" w:rsidR="00071E0B" w:rsidRPr="00504CB4" w:rsidRDefault="00CA6BD2" w:rsidP="00504CB4">
      <w:r>
        <w:fldChar w:fldCharType="begin" w:fldLock="1"/>
      </w:r>
      <w:r>
        <w:instrText xml:space="preserve"> REF _Ref182816175 \h  \* MERGEFORMAT </w:instrText>
      </w:r>
      <w:r>
        <w:fldChar w:fldCharType="separate"/>
      </w:r>
      <w:r w:rsidRPr="00CA6BD2">
        <w:t xml:space="preserve">Figure </w:t>
      </w:r>
      <w:r w:rsidRPr="00CA6BD2" w:rsidDel="00BA2814">
        <w:t>18</w:t>
      </w:r>
      <w:r>
        <w:fldChar w:fldCharType="end"/>
      </w:r>
      <w:r w:rsidR="009C4C14">
        <w:t xml:space="preserve"> </w:t>
      </w:r>
      <w:r w:rsidR="00230371">
        <w:t xml:space="preserve">below </w:t>
      </w:r>
      <w:r w:rsidR="00943366">
        <w:t>shows</w:t>
      </w:r>
      <w:r w:rsidR="00230371">
        <w:t xml:space="preserve"> the </w:t>
      </w:r>
      <w:r w:rsidR="00A96BC3">
        <w:t xml:space="preserve">number of Registrars who </w:t>
      </w:r>
      <w:r w:rsidR="00200665">
        <w:t xml:space="preserve">completed TEAP during the period 2018 to 2023 by </w:t>
      </w:r>
      <w:r w:rsidR="00D61BCB">
        <w:t xml:space="preserve">TEAP </w:t>
      </w:r>
      <w:r w:rsidR="00200665">
        <w:t xml:space="preserve">stream. </w:t>
      </w:r>
      <w:r w:rsidR="00A37754">
        <w:fldChar w:fldCharType="begin" w:fldLock="1"/>
      </w:r>
      <w:r w:rsidR="00A37754">
        <w:instrText xml:space="preserve"> REF _Ref181954331 \h  \* MERGEFORMAT </w:instrText>
      </w:r>
      <w:r w:rsidR="00A37754">
        <w:fldChar w:fldCharType="separate"/>
      </w:r>
      <w:r w:rsidR="00D35A75" w:rsidRPr="00D35A75">
        <w:t>Table 13</w:t>
      </w:r>
      <w:r w:rsidR="00A37754">
        <w:fldChar w:fldCharType="end"/>
      </w:r>
      <w:r w:rsidR="001F278E">
        <w:t xml:space="preserve"> shows the average time to competition for those Registrars</w:t>
      </w:r>
      <w:r w:rsidR="00393C30">
        <w:t xml:space="preserve">. Consultations with ACPSEM highlighted </w:t>
      </w:r>
      <w:r w:rsidR="00A7767D">
        <w:t>that</w:t>
      </w:r>
      <w:r w:rsidR="001F278E">
        <w:t xml:space="preserve"> </w:t>
      </w:r>
      <w:r w:rsidR="003E71D7">
        <w:t xml:space="preserve">extended completion timeframes can be driven by </w:t>
      </w:r>
      <w:r w:rsidR="00CE0C36">
        <w:t>S</w:t>
      </w:r>
      <w:r w:rsidR="00646C9A">
        <w:t>upervisor disruptions</w:t>
      </w:r>
      <w:r w:rsidR="002C0B58">
        <w:t>, personal family commitments</w:t>
      </w:r>
      <w:r w:rsidR="00A37754">
        <w:t>, completing studies on a part-time basis or was prior</w:t>
      </w:r>
      <w:r w:rsidR="00AF3DBB">
        <w:t xml:space="preserve"> to </w:t>
      </w:r>
      <w:r w:rsidR="00A37754">
        <w:t>ACPSEM’s introduction of maximum enrolments periods.</w:t>
      </w:r>
    </w:p>
    <w:p w14:paraId="7C02AC42" w14:textId="08675942" w:rsidR="00DE4A71" w:rsidRPr="00504CB4" w:rsidRDefault="00DE4A71" w:rsidP="00504CB4">
      <w:bookmarkStart w:id="185" w:name="_Ref182816175"/>
      <w:bookmarkStart w:id="186" w:name="_Ref181953935"/>
      <w:r w:rsidRPr="00504CB4">
        <w:br w:type="page"/>
      </w:r>
    </w:p>
    <w:p w14:paraId="7727DB30" w14:textId="48303233" w:rsidR="00931D97" w:rsidRDefault="00931D97" w:rsidP="00931D97">
      <w:pPr>
        <w:pStyle w:val="Caption"/>
      </w:pPr>
      <w:r>
        <w:t xml:space="preserve">Figure </w:t>
      </w:r>
      <w:r>
        <w:fldChar w:fldCharType="begin"/>
      </w:r>
      <w:r>
        <w:instrText xml:space="preserve"> SEQ Figure \* ARABIC </w:instrText>
      </w:r>
      <w:r>
        <w:fldChar w:fldCharType="separate"/>
      </w:r>
      <w:r w:rsidR="005F7EBC">
        <w:rPr>
          <w:noProof/>
        </w:rPr>
        <w:t>18</w:t>
      </w:r>
      <w:r>
        <w:fldChar w:fldCharType="end"/>
      </w:r>
      <w:bookmarkEnd w:id="185"/>
      <w:r>
        <w:t xml:space="preserve">: </w:t>
      </w:r>
      <w:r w:rsidRPr="00AA2B2D">
        <w:t>TEAP completions by stream, 2018-2023</w:t>
      </w:r>
    </w:p>
    <w:bookmarkEnd w:id="186"/>
    <w:p w14:paraId="7F2D1A70" w14:textId="2DEEE61F" w:rsidR="001D3F07" w:rsidRPr="00504CB4" w:rsidRDefault="001F1E90" w:rsidP="00504CB4">
      <w:r>
        <w:rPr>
          <w:noProof/>
        </w:rPr>
        <w:drawing>
          <wp:inline distT="0" distB="0" distL="0" distR="0" wp14:anchorId="40FF06BB" wp14:editId="6DE3ACF6">
            <wp:extent cx="3648075" cy="2162175"/>
            <wp:effectExtent l="0" t="0" r="0" b="0"/>
            <wp:docPr id="521405627" name="Chart 1" descr="Figure 18 is a bar chart which shows TEAP completions by stream 2018 - 2023&#10;&#10;For 2018&#10;DIMP - 5&#10;ROMP - 13&#10;RPS - 0&#10;&#10;For 2019&#10;DIMP - 5&#10;ROMP - 17&#10;RPS - 0&#10;&#10;For 2020&#10;DIMP - 3&#10;ROMP - 22&#10;RPS - 1&#10;&#10;For 2021&#10;DIMP - 5&#10;ROMP - 25&#10;RPS - 0&#10;&#10;For 2022&#10;DIMP - 7&#10;ROMP - 23&#10;RPS - 1&#10;&#10;For 2023&#10;DIMP - 5&#10;ROMP - 20&#10;RPS - 2">
              <a:extLst xmlns:a="http://schemas.openxmlformats.org/drawingml/2006/main">
                <a:ext uri="{FF2B5EF4-FFF2-40B4-BE49-F238E27FC236}">
                  <a16:creationId xmlns:a16="http://schemas.microsoft.com/office/drawing/2014/main" id="{BA319171-6892-1775-2F31-3C6286272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A6EEBBF" w14:textId="77777777" w:rsidR="00E968BA" w:rsidRDefault="00E968BA" w:rsidP="0019756D">
      <w:pPr>
        <w:pStyle w:val="Footer"/>
      </w:pPr>
      <w:r>
        <w:t>S</w:t>
      </w:r>
      <w:r w:rsidRPr="00074AC0">
        <w:t xml:space="preserve">ource: </w:t>
      </w:r>
      <w:r>
        <w:t>KPMG analysis of ACPSEM provided Registrar data</w:t>
      </w:r>
    </w:p>
    <w:p w14:paraId="7AB8DC09" w14:textId="381419F6" w:rsidR="00F23945" w:rsidRDefault="00F23945" w:rsidP="00F23945">
      <w:pPr>
        <w:pStyle w:val="Caption"/>
      </w:pPr>
      <w:bookmarkStart w:id="187" w:name="_Ref181954331"/>
      <w:r>
        <w:t xml:space="preserve">Table </w:t>
      </w:r>
      <w:r>
        <w:fldChar w:fldCharType="begin"/>
      </w:r>
      <w:r>
        <w:instrText xml:space="preserve"> SEQ Table \* ARABIC </w:instrText>
      </w:r>
      <w:r>
        <w:fldChar w:fldCharType="separate"/>
      </w:r>
      <w:r w:rsidR="005F7EBC">
        <w:rPr>
          <w:noProof/>
        </w:rPr>
        <w:t>13</w:t>
      </w:r>
      <w:r>
        <w:fldChar w:fldCharType="end"/>
      </w:r>
      <w:bookmarkEnd w:id="187"/>
      <w:r>
        <w:t>: Average years to completion, 2018-2023</w:t>
      </w:r>
    </w:p>
    <w:tbl>
      <w:tblPr>
        <w:tblStyle w:val="GridTable1Light-Accent1"/>
        <w:tblW w:w="0" w:type="auto"/>
        <w:tblLook w:val="04A0" w:firstRow="1" w:lastRow="0" w:firstColumn="1" w:lastColumn="0" w:noHBand="0" w:noVBand="1"/>
      </w:tblPr>
      <w:tblGrid>
        <w:gridCol w:w="2373"/>
        <w:gridCol w:w="2373"/>
        <w:gridCol w:w="2373"/>
        <w:gridCol w:w="2374"/>
      </w:tblGrid>
      <w:tr w:rsidR="00374B30" w14:paraId="08E071F0" w14:textId="77777777" w:rsidTr="00504C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3" w:type="dxa"/>
            <w:tcBorders>
              <w:top w:val="nil"/>
              <w:left w:val="nil"/>
            </w:tcBorders>
            <w:shd w:val="clear" w:color="auto" w:fill="F1F4FE"/>
          </w:tcPr>
          <w:p w14:paraId="7EA6D809" w14:textId="72C9ECE1" w:rsidR="00374B30" w:rsidRPr="00504CB4" w:rsidRDefault="00A5095D" w:rsidP="00504CB4">
            <w:pPr>
              <w:pStyle w:val="Tabletextheading"/>
              <w:rPr>
                <w:rFonts w:eastAsiaTheme="minorHAnsi"/>
              </w:rPr>
            </w:pPr>
            <w:r w:rsidRPr="00504CB4">
              <w:rPr>
                <w:rFonts w:eastAsiaTheme="minorHAnsi"/>
              </w:rPr>
              <w:t>Year</w:t>
            </w:r>
          </w:p>
        </w:tc>
        <w:tc>
          <w:tcPr>
            <w:tcW w:w="2373" w:type="dxa"/>
            <w:tcBorders>
              <w:top w:val="nil"/>
            </w:tcBorders>
          </w:tcPr>
          <w:p w14:paraId="61BAC0E9" w14:textId="356931F2" w:rsidR="00374B30" w:rsidRPr="00504CB4" w:rsidRDefault="00374B30" w:rsidP="00504CB4">
            <w:pPr>
              <w:pStyle w:val="Tabletextheading"/>
              <w:cnfStyle w:val="100000000000" w:firstRow="1" w:lastRow="0" w:firstColumn="0" w:lastColumn="0" w:oddVBand="0" w:evenVBand="0" w:oddHBand="0" w:evenHBand="0" w:firstRowFirstColumn="0" w:firstRowLastColumn="0" w:lastRowFirstColumn="0" w:lastRowLastColumn="0"/>
              <w:rPr>
                <w:rFonts w:eastAsiaTheme="minorHAnsi"/>
              </w:rPr>
            </w:pPr>
            <w:r w:rsidRPr="00504CB4">
              <w:rPr>
                <w:rFonts w:eastAsiaTheme="minorHAnsi"/>
              </w:rPr>
              <w:t>DIMP</w:t>
            </w:r>
          </w:p>
        </w:tc>
        <w:tc>
          <w:tcPr>
            <w:tcW w:w="2373" w:type="dxa"/>
            <w:tcBorders>
              <w:top w:val="nil"/>
            </w:tcBorders>
          </w:tcPr>
          <w:p w14:paraId="54879D5C" w14:textId="6B030317" w:rsidR="00374B30" w:rsidRPr="00504CB4" w:rsidRDefault="00374B30" w:rsidP="00504CB4">
            <w:pPr>
              <w:pStyle w:val="Tabletextheading"/>
              <w:cnfStyle w:val="100000000000" w:firstRow="1" w:lastRow="0" w:firstColumn="0" w:lastColumn="0" w:oddVBand="0" w:evenVBand="0" w:oddHBand="0" w:evenHBand="0" w:firstRowFirstColumn="0" w:firstRowLastColumn="0" w:lastRowFirstColumn="0" w:lastRowLastColumn="0"/>
              <w:rPr>
                <w:rFonts w:eastAsiaTheme="minorHAnsi"/>
              </w:rPr>
            </w:pPr>
            <w:r w:rsidRPr="00504CB4">
              <w:rPr>
                <w:rFonts w:eastAsiaTheme="minorHAnsi"/>
              </w:rPr>
              <w:t>ROMP</w:t>
            </w:r>
          </w:p>
        </w:tc>
        <w:tc>
          <w:tcPr>
            <w:tcW w:w="2374" w:type="dxa"/>
            <w:tcBorders>
              <w:top w:val="nil"/>
              <w:right w:val="nil"/>
            </w:tcBorders>
          </w:tcPr>
          <w:p w14:paraId="71ACAFC8" w14:textId="58AB1203" w:rsidR="00374B30" w:rsidRPr="00504CB4" w:rsidRDefault="00374B30" w:rsidP="00504CB4">
            <w:pPr>
              <w:pStyle w:val="Tabletextheading"/>
              <w:cnfStyle w:val="100000000000" w:firstRow="1" w:lastRow="0" w:firstColumn="0" w:lastColumn="0" w:oddVBand="0" w:evenVBand="0" w:oddHBand="0" w:evenHBand="0" w:firstRowFirstColumn="0" w:firstRowLastColumn="0" w:lastRowFirstColumn="0" w:lastRowLastColumn="0"/>
              <w:rPr>
                <w:rFonts w:eastAsiaTheme="minorHAnsi"/>
              </w:rPr>
            </w:pPr>
            <w:r w:rsidRPr="00504CB4">
              <w:rPr>
                <w:rFonts w:eastAsiaTheme="minorHAnsi"/>
              </w:rPr>
              <w:t>RPS</w:t>
            </w:r>
          </w:p>
        </w:tc>
      </w:tr>
      <w:tr w:rsidR="00374B30" w14:paraId="13E56992" w14:textId="77777777">
        <w:tc>
          <w:tcPr>
            <w:cnfStyle w:val="001000000000" w:firstRow="0" w:lastRow="0" w:firstColumn="1" w:lastColumn="0" w:oddVBand="0" w:evenVBand="0" w:oddHBand="0" w:evenHBand="0" w:firstRowFirstColumn="0" w:firstRowLastColumn="0" w:lastRowFirstColumn="0" w:lastRowLastColumn="0"/>
            <w:tcW w:w="2373" w:type="dxa"/>
            <w:tcBorders>
              <w:left w:val="nil"/>
            </w:tcBorders>
            <w:shd w:val="clear" w:color="auto" w:fill="F1F4FE"/>
          </w:tcPr>
          <w:p w14:paraId="257FB56B" w14:textId="77777777" w:rsidR="00374B30" w:rsidRPr="00504CB4" w:rsidRDefault="00374B30" w:rsidP="00504CB4">
            <w:r w:rsidRPr="00504CB4">
              <w:t>2018</w:t>
            </w:r>
          </w:p>
        </w:tc>
        <w:tc>
          <w:tcPr>
            <w:tcW w:w="2373" w:type="dxa"/>
          </w:tcPr>
          <w:p w14:paraId="2F5F8A50" w14:textId="35DEF19B"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4.19</w:t>
            </w:r>
          </w:p>
        </w:tc>
        <w:tc>
          <w:tcPr>
            <w:tcW w:w="2373" w:type="dxa"/>
          </w:tcPr>
          <w:p w14:paraId="7F49DAA1" w14:textId="44E78C18"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4.56</w:t>
            </w:r>
          </w:p>
        </w:tc>
        <w:tc>
          <w:tcPr>
            <w:tcW w:w="2374" w:type="dxa"/>
            <w:tcBorders>
              <w:right w:val="nil"/>
            </w:tcBorders>
          </w:tcPr>
          <w:p w14:paraId="4F553BD6" w14:textId="053DA412" w:rsidR="00374B30" w:rsidRPr="00504CB4" w:rsidRDefault="00D61BCB" w:rsidP="00504CB4">
            <w:pPr>
              <w:cnfStyle w:val="000000000000" w:firstRow="0" w:lastRow="0" w:firstColumn="0" w:lastColumn="0" w:oddVBand="0" w:evenVBand="0" w:oddHBand="0" w:evenHBand="0" w:firstRowFirstColumn="0" w:firstRowLastColumn="0" w:lastRowFirstColumn="0" w:lastRowLastColumn="0"/>
            </w:pPr>
            <w:r w:rsidRPr="00504CB4">
              <w:t>-</w:t>
            </w:r>
          </w:p>
        </w:tc>
      </w:tr>
      <w:tr w:rsidR="00374B30" w14:paraId="2D60823C" w14:textId="77777777">
        <w:tc>
          <w:tcPr>
            <w:cnfStyle w:val="001000000000" w:firstRow="0" w:lastRow="0" w:firstColumn="1" w:lastColumn="0" w:oddVBand="0" w:evenVBand="0" w:oddHBand="0" w:evenHBand="0" w:firstRowFirstColumn="0" w:firstRowLastColumn="0" w:lastRowFirstColumn="0" w:lastRowLastColumn="0"/>
            <w:tcW w:w="2373" w:type="dxa"/>
            <w:tcBorders>
              <w:left w:val="nil"/>
            </w:tcBorders>
            <w:shd w:val="clear" w:color="auto" w:fill="F1F4FE"/>
          </w:tcPr>
          <w:p w14:paraId="630FBDEF" w14:textId="77777777" w:rsidR="00374B30" w:rsidRPr="00504CB4" w:rsidRDefault="00374B30" w:rsidP="00504CB4">
            <w:r w:rsidRPr="00504CB4">
              <w:t>2019</w:t>
            </w:r>
          </w:p>
        </w:tc>
        <w:tc>
          <w:tcPr>
            <w:tcW w:w="2373" w:type="dxa"/>
          </w:tcPr>
          <w:p w14:paraId="6DF666FE" w14:textId="01F644D2"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3.75</w:t>
            </w:r>
          </w:p>
        </w:tc>
        <w:tc>
          <w:tcPr>
            <w:tcW w:w="2373" w:type="dxa"/>
          </w:tcPr>
          <w:p w14:paraId="20DA1111" w14:textId="5FBAE66F"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5.12</w:t>
            </w:r>
          </w:p>
        </w:tc>
        <w:tc>
          <w:tcPr>
            <w:tcW w:w="2374" w:type="dxa"/>
            <w:tcBorders>
              <w:right w:val="nil"/>
            </w:tcBorders>
          </w:tcPr>
          <w:p w14:paraId="68CD7724" w14:textId="264B7142" w:rsidR="00374B30" w:rsidRPr="00504CB4" w:rsidRDefault="00D61BCB" w:rsidP="00504CB4">
            <w:pPr>
              <w:cnfStyle w:val="000000000000" w:firstRow="0" w:lastRow="0" w:firstColumn="0" w:lastColumn="0" w:oddVBand="0" w:evenVBand="0" w:oddHBand="0" w:evenHBand="0" w:firstRowFirstColumn="0" w:firstRowLastColumn="0" w:lastRowFirstColumn="0" w:lastRowLastColumn="0"/>
            </w:pPr>
            <w:r w:rsidRPr="00504CB4">
              <w:t>-</w:t>
            </w:r>
          </w:p>
        </w:tc>
      </w:tr>
      <w:tr w:rsidR="00374B30" w14:paraId="26466A2E" w14:textId="77777777">
        <w:tc>
          <w:tcPr>
            <w:cnfStyle w:val="001000000000" w:firstRow="0" w:lastRow="0" w:firstColumn="1" w:lastColumn="0" w:oddVBand="0" w:evenVBand="0" w:oddHBand="0" w:evenHBand="0" w:firstRowFirstColumn="0" w:firstRowLastColumn="0" w:lastRowFirstColumn="0" w:lastRowLastColumn="0"/>
            <w:tcW w:w="2373" w:type="dxa"/>
            <w:tcBorders>
              <w:left w:val="nil"/>
            </w:tcBorders>
            <w:shd w:val="clear" w:color="auto" w:fill="F1F4FE"/>
          </w:tcPr>
          <w:p w14:paraId="6A710FAF" w14:textId="77777777" w:rsidR="00374B30" w:rsidRPr="00504CB4" w:rsidRDefault="00374B30" w:rsidP="00504CB4">
            <w:r w:rsidRPr="00504CB4">
              <w:t>2020</w:t>
            </w:r>
          </w:p>
        </w:tc>
        <w:tc>
          <w:tcPr>
            <w:tcW w:w="2373" w:type="dxa"/>
          </w:tcPr>
          <w:p w14:paraId="0E73AF41" w14:textId="2027085F"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5.02</w:t>
            </w:r>
          </w:p>
        </w:tc>
        <w:tc>
          <w:tcPr>
            <w:tcW w:w="2373" w:type="dxa"/>
          </w:tcPr>
          <w:p w14:paraId="0716FBB3" w14:textId="1478D90A"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4.24</w:t>
            </w:r>
          </w:p>
        </w:tc>
        <w:tc>
          <w:tcPr>
            <w:tcW w:w="2374" w:type="dxa"/>
            <w:tcBorders>
              <w:right w:val="nil"/>
            </w:tcBorders>
          </w:tcPr>
          <w:p w14:paraId="17C2C684" w14:textId="7B2B14C5"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3.34</w:t>
            </w:r>
          </w:p>
        </w:tc>
      </w:tr>
      <w:tr w:rsidR="00374B30" w14:paraId="5B043EAA" w14:textId="77777777">
        <w:tc>
          <w:tcPr>
            <w:cnfStyle w:val="001000000000" w:firstRow="0" w:lastRow="0" w:firstColumn="1" w:lastColumn="0" w:oddVBand="0" w:evenVBand="0" w:oddHBand="0" w:evenHBand="0" w:firstRowFirstColumn="0" w:firstRowLastColumn="0" w:lastRowFirstColumn="0" w:lastRowLastColumn="0"/>
            <w:tcW w:w="2373" w:type="dxa"/>
            <w:tcBorders>
              <w:left w:val="nil"/>
            </w:tcBorders>
            <w:shd w:val="clear" w:color="auto" w:fill="F1F4FE"/>
          </w:tcPr>
          <w:p w14:paraId="76643156" w14:textId="77777777" w:rsidR="00374B30" w:rsidRPr="00504CB4" w:rsidRDefault="00374B30" w:rsidP="00504CB4">
            <w:r w:rsidRPr="00504CB4">
              <w:t>2021</w:t>
            </w:r>
          </w:p>
        </w:tc>
        <w:tc>
          <w:tcPr>
            <w:tcW w:w="2373" w:type="dxa"/>
          </w:tcPr>
          <w:p w14:paraId="7CC5AD25" w14:textId="3EC8B5FD"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3.86</w:t>
            </w:r>
          </w:p>
        </w:tc>
        <w:tc>
          <w:tcPr>
            <w:tcW w:w="2373" w:type="dxa"/>
          </w:tcPr>
          <w:p w14:paraId="46905CDA" w14:textId="34FA7E75"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4.50</w:t>
            </w:r>
          </w:p>
        </w:tc>
        <w:tc>
          <w:tcPr>
            <w:tcW w:w="2374" w:type="dxa"/>
            <w:tcBorders>
              <w:right w:val="nil"/>
            </w:tcBorders>
          </w:tcPr>
          <w:p w14:paraId="2B46ED24" w14:textId="494AA608" w:rsidR="00374B30" w:rsidRPr="00504CB4" w:rsidRDefault="00D61BCB" w:rsidP="00504CB4">
            <w:pPr>
              <w:cnfStyle w:val="000000000000" w:firstRow="0" w:lastRow="0" w:firstColumn="0" w:lastColumn="0" w:oddVBand="0" w:evenVBand="0" w:oddHBand="0" w:evenHBand="0" w:firstRowFirstColumn="0" w:firstRowLastColumn="0" w:lastRowFirstColumn="0" w:lastRowLastColumn="0"/>
            </w:pPr>
            <w:r w:rsidRPr="00504CB4">
              <w:t>-</w:t>
            </w:r>
          </w:p>
        </w:tc>
      </w:tr>
      <w:tr w:rsidR="00374B30" w14:paraId="6F0DDA17" w14:textId="77777777">
        <w:tc>
          <w:tcPr>
            <w:cnfStyle w:val="001000000000" w:firstRow="0" w:lastRow="0" w:firstColumn="1" w:lastColumn="0" w:oddVBand="0" w:evenVBand="0" w:oddHBand="0" w:evenHBand="0" w:firstRowFirstColumn="0" w:firstRowLastColumn="0" w:lastRowFirstColumn="0" w:lastRowLastColumn="0"/>
            <w:tcW w:w="2373" w:type="dxa"/>
            <w:tcBorders>
              <w:left w:val="nil"/>
            </w:tcBorders>
            <w:shd w:val="clear" w:color="auto" w:fill="F1F4FE"/>
          </w:tcPr>
          <w:p w14:paraId="4CE4EFA0" w14:textId="77777777" w:rsidR="00374B30" w:rsidRPr="00504CB4" w:rsidRDefault="00374B30" w:rsidP="00504CB4">
            <w:r w:rsidRPr="00504CB4">
              <w:t>2022</w:t>
            </w:r>
          </w:p>
        </w:tc>
        <w:tc>
          <w:tcPr>
            <w:tcW w:w="2373" w:type="dxa"/>
          </w:tcPr>
          <w:p w14:paraId="05C9AE3C" w14:textId="08D2164A"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3.84</w:t>
            </w:r>
          </w:p>
        </w:tc>
        <w:tc>
          <w:tcPr>
            <w:tcW w:w="2373" w:type="dxa"/>
          </w:tcPr>
          <w:p w14:paraId="252DF6DC" w14:textId="7EADC8CE"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4.14</w:t>
            </w:r>
          </w:p>
        </w:tc>
        <w:tc>
          <w:tcPr>
            <w:tcW w:w="2374" w:type="dxa"/>
            <w:tcBorders>
              <w:right w:val="nil"/>
            </w:tcBorders>
          </w:tcPr>
          <w:p w14:paraId="6F641F33" w14:textId="6BFD8251"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2.85</w:t>
            </w:r>
          </w:p>
        </w:tc>
      </w:tr>
      <w:tr w:rsidR="00374B30" w14:paraId="727713CE" w14:textId="77777777">
        <w:tc>
          <w:tcPr>
            <w:cnfStyle w:val="001000000000" w:firstRow="0" w:lastRow="0" w:firstColumn="1" w:lastColumn="0" w:oddVBand="0" w:evenVBand="0" w:oddHBand="0" w:evenHBand="0" w:firstRowFirstColumn="0" w:firstRowLastColumn="0" w:lastRowFirstColumn="0" w:lastRowLastColumn="0"/>
            <w:tcW w:w="2373" w:type="dxa"/>
            <w:tcBorders>
              <w:left w:val="nil"/>
              <w:bottom w:val="nil"/>
            </w:tcBorders>
            <w:shd w:val="clear" w:color="auto" w:fill="F1F4FE"/>
          </w:tcPr>
          <w:p w14:paraId="01749A39" w14:textId="77777777" w:rsidR="00374B30" w:rsidRPr="00504CB4" w:rsidRDefault="00374B30" w:rsidP="00504CB4">
            <w:r w:rsidRPr="00504CB4">
              <w:t>2023</w:t>
            </w:r>
          </w:p>
        </w:tc>
        <w:tc>
          <w:tcPr>
            <w:tcW w:w="2373" w:type="dxa"/>
            <w:tcBorders>
              <w:bottom w:val="nil"/>
            </w:tcBorders>
          </w:tcPr>
          <w:p w14:paraId="714D258A" w14:textId="777D4473"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4.72</w:t>
            </w:r>
          </w:p>
        </w:tc>
        <w:tc>
          <w:tcPr>
            <w:tcW w:w="2373" w:type="dxa"/>
            <w:tcBorders>
              <w:bottom w:val="nil"/>
            </w:tcBorders>
          </w:tcPr>
          <w:p w14:paraId="37A61F1D" w14:textId="1BB7E6B1"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4.31</w:t>
            </w:r>
          </w:p>
        </w:tc>
        <w:tc>
          <w:tcPr>
            <w:tcW w:w="2374" w:type="dxa"/>
            <w:tcBorders>
              <w:bottom w:val="nil"/>
              <w:right w:val="nil"/>
            </w:tcBorders>
          </w:tcPr>
          <w:p w14:paraId="7B0463D6" w14:textId="7919D1F7" w:rsidR="00374B30" w:rsidRPr="00504CB4" w:rsidRDefault="00374B30" w:rsidP="00504CB4">
            <w:pPr>
              <w:cnfStyle w:val="000000000000" w:firstRow="0" w:lastRow="0" w:firstColumn="0" w:lastColumn="0" w:oddVBand="0" w:evenVBand="0" w:oddHBand="0" w:evenHBand="0" w:firstRowFirstColumn="0" w:firstRowLastColumn="0" w:lastRowFirstColumn="0" w:lastRowLastColumn="0"/>
            </w:pPr>
            <w:r w:rsidRPr="00504CB4">
              <w:t>5.20</w:t>
            </w:r>
          </w:p>
        </w:tc>
      </w:tr>
    </w:tbl>
    <w:p w14:paraId="09C8BF76" w14:textId="77777777" w:rsidR="00F23945" w:rsidRDefault="00F23945" w:rsidP="0019756D">
      <w:pPr>
        <w:pStyle w:val="Footer"/>
      </w:pPr>
      <w:r>
        <w:t>S</w:t>
      </w:r>
      <w:r w:rsidRPr="00074AC0">
        <w:t xml:space="preserve">ource: </w:t>
      </w:r>
      <w:r>
        <w:t>KPMG analysis of ACPSEM provided Registrar data</w:t>
      </w:r>
    </w:p>
    <w:p w14:paraId="6B9CE1F9" w14:textId="1F2BED21" w:rsidR="001D3F07" w:rsidRDefault="0090253A" w:rsidP="00504CB4">
      <w:pPr>
        <w:rPr>
          <w:rFonts w:eastAsiaTheme="minorEastAsia"/>
          <w:szCs w:val="20"/>
        </w:rPr>
      </w:pPr>
      <w:r w:rsidRPr="13CE0930">
        <w:rPr>
          <w:rFonts w:eastAsiaTheme="minorEastAsia"/>
          <w:szCs w:val="20"/>
        </w:rPr>
        <w:t xml:space="preserve">During the 2018 to 2023 period, </w:t>
      </w:r>
      <w:r w:rsidR="008A35FD" w:rsidRPr="13CE0930">
        <w:rPr>
          <w:rFonts w:eastAsiaTheme="minorEastAsia"/>
          <w:szCs w:val="20"/>
        </w:rPr>
        <w:t>27</w:t>
      </w:r>
      <w:r w:rsidR="00EE6AE8" w:rsidRPr="13CE0930">
        <w:rPr>
          <w:rFonts w:eastAsiaTheme="minorEastAsia"/>
          <w:szCs w:val="20"/>
        </w:rPr>
        <w:t xml:space="preserve"> individuals resigned </w:t>
      </w:r>
      <w:r w:rsidR="008A35FD" w:rsidRPr="13CE0930">
        <w:rPr>
          <w:rFonts w:eastAsiaTheme="minorEastAsia"/>
          <w:szCs w:val="20"/>
        </w:rPr>
        <w:t>and</w:t>
      </w:r>
      <w:r w:rsidR="00EE6AE8" w:rsidRPr="13CE0930">
        <w:rPr>
          <w:rFonts w:eastAsiaTheme="minorEastAsia"/>
          <w:szCs w:val="20"/>
        </w:rPr>
        <w:t xml:space="preserve"> </w:t>
      </w:r>
      <w:r w:rsidR="008A35FD" w:rsidRPr="13CE0930">
        <w:rPr>
          <w:rFonts w:eastAsiaTheme="minorEastAsia"/>
          <w:szCs w:val="20"/>
        </w:rPr>
        <w:t>an additional six</w:t>
      </w:r>
      <w:r w:rsidR="00EE6AE8" w:rsidRPr="13CE0930">
        <w:rPr>
          <w:rFonts w:eastAsiaTheme="minorEastAsia"/>
          <w:szCs w:val="20"/>
        </w:rPr>
        <w:t xml:space="preserve"> were terminated from </w:t>
      </w:r>
      <w:r w:rsidR="008A35FD" w:rsidRPr="13CE0930">
        <w:rPr>
          <w:rFonts w:eastAsiaTheme="minorEastAsia"/>
          <w:szCs w:val="20"/>
        </w:rPr>
        <w:t>TEAP.</w:t>
      </w:r>
      <w:r w:rsidR="00EE6AE8" w:rsidRPr="13CE0930">
        <w:rPr>
          <w:rFonts w:eastAsiaTheme="minorEastAsia"/>
          <w:szCs w:val="20"/>
        </w:rPr>
        <w:t xml:space="preserve"> </w:t>
      </w:r>
      <w:r w:rsidR="00CA6BD2" w:rsidRPr="13CE0930">
        <w:rPr>
          <w:rFonts w:eastAsiaTheme="minorEastAsia"/>
          <w:szCs w:val="20"/>
        </w:rPr>
        <w:fldChar w:fldCharType="begin" w:fldLock="1"/>
      </w:r>
      <w:r w:rsidR="00CA6BD2" w:rsidRPr="13CE0930">
        <w:rPr>
          <w:rFonts w:eastAsiaTheme="minorEastAsia"/>
          <w:szCs w:val="20"/>
        </w:rPr>
        <w:instrText xml:space="preserve"> REF _Ref182816230 \h  \* MERGEFORMAT </w:instrText>
      </w:r>
      <w:r w:rsidR="00CA6BD2" w:rsidRPr="13CE0930">
        <w:rPr>
          <w:rFonts w:eastAsiaTheme="minorEastAsia"/>
          <w:szCs w:val="20"/>
        </w:rPr>
      </w:r>
      <w:r w:rsidR="00CA6BD2" w:rsidRPr="13CE0930">
        <w:rPr>
          <w:rFonts w:eastAsiaTheme="minorEastAsia"/>
          <w:szCs w:val="20"/>
        </w:rPr>
        <w:fldChar w:fldCharType="separate"/>
      </w:r>
      <w:r w:rsidR="00CA6BD2" w:rsidRPr="13CE0930">
        <w:rPr>
          <w:rFonts w:eastAsiaTheme="minorEastAsia"/>
          <w:szCs w:val="20"/>
        </w:rPr>
        <w:t xml:space="preserve">Figure </w:t>
      </w:r>
      <w:r w:rsidR="00CA6BD2" w:rsidRPr="13CE0930" w:rsidDel="00BA2814">
        <w:rPr>
          <w:rFonts w:eastAsiaTheme="minorEastAsia"/>
          <w:szCs w:val="20"/>
        </w:rPr>
        <w:t>19</w:t>
      </w:r>
      <w:r w:rsidR="00CA6BD2" w:rsidRPr="13CE0930">
        <w:rPr>
          <w:rFonts w:eastAsiaTheme="minorEastAsia"/>
          <w:szCs w:val="20"/>
        </w:rPr>
        <w:fldChar w:fldCharType="end"/>
      </w:r>
      <w:r w:rsidR="00631B6F" w:rsidRPr="13CE0930">
        <w:rPr>
          <w:rFonts w:eastAsiaTheme="minorEastAsia"/>
          <w:szCs w:val="20"/>
        </w:rPr>
        <w:t xml:space="preserve"> </w:t>
      </w:r>
      <w:r w:rsidR="0098392D" w:rsidRPr="13CE0930">
        <w:rPr>
          <w:rFonts w:eastAsiaTheme="minorEastAsia"/>
          <w:szCs w:val="20"/>
        </w:rPr>
        <w:t xml:space="preserve">below shows the </w:t>
      </w:r>
      <w:r w:rsidR="0040292D" w:rsidRPr="13CE0930">
        <w:rPr>
          <w:rFonts w:eastAsiaTheme="minorEastAsia"/>
          <w:szCs w:val="20"/>
        </w:rPr>
        <w:t>resignations</w:t>
      </w:r>
      <w:r w:rsidR="0098392D" w:rsidRPr="13CE0930">
        <w:rPr>
          <w:rFonts w:eastAsiaTheme="minorEastAsia"/>
          <w:szCs w:val="20"/>
        </w:rPr>
        <w:t xml:space="preserve"> </w:t>
      </w:r>
      <w:r w:rsidR="0040292D" w:rsidRPr="13CE0930">
        <w:rPr>
          <w:rFonts w:eastAsiaTheme="minorEastAsia"/>
          <w:szCs w:val="20"/>
        </w:rPr>
        <w:t xml:space="preserve">by year for each TEAP stream. </w:t>
      </w:r>
      <w:r w:rsidR="00C33222" w:rsidRPr="13CE0930">
        <w:rPr>
          <w:rFonts w:eastAsiaTheme="minorEastAsia"/>
          <w:szCs w:val="20"/>
        </w:rPr>
        <w:t>A significant peak was experience for ROMP</w:t>
      </w:r>
      <w:r w:rsidR="0032184B" w:rsidRPr="13CE0930">
        <w:rPr>
          <w:rFonts w:eastAsiaTheme="minorEastAsia"/>
          <w:szCs w:val="20"/>
        </w:rPr>
        <w:t xml:space="preserve"> </w:t>
      </w:r>
      <w:r w:rsidR="00C33222" w:rsidRPr="13CE0930">
        <w:rPr>
          <w:rFonts w:eastAsiaTheme="minorEastAsia"/>
          <w:szCs w:val="20"/>
        </w:rPr>
        <w:t xml:space="preserve">in 2022, which </w:t>
      </w:r>
      <w:r w:rsidR="00D50CE0" w:rsidRPr="13CE0930">
        <w:rPr>
          <w:rFonts w:eastAsiaTheme="minorEastAsia"/>
          <w:szCs w:val="20"/>
        </w:rPr>
        <w:t>coincides with the</w:t>
      </w:r>
      <w:r w:rsidR="00C33222" w:rsidRPr="13CE0930">
        <w:rPr>
          <w:rFonts w:eastAsiaTheme="minorEastAsia"/>
          <w:szCs w:val="20"/>
        </w:rPr>
        <w:t xml:space="preserve"> </w:t>
      </w:r>
      <w:r w:rsidR="004F41CA" w:rsidRPr="13CE0930">
        <w:rPr>
          <w:rFonts w:eastAsiaTheme="minorEastAsia"/>
          <w:szCs w:val="20"/>
        </w:rPr>
        <w:t>revised curriculum coming i</w:t>
      </w:r>
      <w:r w:rsidR="00157226" w:rsidRPr="13CE0930">
        <w:rPr>
          <w:rFonts w:eastAsiaTheme="minorEastAsia"/>
          <w:szCs w:val="20"/>
        </w:rPr>
        <w:t xml:space="preserve">nto effect (see Section </w:t>
      </w:r>
      <w:r w:rsidRPr="13CE0930">
        <w:rPr>
          <w:rFonts w:eastAsiaTheme="minorEastAsia"/>
          <w:szCs w:val="20"/>
        </w:rPr>
        <w:fldChar w:fldCharType="begin" w:fldLock="1"/>
      </w:r>
      <w:r w:rsidRPr="13CE0930">
        <w:rPr>
          <w:rFonts w:eastAsiaTheme="minorEastAsia"/>
          <w:szCs w:val="20"/>
        </w:rPr>
        <w:instrText xml:space="preserve"> REF _Ref181946606 \r \h </w:instrText>
      </w:r>
      <w:r w:rsidRPr="13CE0930">
        <w:rPr>
          <w:rFonts w:eastAsiaTheme="minorEastAsia"/>
          <w:szCs w:val="20"/>
        </w:rPr>
      </w:r>
      <w:r w:rsidRPr="13CE0930">
        <w:rPr>
          <w:rFonts w:eastAsiaTheme="minorEastAsia"/>
          <w:szCs w:val="20"/>
        </w:rPr>
        <w:fldChar w:fldCharType="separate"/>
      </w:r>
      <w:r w:rsidR="00D35A75" w:rsidRPr="13CE0930">
        <w:rPr>
          <w:rFonts w:eastAsiaTheme="minorEastAsia"/>
          <w:szCs w:val="20"/>
        </w:rPr>
        <w:t>3.1</w:t>
      </w:r>
      <w:r w:rsidRPr="13CE0930">
        <w:rPr>
          <w:rFonts w:eastAsiaTheme="minorEastAsia"/>
          <w:szCs w:val="20"/>
        </w:rPr>
        <w:fldChar w:fldCharType="end"/>
      </w:r>
      <w:r w:rsidR="00157226" w:rsidRPr="13CE0930">
        <w:rPr>
          <w:rFonts w:eastAsiaTheme="minorEastAsia"/>
          <w:szCs w:val="20"/>
        </w:rPr>
        <w:t xml:space="preserve">). </w:t>
      </w:r>
      <w:r w:rsidR="00C33222" w:rsidRPr="13CE0930">
        <w:rPr>
          <w:rFonts w:eastAsiaTheme="minorEastAsia"/>
          <w:szCs w:val="20"/>
        </w:rPr>
        <w:t xml:space="preserve"> </w:t>
      </w:r>
      <w:r w:rsidR="00D666C9" w:rsidRPr="13CE0930">
        <w:rPr>
          <w:rFonts w:eastAsiaTheme="minorEastAsia"/>
          <w:szCs w:val="20"/>
        </w:rPr>
        <w:t xml:space="preserve">To transition to the new curriculum existing Registrars were required to </w:t>
      </w:r>
      <w:r w:rsidR="008C4FFF" w:rsidRPr="13CE0930">
        <w:rPr>
          <w:rFonts w:eastAsiaTheme="minorEastAsia"/>
          <w:szCs w:val="20"/>
        </w:rPr>
        <w:t xml:space="preserve">resubmit assessments and adjust completion timeframes. </w:t>
      </w:r>
      <w:r w:rsidR="00147953" w:rsidRPr="13CE0930">
        <w:rPr>
          <w:rFonts w:eastAsiaTheme="minorEastAsia"/>
          <w:szCs w:val="20"/>
        </w:rPr>
        <w:t>Some c</w:t>
      </w:r>
      <w:r w:rsidR="008C4FFF" w:rsidRPr="13CE0930">
        <w:rPr>
          <w:rFonts w:eastAsiaTheme="minorEastAsia"/>
          <w:szCs w:val="20"/>
        </w:rPr>
        <w:t>onsultati</w:t>
      </w:r>
      <w:r w:rsidR="006324B4" w:rsidRPr="13CE0930">
        <w:rPr>
          <w:rFonts w:eastAsiaTheme="minorEastAsia"/>
          <w:szCs w:val="20"/>
        </w:rPr>
        <w:t>ons highlighted that the difficulty of the transition resulted in some Registrars leaving the program</w:t>
      </w:r>
      <w:r w:rsidR="00C938BE" w:rsidRPr="13CE0930">
        <w:rPr>
          <w:rFonts w:eastAsiaTheme="minorEastAsia"/>
          <w:szCs w:val="20"/>
        </w:rPr>
        <w:t xml:space="preserve"> (see Section </w:t>
      </w:r>
      <w:r w:rsidR="00C938BE" w:rsidRPr="13CE0930">
        <w:rPr>
          <w:rFonts w:eastAsiaTheme="minorEastAsia"/>
          <w:szCs w:val="20"/>
        </w:rPr>
        <w:fldChar w:fldCharType="begin" w:fldLock="1"/>
      </w:r>
      <w:r w:rsidR="00C938BE" w:rsidRPr="13CE0930">
        <w:rPr>
          <w:rFonts w:eastAsiaTheme="minorEastAsia"/>
          <w:szCs w:val="20"/>
        </w:rPr>
        <w:instrText xml:space="preserve"> REF _Ref182582028 \r \h </w:instrText>
      </w:r>
      <w:r w:rsidR="00C938BE" w:rsidRPr="13CE0930">
        <w:rPr>
          <w:rFonts w:eastAsiaTheme="minorEastAsia"/>
          <w:szCs w:val="20"/>
        </w:rPr>
      </w:r>
      <w:r w:rsidR="00C938BE" w:rsidRPr="13CE0930">
        <w:rPr>
          <w:rFonts w:eastAsiaTheme="minorEastAsia"/>
          <w:szCs w:val="20"/>
        </w:rPr>
        <w:fldChar w:fldCharType="separate"/>
      </w:r>
      <w:r w:rsidR="00C938BE" w:rsidRPr="13CE0930">
        <w:rPr>
          <w:rFonts w:eastAsiaTheme="minorEastAsia"/>
          <w:szCs w:val="20"/>
          <w:cs/>
        </w:rPr>
        <w:t>‎</w:t>
      </w:r>
      <w:r w:rsidR="00C938BE" w:rsidRPr="13CE0930">
        <w:rPr>
          <w:rFonts w:eastAsiaTheme="minorEastAsia"/>
          <w:szCs w:val="20"/>
        </w:rPr>
        <w:t>3.1.1</w:t>
      </w:r>
      <w:r w:rsidR="00C938BE" w:rsidRPr="13CE0930">
        <w:rPr>
          <w:rFonts w:eastAsiaTheme="minorEastAsia"/>
          <w:szCs w:val="20"/>
        </w:rPr>
        <w:fldChar w:fldCharType="end"/>
      </w:r>
      <w:r w:rsidR="00C938BE" w:rsidRPr="13CE0930">
        <w:rPr>
          <w:rFonts w:eastAsiaTheme="minorEastAsia"/>
          <w:szCs w:val="20"/>
        </w:rPr>
        <w:t xml:space="preserve"> for further detail)</w:t>
      </w:r>
      <w:r w:rsidR="006324B4" w:rsidRPr="13CE0930">
        <w:rPr>
          <w:rFonts w:eastAsiaTheme="minorEastAsia"/>
          <w:szCs w:val="20"/>
        </w:rPr>
        <w:t>.</w:t>
      </w:r>
    </w:p>
    <w:p w14:paraId="463E0D25" w14:textId="534C4A42" w:rsidR="00931D97" w:rsidRDefault="00931D97" w:rsidP="00931D97">
      <w:pPr>
        <w:pStyle w:val="Caption"/>
      </w:pPr>
      <w:bookmarkStart w:id="188" w:name="_Ref182816230"/>
      <w:bookmarkStart w:id="189" w:name="_Ref181967717"/>
      <w:r>
        <w:t xml:space="preserve">Figure </w:t>
      </w:r>
      <w:r>
        <w:fldChar w:fldCharType="begin"/>
      </w:r>
      <w:r>
        <w:instrText xml:space="preserve"> SEQ Figure \* ARABIC </w:instrText>
      </w:r>
      <w:r>
        <w:fldChar w:fldCharType="separate"/>
      </w:r>
      <w:r w:rsidR="005F7EBC">
        <w:rPr>
          <w:noProof/>
        </w:rPr>
        <w:t>19</w:t>
      </w:r>
      <w:r>
        <w:fldChar w:fldCharType="end"/>
      </w:r>
      <w:bookmarkEnd w:id="188"/>
      <w:r>
        <w:t xml:space="preserve">: </w:t>
      </w:r>
      <w:r w:rsidRPr="007C6124">
        <w:t>Registrar resignations by stream, 2018-2023</w:t>
      </w:r>
    </w:p>
    <w:bookmarkEnd w:id="189"/>
    <w:p w14:paraId="7D466E08" w14:textId="4C3B171A" w:rsidR="00627FD7" w:rsidRPr="00627FD7" w:rsidRDefault="00627FD7" w:rsidP="00DD0A27">
      <w:pPr>
        <w:pStyle w:val="BodyText"/>
        <w:jc w:val="center"/>
        <w:rPr>
          <w:lang w:eastAsia="en-AU"/>
        </w:rPr>
      </w:pPr>
      <w:r>
        <w:rPr>
          <w:noProof/>
        </w:rPr>
        <w:drawing>
          <wp:inline distT="0" distB="0" distL="0" distR="0" wp14:anchorId="11F217BD" wp14:editId="37FED918">
            <wp:extent cx="3486150" cy="2047875"/>
            <wp:effectExtent l="0" t="0" r="0" b="0"/>
            <wp:docPr id="604016676" name="Chart 1" descr="Figure 19 is a bar chart which shows registrar resignations by stream 2018 - 2023&#10;&#10;For 2018&#10;DIMP - 1&#10;ROMP - 0&#10;RPS - 0&#10;&#10;For 2019&#10;DIMP - 2&#10;ROMP - 3&#10;RPS - 1&#10;&#10;For 2020&#10;DIMP - 3&#10;ROMP - 3&#10;RPS - 1&#10;&#10;For 2021&#10;DIMP - 0&#10;ROMP - 1&#10;RPS - 0&#10;&#10;For 2022&#10;DIMP - 2&#10;ROMP - 6&#10;RPS - 2&#10;&#10;For 2023&#10;DIMP - 1&#10;ROMP - 1&#10;RPS - 0">
              <a:extLst xmlns:a="http://schemas.openxmlformats.org/drawingml/2006/main">
                <a:ext uri="{FF2B5EF4-FFF2-40B4-BE49-F238E27FC236}">
                  <a16:creationId xmlns:a16="http://schemas.microsoft.com/office/drawing/2014/main" id="{480EE4E3-3252-9966-4856-8BDC7E6C8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999BE1" w14:textId="77777777" w:rsidR="00627FD7" w:rsidRDefault="00627FD7" w:rsidP="00627FD7">
      <w:pPr>
        <w:pStyle w:val="Caption"/>
        <w:rPr>
          <w:szCs w:val="24"/>
        </w:rPr>
      </w:pPr>
      <w:r>
        <w:rPr>
          <w:szCs w:val="24"/>
        </w:rPr>
        <w:t>S</w:t>
      </w:r>
      <w:r w:rsidRPr="00074AC0">
        <w:rPr>
          <w:szCs w:val="24"/>
        </w:rPr>
        <w:t xml:space="preserve">ource: </w:t>
      </w:r>
      <w:r>
        <w:rPr>
          <w:szCs w:val="24"/>
        </w:rPr>
        <w:t>KPMG analysis of ACPSEM provided Registrar data</w:t>
      </w:r>
    </w:p>
    <w:p w14:paraId="1FA7B908" w14:textId="77777777" w:rsidR="005C46C4" w:rsidRDefault="005C46C4" w:rsidP="00DC27F5">
      <w:pPr>
        <w:pStyle w:val="Heading4"/>
        <w:rPr>
          <w:rFonts w:eastAsiaTheme="minorHAnsi" w:cstheme="minorBidi"/>
          <w:color w:val="auto"/>
        </w:rPr>
      </w:pPr>
      <w:r w:rsidRPr="00DC27F5">
        <w:t>Registrations</w:t>
      </w:r>
    </w:p>
    <w:p w14:paraId="0851E62D" w14:textId="13BE4C58" w:rsidR="00182345" w:rsidRDefault="007E4839" w:rsidP="0019756D">
      <w:pPr>
        <w:rPr>
          <w:rFonts w:eastAsiaTheme="minorEastAsia"/>
          <w:szCs w:val="20"/>
        </w:rPr>
      </w:pPr>
      <w:r w:rsidRPr="201AD223">
        <w:rPr>
          <w:rFonts w:eastAsiaTheme="minorEastAsia"/>
          <w:szCs w:val="20"/>
        </w:rPr>
        <w:t>A</w:t>
      </w:r>
      <w:r w:rsidR="00104140" w:rsidRPr="201AD223">
        <w:rPr>
          <w:rFonts w:eastAsiaTheme="minorEastAsia"/>
          <w:szCs w:val="20"/>
        </w:rPr>
        <w:t xml:space="preserve">n individual can be registered on </w:t>
      </w:r>
      <w:r w:rsidR="00A90528">
        <w:rPr>
          <w:rFonts w:eastAsiaTheme="minorEastAsia"/>
          <w:szCs w:val="20"/>
        </w:rPr>
        <w:t>t</w:t>
      </w:r>
      <w:r w:rsidR="00104140" w:rsidRPr="201AD223">
        <w:rPr>
          <w:rFonts w:eastAsiaTheme="minorEastAsia"/>
          <w:szCs w:val="20"/>
        </w:rPr>
        <w:t xml:space="preserve">he </w:t>
      </w:r>
      <w:r w:rsidR="00BE4CBA" w:rsidRPr="201AD223">
        <w:rPr>
          <w:rFonts w:eastAsiaTheme="minorEastAsia"/>
          <w:szCs w:val="20"/>
        </w:rPr>
        <w:t>ACPSEM</w:t>
      </w:r>
      <w:r w:rsidR="00D45792" w:rsidRPr="201AD223">
        <w:rPr>
          <w:rFonts w:eastAsiaTheme="minorEastAsia"/>
          <w:szCs w:val="20"/>
        </w:rPr>
        <w:t xml:space="preserve"> Register</w:t>
      </w:r>
      <w:r w:rsidR="00BE4CBA" w:rsidRPr="201AD223">
        <w:rPr>
          <w:rFonts w:eastAsiaTheme="minorEastAsia"/>
          <w:szCs w:val="20"/>
        </w:rPr>
        <w:t xml:space="preserve"> </w:t>
      </w:r>
      <w:r w:rsidR="00D45792" w:rsidRPr="201AD223">
        <w:rPr>
          <w:rFonts w:eastAsiaTheme="minorEastAsia"/>
          <w:szCs w:val="20"/>
        </w:rPr>
        <w:t xml:space="preserve">of Qualified Medical Physics Specialists and </w:t>
      </w:r>
      <w:r w:rsidR="0043409D">
        <w:rPr>
          <w:rFonts w:eastAsiaTheme="minorEastAsia"/>
          <w:szCs w:val="20"/>
        </w:rPr>
        <w:t>RPS</w:t>
      </w:r>
      <w:r w:rsidR="00D45792" w:rsidRPr="201AD223">
        <w:rPr>
          <w:rFonts w:eastAsiaTheme="minorEastAsia"/>
          <w:szCs w:val="20"/>
        </w:rPr>
        <w:t>s</w:t>
      </w:r>
      <w:r w:rsidRPr="201AD223">
        <w:rPr>
          <w:rFonts w:eastAsiaTheme="minorEastAsia"/>
          <w:szCs w:val="20"/>
        </w:rPr>
        <w:t xml:space="preserve"> either </w:t>
      </w:r>
      <w:r w:rsidR="004C4DC4" w:rsidRPr="201AD223">
        <w:rPr>
          <w:rFonts w:eastAsiaTheme="minorEastAsia"/>
          <w:szCs w:val="20"/>
        </w:rPr>
        <w:t xml:space="preserve">upon </w:t>
      </w:r>
      <w:r w:rsidR="00F43889" w:rsidRPr="201AD223">
        <w:rPr>
          <w:rFonts w:eastAsiaTheme="minorEastAsia"/>
          <w:szCs w:val="20"/>
        </w:rPr>
        <w:t xml:space="preserve">receiving </w:t>
      </w:r>
      <w:r w:rsidR="00722C72" w:rsidRPr="201AD223">
        <w:rPr>
          <w:rFonts w:eastAsiaTheme="minorEastAsia"/>
          <w:szCs w:val="20"/>
        </w:rPr>
        <w:t xml:space="preserve">certification </w:t>
      </w:r>
      <w:r w:rsidR="004F677B">
        <w:rPr>
          <w:rFonts w:eastAsiaTheme="minorEastAsia"/>
          <w:szCs w:val="20"/>
        </w:rPr>
        <w:t>following</w:t>
      </w:r>
      <w:r w:rsidR="004F677B" w:rsidRPr="201AD223">
        <w:rPr>
          <w:rFonts w:eastAsiaTheme="minorEastAsia"/>
          <w:szCs w:val="20"/>
        </w:rPr>
        <w:t xml:space="preserve"> </w:t>
      </w:r>
      <w:r w:rsidR="00722C72" w:rsidRPr="201AD223">
        <w:rPr>
          <w:rFonts w:eastAsiaTheme="minorEastAsia"/>
          <w:szCs w:val="20"/>
        </w:rPr>
        <w:t>TEAP completion</w:t>
      </w:r>
      <w:r w:rsidR="00480EAB" w:rsidRPr="201AD223">
        <w:rPr>
          <w:rFonts w:eastAsiaTheme="minorEastAsia"/>
          <w:szCs w:val="20"/>
        </w:rPr>
        <w:t xml:space="preserve"> (TEAP Pathway)</w:t>
      </w:r>
      <w:r w:rsidR="00722C72" w:rsidRPr="201AD223">
        <w:rPr>
          <w:rFonts w:eastAsiaTheme="minorEastAsia"/>
          <w:szCs w:val="20"/>
        </w:rPr>
        <w:t xml:space="preserve"> or through </w:t>
      </w:r>
      <w:r w:rsidR="00AB1342" w:rsidRPr="201AD223">
        <w:rPr>
          <w:rFonts w:eastAsiaTheme="minorEastAsia"/>
          <w:szCs w:val="20"/>
        </w:rPr>
        <w:t>assessment of comp</w:t>
      </w:r>
      <w:r w:rsidR="00465AD3" w:rsidRPr="201AD223">
        <w:rPr>
          <w:rFonts w:eastAsiaTheme="minorEastAsia"/>
          <w:szCs w:val="20"/>
        </w:rPr>
        <w:t>etence as an experienced candidate (</w:t>
      </w:r>
      <w:r w:rsidR="004F677B">
        <w:rPr>
          <w:rFonts w:eastAsiaTheme="minorEastAsia"/>
          <w:szCs w:val="20"/>
        </w:rPr>
        <w:t>S</w:t>
      </w:r>
      <w:r w:rsidR="00480EAB" w:rsidRPr="201AD223">
        <w:rPr>
          <w:rFonts w:eastAsiaTheme="minorEastAsia"/>
          <w:szCs w:val="20"/>
        </w:rPr>
        <w:t>afe to</w:t>
      </w:r>
      <w:r w:rsidR="004F677B">
        <w:rPr>
          <w:rFonts w:eastAsiaTheme="minorEastAsia"/>
          <w:szCs w:val="20"/>
        </w:rPr>
        <w:t xml:space="preserve"> P</w:t>
      </w:r>
      <w:r w:rsidR="00480EAB" w:rsidRPr="201AD223">
        <w:rPr>
          <w:rFonts w:eastAsiaTheme="minorEastAsia"/>
          <w:szCs w:val="20"/>
        </w:rPr>
        <w:t xml:space="preserve">ractice </w:t>
      </w:r>
      <w:r w:rsidR="004F677B">
        <w:rPr>
          <w:rFonts w:eastAsiaTheme="minorEastAsia"/>
          <w:szCs w:val="20"/>
        </w:rPr>
        <w:t>P</w:t>
      </w:r>
      <w:r w:rsidR="00480EAB" w:rsidRPr="201AD223">
        <w:rPr>
          <w:rFonts w:eastAsiaTheme="minorEastAsia"/>
          <w:szCs w:val="20"/>
        </w:rPr>
        <w:t>athway)</w:t>
      </w:r>
      <w:r w:rsidR="00D45792" w:rsidRPr="201AD223">
        <w:rPr>
          <w:rFonts w:eastAsiaTheme="minorEastAsia"/>
          <w:szCs w:val="20"/>
        </w:rPr>
        <w:t xml:space="preserve">. </w:t>
      </w:r>
      <w:r w:rsidR="002C24DF" w:rsidRPr="201AD223">
        <w:rPr>
          <w:rFonts w:eastAsiaTheme="minorEastAsia"/>
          <w:szCs w:val="20"/>
        </w:rPr>
        <w:t>The ACPSEM Register is “an official record of specialists in Medical Physics and Radiopharmaceutical Science who have demonstrated, and are demonstrating, current competency to practice safely and in accordance with the professional standards of their specialty to deliver best possible outcomes for patients”.</w:t>
      </w:r>
      <w:r w:rsidR="001D1A3C">
        <w:rPr>
          <w:rFonts w:ascii="ZWAdobeF" w:eastAsiaTheme="minorEastAsia" w:hAnsi="ZWAdobeF" w:cs="ZWAdobeF"/>
          <w:sz w:val="2"/>
          <w:szCs w:val="2"/>
        </w:rPr>
        <w:t>59F</w:t>
      </w:r>
      <w:r w:rsidR="005F7EBC">
        <w:rPr>
          <w:rFonts w:ascii="ZWAdobeF" w:eastAsiaTheme="minorEastAsia" w:hAnsi="ZWAdobeF" w:cs="ZWAdobeF"/>
          <w:sz w:val="2"/>
          <w:szCs w:val="2"/>
        </w:rPr>
        <w:t>72F</w:t>
      </w:r>
      <w:r w:rsidR="002C24DF" w:rsidRPr="201AD223">
        <w:rPr>
          <w:rStyle w:val="FootnoteReference"/>
          <w:rFonts w:eastAsiaTheme="minorEastAsia"/>
          <w:szCs w:val="20"/>
        </w:rPr>
        <w:footnoteReference w:id="74"/>
      </w:r>
      <w:r w:rsidR="002C24DF" w:rsidRPr="201AD223">
        <w:rPr>
          <w:rFonts w:eastAsiaTheme="minorEastAsia"/>
          <w:szCs w:val="20"/>
        </w:rPr>
        <w:t xml:space="preserve"> </w:t>
      </w:r>
    </w:p>
    <w:p w14:paraId="2103AF16" w14:textId="53FC5CC9" w:rsidR="005E586E" w:rsidRDefault="00CA6BD2" w:rsidP="00716ED4">
      <w:r>
        <w:fldChar w:fldCharType="begin" w:fldLock="1"/>
      </w:r>
      <w:r>
        <w:instrText xml:space="preserve"> REF _Ref182816355 \h  \* MERGEFORMAT </w:instrText>
      </w:r>
      <w:r>
        <w:fldChar w:fldCharType="separate"/>
      </w:r>
      <w:r w:rsidRPr="00CA6BD2">
        <w:t xml:space="preserve">Figure </w:t>
      </w:r>
      <w:r w:rsidRPr="00CA6BD2" w:rsidDel="00BA2814">
        <w:t>20</w:t>
      </w:r>
      <w:r>
        <w:fldChar w:fldCharType="end"/>
      </w:r>
      <w:r w:rsidR="00F6141F">
        <w:t xml:space="preserve"> </w:t>
      </w:r>
      <w:r w:rsidR="00C575D2">
        <w:t xml:space="preserve">below shows the number of </w:t>
      </w:r>
      <w:r w:rsidR="009434B8">
        <w:t>new registrations</w:t>
      </w:r>
      <w:r w:rsidR="00C575D2">
        <w:t xml:space="preserve"> by year </w:t>
      </w:r>
      <w:r w:rsidR="009434B8">
        <w:t>per</w:t>
      </w:r>
      <w:r w:rsidR="00C575D2">
        <w:t xml:space="preserve"> </w:t>
      </w:r>
      <w:r w:rsidR="006F5500">
        <w:t xml:space="preserve">stream during the period 2018 to </w:t>
      </w:r>
      <w:r w:rsidR="007C6725">
        <w:t xml:space="preserve">2024 (noting 2024 is as </w:t>
      </w:r>
      <w:proofErr w:type="gramStart"/>
      <w:r w:rsidR="007C6725">
        <w:t>at</w:t>
      </w:r>
      <w:proofErr w:type="gramEnd"/>
      <w:r w:rsidR="007C6725">
        <w:t xml:space="preserve"> </w:t>
      </w:r>
      <w:r w:rsidR="00DD7C80">
        <w:t>31 October).</w:t>
      </w:r>
      <w:r>
        <w:fldChar w:fldCharType="begin" w:fldLock="1"/>
      </w:r>
      <w:r>
        <w:instrText xml:space="preserve"> REF _Ref182816373 \h  \* MERGEFORMAT </w:instrText>
      </w:r>
      <w:r>
        <w:fldChar w:fldCharType="separate"/>
      </w:r>
      <w:r w:rsidRPr="00CA6BD2">
        <w:t xml:space="preserve">Figure </w:t>
      </w:r>
      <w:r w:rsidRPr="00CA6BD2" w:rsidDel="00BA2814">
        <w:t>21</w:t>
      </w:r>
      <w:r>
        <w:fldChar w:fldCharType="end"/>
      </w:r>
      <w:r w:rsidR="00F6141F">
        <w:t xml:space="preserve"> </w:t>
      </w:r>
      <w:r w:rsidR="001F5690">
        <w:t xml:space="preserve">shows the percentage </w:t>
      </w:r>
      <w:r w:rsidR="00B205A9">
        <w:t xml:space="preserve">breakdown of </w:t>
      </w:r>
      <w:r w:rsidR="00DF211D">
        <w:t>TEAP pathway registratio</w:t>
      </w:r>
      <w:r w:rsidR="00DE195A">
        <w:t xml:space="preserve">ns. </w:t>
      </w:r>
      <w:r w:rsidR="00290FA1">
        <w:t>For DIMP</w:t>
      </w:r>
      <w:r w:rsidR="00A64B14">
        <w:t>,</w:t>
      </w:r>
      <w:r w:rsidR="00290FA1">
        <w:t xml:space="preserve"> </w:t>
      </w:r>
      <w:r w:rsidR="00EB63CA">
        <w:t xml:space="preserve">TEAP is </w:t>
      </w:r>
      <w:r w:rsidR="005A609A">
        <w:t xml:space="preserve">responsible for </w:t>
      </w:r>
      <w:r w:rsidR="008D21FD">
        <w:t xml:space="preserve">58% of new ACPSEM registrations, with a slight </w:t>
      </w:r>
      <w:r w:rsidR="003D5520">
        <w:t xml:space="preserve">sway towards the Nuclear Medicine discipline. </w:t>
      </w:r>
      <w:r w:rsidR="00450F87">
        <w:t>F</w:t>
      </w:r>
      <w:r w:rsidR="00A64B14">
        <w:t>or ROMP</w:t>
      </w:r>
      <w:r w:rsidR="00AE4566">
        <w:t xml:space="preserve">, TEAP completions account for 59% of new ACPSEM registrations. </w:t>
      </w:r>
      <w:r w:rsidR="00E70545">
        <w:t xml:space="preserve">This suggests that TEAP is the right </w:t>
      </w:r>
      <w:r w:rsidR="004900AC">
        <w:t xml:space="preserve">response to </w:t>
      </w:r>
      <w:r w:rsidR="0067014C">
        <w:t xml:space="preserve">training new entrants to the workforce. </w:t>
      </w:r>
      <w:r w:rsidR="00450F87">
        <w:t xml:space="preserve">While </w:t>
      </w:r>
      <w:r w:rsidR="003E2053">
        <w:t xml:space="preserve">for </w:t>
      </w:r>
      <w:r w:rsidR="006F4AF5">
        <w:t xml:space="preserve">RPS, TEAP completions are only </w:t>
      </w:r>
      <w:r w:rsidR="00450F87">
        <w:t xml:space="preserve">18% of ACPSEM registration increases. </w:t>
      </w:r>
      <w:r w:rsidR="00D67A96">
        <w:t xml:space="preserve">This </w:t>
      </w:r>
      <w:r w:rsidR="00E25638">
        <w:t>may be indicative of</w:t>
      </w:r>
      <w:r w:rsidR="00992A09">
        <w:t xml:space="preserve"> the </w:t>
      </w:r>
      <w:r w:rsidR="00D67A96">
        <w:t xml:space="preserve">lack of formalised requirement </w:t>
      </w:r>
      <w:r w:rsidR="00D601FD">
        <w:t>for certification</w:t>
      </w:r>
      <w:r w:rsidR="00992A09">
        <w:t xml:space="preserve"> or </w:t>
      </w:r>
      <w:r w:rsidR="00D601FD">
        <w:t xml:space="preserve">TEAP not being the right response to workforce </w:t>
      </w:r>
      <w:r w:rsidR="00E25638">
        <w:t>need for</w:t>
      </w:r>
      <w:r w:rsidR="00D601FD">
        <w:t xml:space="preserve"> the RPS workforce. </w:t>
      </w:r>
    </w:p>
    <w:p w14:paraId="41258C86" w14:textId="77777777" w:rsidR="00716ED4" w:rsidRDefault="00716ED4" w:rsidP="00716ED4"/>
    <w:p w14:paraId="644F98E2" w14:textId="50C3B02E" w:rsidR="00716ED4" w:rsidRPr="00716ED4" w:rsidRDefault="005E586E" w:rsidP="00716ED4">
      <w:pPr>
        <w:pStyle w:val="BodyText"/>
        <w:shd w:val="clear" w:color="auto" w:fill="CAF1FF" w:themeFill="accent4" w:themeFillTint="33"/>
        <w:rPr>
          <w:i/>
          <w:iCs/>
        </w:rPr>
      </w:pPr>
      <w:r w:rsidRPr="00716ED4">
        <w:rPr>
          <w:i/>
          <w:iCs/>
          <w:noProof/>
        </w:rPr>
        <w:drawing>
          <wp:anchor distT="0" distB="0" distL="114300" distR="114300" simplePos="0" relativeHeight="251683840" behindDoc="0" locked="0" layoutInCell="1" allowOverlap="1" wp14:anchorId="43E3FE0C" wp14:editId="1C95DDE4">
            <wp:simplePos x="0" y="0"/>
            <wp:positionH relativeFrom="column">
              <wp:posOffset>3810</wp:posOffset>
            </wp:positionH>
            <wp:positionV relativeFrom="paragraph">
              <wp:posOffset>-4445</wp:posOffset>
            </wp:positionV>
            <wp:extent cx="438785" cy="446405"/>
            <wp:effectExtent l="0" t="0" r="0" b="0"/>
            <wp:wrapSquare wrapText="bothSides"/>
            <wp:docPr id="1289010215" name="Graphic 1289010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5"/>
                        </a:ext>
                      </a:extLst>
                    </a:blip>
                    <a:stretch>
                      <a:fillRect/>
                    </a:stretch>
                  </pic:blipFill>
                  <pic:spPr>
                    <a:xfrm>
                      <a:off x="0" y="0"/>
                      <a:ext cx="438785" cy="446405"/>
                    </a:xfrm>
                    <a:prstGeom prst="rect">
                      <a:avLst/>
                    </a:prstGeom>
                  </pic:spPr>
                </pic:pic>
              </a:graphicData>
            </a:graphic>
          </wp:anchor>
        </w:drawing>
      </w:r>
      <w:r w:rsidR="00716ED4" w:rsidRPr="00716ED4">
        <w:rPr>
          <w:i/>
          <w:iCs/>
          <w:color w:val="00338D" w:themeColor="accent1"/>
          <w:szCs w:val="20"/>
        </w:rPr>
        <w:t>“Currently, in RPS there is no encouragement to complete the program as there is no increase in pay. It is not required by any job award in Australia nor do any off the candidates get extra remuneration for completing it.”</w:t>
      </w:r>
    </w:p>
    <w:p w14:paraId="5FC4A00D" w14:textId="5CA8F0B0" w:rsidR="00773657" w:rsidRPr="00716ED4" w:rsidRDefault="00716ED4" w:rsidP="00716ED4">
      <w:pPr>
        <w:shd w:val="clear" w:color="auto" w:fill="CAF1FF" w:themeFill="accent4" w:themeFillTint="33"/>
        <w:rPr>
          <w:b/>
          <w:bCs/>
          <w:i/>
          <w:iCs/>
        </w:rPr>
      </w:pPr>
      <w:r w:rsidRPr="00716ED4">
        <w:rPr>
          <w:b/>
          <w:bCs/>
          <w:i/>
          <w:iCs/>
        </w:rPr>
        <w:t>Surveyed Registrar</w:t>
      </w:r>
    </w:p>
    <w:p w14:paraId="2B286EAA" w14:textId="77777777" w:rsidR="00716ED4" w:rsidRDefault="00716ED4" w:rsidP="0019756D"/>
    <w:p w14:paraId="2065DF98" w14:textId="588CC32D" w:rsidR="00705B31" w:rsidRDefault="00FA031B" w:rsidP="0019756D">
      <w:r>
        <w:t>S</w:t>
      </w:r>
      <w:r w:rsidR="00C36ACC">
        <w:t xml:space="preserve">urveyed </w:t>
      </w:r>
      <w:r w:rsidR="00A72820">
        <w:t>RPS Supervisors strongly agreed that TEAP is providing trainees with the</w:t>
      </w:r>
      <w:r w:rsidR="00FF454B">
        <w:t xml:space="preserve"> requirement knowledge, practical</w:t>
      </w:r>
      <w:r w:rsidR="00A72820">
        <w:t xml:space="preserve"> skills</w:t>
      </w:r>
      <w:r w:rsidR="00FF454B">
        <w:t xml:space="preserve"> and experience needed in the profession</w:t>
      </w:r>
      <w:r w:rsidR="00B74DD1">
        <w:t xml:space="preserve">. However, </w:t>
      </w:r>
      <w:r w:rsidR="00B84488">
        <w:t xml:space="preserve">of surveyed RPS trainees, </w:t>
      </w:r>
      <w:r w:rsidR="00705B31">
        <w:t>two respondents</w:t>
      </w:r>
      <w:r w:rsidR="00E16602">
        <w:t xml:space="preserve"> somewhat disagreed that TEAP provides the practical skills required and </w:t>
      </w:r>
      <w:r w:rsidR="00705B31">
        <w:t xml:space="preserve">one </w:t>
      </w:r>
      <w:r w:rsidR="00E16602">
        <w:t xml:space="preserve">strongly disagreed. </w:t>
      </w:r>
    </w:p>
    <w:p w14:paraId="52BF0C0A" w14:textId="73F654E4" w:rsidR="00931D97" w:rsidRDefault="00931D97" w:rsidP="00931D97">
      <w:pPr>
        <w:pStyle w:val="Caption"/>
      </w:pPr>
      <w:bookmarkStart w:id="190" w:name="_Ref182816355"/>
      <w:bookmarkStart w:id="191" w:name="_Ref182476270"/>
      <w:r>
        <w:t xml:space="preserve">Figure </w:t>
      </w:r>
      <w:r>
        <w:fldChar w:fldCharType="begin"/>
      </w:r>
      <w:r>
        <w:instrText xml:space="preserve"> SEQ Figure \* ARABIC </w:instrText>
      </w:r>
      <w:r>
        <w:fldChar w:fldCharType="separate"/>
      </w:r>
      <w:r w:rsidR="005F7EBC">
        <w:rPr>
          <w:noProof/>
        </w:rPr>
        <w:t>20</w:t>
      </w:r>
      <w:r>
        <w:fldChar w:fldCharType="end"/>
      </w:r>
      <w:bookmarkEnd w:id="190"/>
      <w:r>
        <w:t xml:space="preserve">: </w:t>
      </w:r>
      <w:r w:rsidRPr="00631753">
        <w:t>New registrations by stream, 2018-2024</w:t>
      </w:r>
    </w:p>
    <w:bookmarkEnd w:id="191"/>
    <w:p w14:paraId="760FF156" w14:textId="28C18A04" w:rsidR="000A1106" w:rsidRPr="00C3332D" w:rsidRDefault="009434B8" w:rsidP="00C3332D">
      <w:r>
        <w:rPr>
          <w:noProof/>
        </w:rPr>
        <w:drawing>
          <wp:inline distT="0" distB="0" distL="0" distR="0" wp14:anchorId="3B57F887" wp14:editId="75C95D1A">
            <wp:extent cx="4669047" cy="2027208"/>
            <wp:effectExtent l="0" t="0" r="0" b="0"/>
            <wp:docPr id="437280635" name="Chart 1" descr="Figure 20 is a bar chart which shows new registrations by stream 2018 - 2024&#10;&#10;For 2018&#10;DIMP - Nuclear Medicine - 1&#10;DIMP - Radiology -3&#10;ROMP - 25&#10;RPS - 6&#10;&#10;For 2019&#10;DIMP - Nuclear Medicine - 11&#10;DIMP - Radiology - 10&#10;ROMP - 67&#10;RPS - 6&#10;&#10;For 2020&#10;DIMP - Nuclear Medicine - 3&#10;DIMP - Radiology - 4&#10;ROMP - 28&#10;RPS - 6&#10;&#10;For 2021&#10;DIMP - Nuclear Medicine - 5&#10;DIMP - Radiology - 4&#10;ROMP - 31&#10;RPS - 10&#10;&#10;For 2022&#10;DIMP - Nuclear Medicine - 3&#10;DIMP - Radiology -6&#10;ROMP - 32&#10;RPS - 1&#10;&#10;For 2023&#10;DIMP - Nuclear Medicine - 4&#10;DIMP - Radiology - 5&#10;ROMP - 30&#10;RPS - 2&#10;&#10;For 2024&#10;DIMP - Nuclear Medicine - 1&#10;DIMP - Radiology - 7&#10;ROMP - 9&#10;RPS - 2">
              <a:extLst xmlns:a="http://schemas.openxmlformats.org/drawingml/2006/main">
                <a:ext uri="{FF2B5EF4-FFF2-40B4-BE49-F238E27FC236}">
                  <a16:creationId xmlns:a16="http://schemas.microsoft.com/office/drawing/2014/main" id="{9FB4D8A7-C39A-06E5-9B08-EE829A984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5496625" w14:textId="28BB57B2" w:rsidR="000A1106" w:rsidRDefault="000A1106" w:rsidP="0019756D">
      <w:pPr>
        <w:pStyle w:val="Footer"/>
      </w:pPr>
      <w:r>
        <w:t>S</w:t>
      </w:r>
      <w:r w:rsidRPr="00074AC0">
        <w:t xml:space="preserve">ource: </w:t>
      </w:r>
      <w:r>
        <w:t>KPMG analysis of ACPSEM provided ACPSEM Register data</w:t>
      </w:r>
    </w:p>
    <w:p w14:paraId="4F589CB5" w14:textId="6A3BEABF" w:rsidR="00EE6438" w:rsidRPr="00EE6438" w:rsidRDefault="00931D97" w:rsidP="00EE6438">
      <w:pPr>
        <w:pStyle w:val="Caption"/>
      </w:pPr>
      <w:bookmarkStart w:id="192" w:name="_Ref182816373"/>
      <w:bookmarkStart w:id="193" w:name="_Ref182476298"/>
      <w:r>
        <w:t xml:space="preserve">Figure </w:t>
      </w:r>
      <w:r>
        <w:fldChar w:fldCharType="begin"/>
      </w:r>
      <w:r>
        <w:instrText xml:space="preserve"> SEQ Figure \* ARABIC </w:instrText>
      </w:r>
      <w:r>
        <w:fldChar w:fldCharType="separate"/>
      </w:r>
      <w:r w:rsidR="005F7EBC">
        <w:rPr>
          <w:noProof/>
        </w:rPr>
        <w:t>21</w:t>
      </w:r>
      <w:r>
        <w:fldChar w:fldCharType="end"/>
      </w:r>
      <w:bookmarkEnd w:id="192"/>
      <w:r>
        <w:t xml:space="preserve">: </w:t>
      </w:r>
      <w:r w:rsidRPr="00D8200F">
        <w:t>Percentage of TEAP Pathway new registrations by stream, 2018-2024</w:t>
      </w:r>
      <w:bookmarkEnd w:id="193"/>
    </w:p>
    <w:p w14:paraId="5B6D3BDE" w14:textId="13E5A015" w:rsidR="00EE6438" w:rsidRPr="00C3332D" w:rsidRDefault="00EE6438" w:rsidP="00C3332D">
      <w:r>
        <w:rPr>
          <w:noProof/>
        </w:rPr>
        <w:drawing>
          <wp:inline distT="0" distB="0" distL="0" distR="0" wp14:anchorId="6B3B09E3" wp14:editId="5F9C95AD">
            <wp:extent cx="4219575" cy="2505075"/>
            <wp:effectExtent l="0" t="0" r="0" b="0"/>
            <wp:docPr id="683801302" name="Chart 1" descr="Figure 21 is a bar chart which shows the Percentage of TEAP Pathway new registrations by stream 2018 - 2024&#10;&#10;DIMP - Nuclear Medicine&#10;TEAP - 61%&#10;Other Pathway - 39%&#10;&#10;DIMP Radiology&#10;TEAP - 56%&#10;Other pathway - 44%&#10;&#10;ROMP&#10;TEAP - 59%&#10;Other pathway - 41%&#10;&#10;RPS&#10;TEAP - 18%&#10;Other pathway 82%&#10;">
              <a:extLst xmlns:a="http://schemas.openxmlformats.org/drawingml/2006/main">
                <a:ext uri="{FF2B5EF4-FFF2-40B4-BE49-F238E27FC236}">
                  <a16:creationId xmlns:a16="http://schemas.microsoft.com/office/drawing/2014/main" id="{DB40DB36-9C0A-2F8C-C087-3A2F6239C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097801" w14:textId="19007289" w:rsidR="00EE6438" w:rsidRDefault="00EE6438" w:rsidP="00C3332D">
      <w:pPr>
        <w:pStyle w:val="Footer"/>
      </w:pPr>
      <w:r>
        <w:t>S</w:t>
      </w:r>
      <w:r w:rsidRPr="00074AC0">
        <w:t xml:space="preserve">ource: </w:t>
      </w:r>
      <w:r>
        <w:t>KPMG analysis of ACPSEM provided ACPSEM Register and Registrar data</w:t>
      </w:r>
    </w:p>
    <w:p w14:paraId="52290317" w14:textId="32989BA9" w:rsidR="00CA3025" w:rsidRPr="00AE349D" w:rsidRDefault="006D0032" w:rsidP="00AE349D">
      <w:pPr>
        <w:pStyle w:val="Heading3"/>
      </w:pPr>
      <w:bookmarkStart w:id="194" w:name="_Ref184393477"/>
      <w:bookmarkStart w:id="195" w:name="_Toc216711600"/>
      <w:r w:rsidRPr="00AE349D">
        <w:t xml:space="preserve">Funding support for </w:t>
      </w:r>
      <w:r w:rsidR="004C6EF2" w:rsidRPr="00AE349D">
        <w:t>Trainees</w:t>
      </w:r>
      <w:bookmarkEnd w:id="194"/>
      <w:bookmarkEnd w:id="195"/>
      <w:r w:rsidR="006F361D" w:rsidRPr="00AE349D">
        <w:t xml:space="preserve"> </w:t>
      </w:r>
      <w:bookmarkStart w:id="196" w:name="_Ref182578149"/>
    </w:p>
    <w:bookmarkEnd w:id="196"/>
    <w:p w14:paraId="1712F812" w14:textId="3A044DCA" w:rsidR="00884B1F" w:rsidRPr="00DC27F5" w:rsidRDefault="0069091F" w:rsidP="00DC27F5">
      <w:pPr>
        <w:pStyle w:val="Heading4"/>
        <w:rPr>
          <w:iCs w:val="0"/>
        </w:rPr>
      </w:pPr>
      <w:r w:rsidRPr="00DC27F5">
        <w:t>Funding</w:t>
      </w:r>
      <w:r w:rsidR="00884B1F" w:rsidRPr="00DC27F5">
        <w:t xml:space="preserve"> amounts </w:t>
      </w:r>
    </w:p>
    <w:p w14:paraId="27DE7F87" w14:textId="45E01885" w:rsidR="00884B1F" w:rsidRPr="00DC27F5" w:rsidRDefault="00583DC1" w:rsidP="006F361D">
      <w:pPr>
        <w:pStyle w:val="BodyText"/>
      </w:pPr>
      <w:r>
        <w:t xml:space="preserve">Section </w:t>
      </w:r>
      <w:r w:rsidR="00AE258E">
        <w:fldChar w:fldCharType="begin" w:fldLock="1"/>
      </w:r>
      <w:r w:rsidR="00AE258E">
        <w:instrText xml:space="preserve"> REF _Ref182581752 \r \h </w:instrText>
      </w:r>
      <w:r w:rsidR="00AE258E">
        <w:fldChar w:fldCharType="separate"/>
      </w:r>
      <w:r w:rsidR="00AE258E">
        <w:rPr>
          <w:cs/>
        </w:rPr>
        <w:t>‎</w:t>
      </w:r>
      <w:r w:rsidR="00AE258E">
        <w:t>3.1.2</w:t>
      </w:r>
      <w:r w:rsidR="00AE258E">
        <w:fldChar w:fldCharType="end"/>
      </w:r>
      <w:r>
        <w:t xml:space="preserve"> outlines the </w:t>
      </w:r>
      <w:r w:rsidR="00752485">
        <w:t xml:space="preserve">grant process undertaken within the Medical </w:t>
      </w:r>
      <w:r w:rsidR="000A653A">
        <w:t>Physicist</w:t>
      </w:r>
      <w:r w:rsidR="00752485">
        <w:t xml:space="preserve"> Trainee Support stream of the MPS Program, and </w:t>
      </w:r>
      <w:r w:rsidR="00752485" w:rsidRPr="003012F3">
        <w:t>Section</w:t>
      </w:r>
      <w:r w:rsidR="000A653A">
        <w:t xml:space="preserve"> </w:t>
      </w:r>
      <w:r w:rsidR="00B06AF2">
        <w:fldChar w:fldCharType="begin" w:fldLock="1"/>
      </w:r>
      <w:r w:rsidR="00B06AF2">
        <w:instrText xml:space="preserve"> REF _Ref184195740 \r \h </w:instrText>
      </w:r>
      <w:r w:rsidR="00B06AF2">
        <w:fldChar w:fldCharType="separate"/>
      </w:r>
      <w:r w:rsidR="00B06AF2">
        <w:rPr>
          <w:cs/>
        </w:rPr>
        <w:t>‎</w:t>
      </w:r>
      <w:r w:rsidR="00B06AF2">
        <w:t>3.3.1</w:t>
      </w:r>
      <w:r w:rsidR="00B06AF2">
        <w:fldChar w:fldCharType="end"/>
      </w:r>
      <w:r w:rsidR="002B2956">
        <w:t xml:space="preserve"> </w:t>
      </w:r>
      <w:r w:rsidR="000A653A">
        <w:t xml:space="preserve">details grant funding models. Most notably, </w:t>
      </w:r>
      <w:r w:rsidR="0082140D">
        <w:t>B</w:t>
      </w:r>
      <w:r w:rsidR="00A16A54">
        <w:t xml:space="preserve">ase </w:t>
      </w:r>
      <w:r w:rsidR="0082140D">
        <w:t>F</w:t>
      </w:r>
      <w:r w:rsidR="00A16A54">
        <w:t xml:space="preserve">unding and Regional Loading per training grant has remained </w:t>
      </w:r>
      <w:r w:rsidR="00AC2831">
        <w:t>consistent throughout the review period</w:t>
      </w:r>
      <w:r w:rsidR="00A91574">
        <w:t xml:space="preserve">, at $60,000 and $20,000 per annum respectfully. </w:t>
      </w:r>
      <w:r w:rsidR="00984F29">
        <w:t xml:space="preserve">This is despite </w:t>
      </w:r>
      <w:r w:rsidR="0069091F">
        <w:t xml:space="preserve">a consistent theme amongst stakeholders of rising Registrar costs since 2018. </w:t>
      </w:r>
    </w:p>
    <w:p w14:paraId="3C1A58E4" w14:textId="3421FDD1" w:rsidR="006F361D" w:rsidRPr="00DC27F5" w:rsidRDefault="006F361D" w:rsidP="00DC27F5">
      <w:pPr>
        <w:pStyle w:val="Heading4"/>
        <w:rPr>
          <w:iCs w:val="0"/>
        </w:rPr>
      </w:pPr>
      <w:r w:rsidRPr="00DC27F5">
        <w:t xml:space="preserve">Grant Applications </w:t>
      </w:r>
    </w:p>
    <w:p w14:paraId="6360E171" w14:textId="2CAE8D8B" w:rsidR="00170A02" w:rsidRDefault="00CA6BD2" w:rsidP="00445769">
      <w:pPr>
        <w:tabs>
          <w:tab w:val="left" w:pos="1117"/>
        </w:tabs>
      </w:pPr>
      <w:r>
        <w:fldChar w:fldCharType="begin" w:fldLock="1"/>
      </w:r>
      <w:r>
        <w:instrText xml:space="preserve"> REF _Ref182815957 \h  \* MERGEFORMAT </w:instrText>
      </w:r>
      <w:r>
        <w:fldChar w:fldCharType="separate"/>
      </w:r>
      <w:r w:rsidRPr="00CA6BD2">
        <w:t xml:space="preserve">Figure </w:t>
      </w:r>
      <w:r w:rsidRPr="00CA6BD2" w:rsidDel="00BA2814">
        <w:t>22</w:t>
      </w:r>
      <w:r>
        <w:fldChar w:fldCharType="end"/>
      </w:r>
      <w:r w:rsidR="00F6141F">
        <w:t xml:space="preserve"> </w:t>
      </w:r>
      <w:r w:rsidR="00C93507">
        <w:t>below shows the trend of applicat</w:t>
      </w:r>
      <w:r w:rsidR="00C16A85">
        <w:t xml:space="preserve">ions for </w:t>
      </w:r>
      <w:r w:rsidR="000B03BA">
        <w:t>the open compet</w:t>
      </w:r>
      <w:r w:rsidR="00A3749B">
        <w:t xml:space="preserve">itive </w:t>
      </w:r>
      <w:r w:rsidR="00C16A85">
        <w:t xml:space="preserve">grant rounds 2018, 2019, 2021, 2022 and 2023, noting no grant round occurred in 2020 due to COVID-19. </w:t>
      </w:r>
      <w:r w:rsidR="000340A5">
        <w:t xml:space="preserve">While grant applications remained consistent </w:t>
      </w:r>
      <w:r w:rsidR="00391B62">
        <w:t xml:space="preserve">between 2018 to 2022, a significant drop was experienced in 2023. </w:t>
      </w:r>
      <w:r>
        <w:fldChar w:fldCharType="begin" w:fldLock="1"/>
      </w:r>
      <w:r>
        <w:instrText xml:space="preserve"> REF _Ref184391080 \h  \* MERGEFORMAT </w:instrText>
      </w:r>
      <w:r>
        <w:fldChar w:fldCharType="separate"/>
      </w:r>
      <w:r w:rsidRPr="00CA6BD2">
        <w:t xml:space="preserve">Figure </w:t>
      </w:r>
      <w:r w:rsidRPr="00CA6BD2" w:rsidDel="00BA2814">
        <w:t>23</w:t>
      </w:r>
      <w:r>
        <w:fldChar w:fldCharType="end"/>
      </w:r>
      <w:r w:rsidR="00F6141F">
        <w:t xml:space="preserve"> </w:t>
      </w:r>
      <w:r w:rsidR="00A2735C">
        <w:t>shows the split of applications into each TEAP stream by year</w:t>
      </w:r>
      <w:r w:rsidR="00D60E2F">
        <w:t xml:space="preserve">, highlighting that ROMP </w:t>
      </w:r>
      <w:r w:rsidR="003D7509">
        <w:t xml:space="preserve">applications were a predominate driver of the application drop. </w:t>
      </w:r>
      <w:r w:rsidR="005C3AD3">
        <w:t xml:space="preserve">This may be </w:t>
      </w:r>
      <w:r w:rsidR="002235C4">
        <w:t>indicative</w:t>
      </w:r>
      <w:r w:rsidR="005C3AD3">
        <w:t xml:space="preserve"> of the reduced incentivisation of having a </w:t>
      </w:r>
      <w:r w:rsidR="002235C4">
        <w:t xml:space="preserve">Registrar </w:t>
      </w:r>
      <w:r w:rsidR="00281504">
        <w:t xml:space="preserve">due to stagnated funding amounts but rising Registrar costs (see </w:t>
      </w:r>
      <w:r w:rsidR="00281504" w:rsidRPr="00F41566">
        <w:t xml:space="preserve">Section </w:t>
      </w:r>
      <w:r w:rsidR="00F41566" w:rsidRPr="00194457">
        <w:fldChar w:fldCharType="begin" w:fldLock="1"/>
      </w:r>
      <w:r w:rsidR="00F41566" w:rsidRPr="006B4DD2">
        <w:instrText xml:space="preserve"> REF _Ref184388975 \r \h </w:instrText>
      </w:r>
      <w:r w:rsidR="00F41566">
        <w:instrText xml:space="preserve"> \* MERGEFORMAT </w:instrText>
      </w:r>
      <w:r w:rsidR="00F41566" w:rsidRPr="00194457">
        <w:fldChar w:fldCharType="separate"/>
      </w:r>
      <w:r w:rsidR="00F41566" w:rsidRPr="00194457">
        <w:t>3.4.2</w:t>
      </w:r>
      <w:r w:rsidR="00F41566" w:rsidRPr="00194457">
        <w:fldChar w:fldCharType="end"/>
      </w:r>
      <w:r w:rsidR="00281504">
        <w:t>)</w:t>
      </w:r>
      <w:r w:rsidR="00205B36">
        <w:t xml:space="preserve">, </w:t>
      </w:r>
      <w:r w:rsidR="00CE0C36">
        <w:t>S</w:t>
      </w:r>
      <w:r w:rsidR="00106B92">
        <w:t xml:space="preserve">upervisor capacity, </w:t>
      </w:r>
      <w:r w:rsidR="006C0587">
        <w:t xml:space="preserve">the </w:t>
      </w:r>
      <w:r w:rsidR="006965F3">
        <w:t xml:space="preserve">burden placed on facilities </w:t>
      </w:r>
      <w:r w:rsidR="00205B36">
        <w:t xml:space="preserve">(see </w:t>
      </w:r>
      <w:r w:rsidR="000A4539">
        <w:t xml:space="preserve">Section </w:t>
      </w:r>
      <w:r w:rsidR="000A4539">
        <w:fldChar w:fldCharType="begin" w:fldLock="1"/>
      </w:r>
      <w:r w:rsidR="000A4539">
        <w:instrText xml:space="preserve"> REF _Ref181946606 \r \h </w:instrText>
      </w:r>
      <w:r w:rsidR="000A4539">
        <w:fldChar w:fldCharType="separate"/>
      </w:r>
      <w:r w:rsidR="00D35A75">
        <w:t>3.1</w:t>
      </w:r>
      <w:r w:rsidR="000A4539">
        <w:fldChar w:fldCharType="end"/>
      </w:r>
      <w:r w:rsidR="000A4539">
        <w:t>)</w:t>
      </w:r>
      <w:r w:rsidR="00887AB8">
        <w:t>,</w:t>
      </w:r>
      <w:r w:rsidR="000A4539">
        <w:t xml:space="preserve"> and/or </w:t>
      </w:r>
      <w:r w:rsidR="001124CB">
        <w:t xml:space="preserve">the </w:t>
      </w:r>
      <w:r w:rsidR="001275E1">
        <w:t>inability to obtain</w:t>
      </w:r>
      <w:r w:rsidR="001124CB">
        <w:t xml:space="preserve"> </w:t>
      </w:r>
      <w:r w:rsidR="001275E1">
        <w:t>jurisdiction</w:t>
      </w:r>
      <w:r w:rsidR="008428BC">
        <w:t xml:space="preserve"> funding to employ the Registrar </w:t>
      </w:r>
      <w:r w:rsidR="005820BF">
        <w:t xml:space="preserve">upon </w:t>
      </w:r>
      <w:r w:rsidR="001275E1">
        <w:t>TEAP completion</w:t>
      </w:r>
      <w:r w:rsidR="005820BF">
        <w:t xml:space="preserve"> (see Section </w:t>
      </w:r>
      <w:r w:rsidR="001275E1">
        <w:fldChar w:fldCharType="begin" w:fldLock="1"/>
      </w:r>
      <w:r w:rsidR="001275E1">
        <w:instrText xml:space="preserve"> REF _Ref181947784 \r \h </w:instrText>
      </w:r>
      <w:r w:rsidR="001275E1">
        <w:fldChar w:fldCharType="separate"/>
      </w:r>
      <w:r w:rsidR="00D35A75">
        <w:t>3.4</w:t>
      </w:r>
      <w:r w:rsidR="001275E1">
        <w:fldChar w:fldCharType="end"/>
      </w:r>
      <w:r w:rsidR="005820BF">
        <w:t>)</w:t>
      </w:r>
      <w:r w:rsidR="00281504">
        <w:t xml:space="preserve">. </w:t>
      </w:r>
    </w:p>
    <w:p w14:paraId="12D6BE25" w14:textId="0EA86717" w:rsidR="00170A02" w:rsidRPr="00FB07AF" w:rsidRDefault="00170A02" w:rsidP="00FB07AF">
      <w:pPr>
        <w:pStyle w:val="BodyText"/>
        <w:shd w:val="clear" w:color="auto" w:fill="CAF1FF" w:themeFill="accent4" w:themeFillTint="33"/>
        <w:rPr>
          <w:i/>
          <w:iCs/>
        </w:rPr>
      </w:pPr>
      <w:r w:rsidRPr="00FB07AF">
        <w:rPr>
          <w:i/>
          <w:iCs/>
          <w:noProof/>
        </w:rPr>
        <w:drawing>
          <wp:anchor distT="0" distB="0" distL="114300" distR="114300" simplePos="0" relativeHeight="251685888" behindDoc="0" locked="0" layoutInCell="1" allowOverlap="1" wp14:anchorId="785EE66A" wp14:editId="6BBA6A1D">
            <wp:simplePos x="0" y="0"/>
            <wp:positionH relativeFrom="column">
              <wp:posOffset>3810</wp:posOffset>
            </wp:positionH>
            <wp:positionV relativeFrom="paragraph">
              <wp:posOffset>-4445</wp:posOffset>
            </wp:positionV>
            <wp:extent cx="438785" cy="446405"/>
            <wp:effectExtent l="0" t="0" r="0" b="0"/>
            <wp:wrapSquare wrapText="bothSides"/>
            <wp:docPr id="2097937357" name="Graphic 2097937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5"/>
                        </a:ext>
                      </a:extLst>
                    </a:blip>
                    <a:stretch>
                      <a:fillRect/>
                    </a:stretch>
                  </pic:blipFill>
                  <pic:spPr>
                    <a:xfrm>
                      <a:off x="0" y="0"/>
                      <a:ext cx="438785" cy="446405"/>
                    </a:xfrm>
                    <a:prstGeom prst="rect">
                      <a:avLst/>
                    </a:prstGeom>
                  </pic:spPr>
                </pic:pic>
              </a:graphicData>
            </a:graphic>
          </wp:anchor>
        </w:drawing>
      </w:r>
      <w:r w:rsidRPr="00FB07AF">
        <w:rPr>
          <w:i/>
          <w:iCs/>
          <w:color w:val="00338D" w:themeColor="accent1"/>
          <w:szCs w:val="20"/>
        </w:rPr>
        <w:t xml:space="preserve">“It would be useful to have the annual grant somewhat increased. It is challenging to make business cases for creating these positions when the hospital </w:t>
      </w:r>
      <w:proofErr w:type="gramStart"/>
      <w:r w:rsidRPr="00FB07AF">
        <w:rPr>
          <w:i/>
          <w:iCs/>
          <w:color w:val="00338D" w:themeColor="accent1"/>
          <w:szCs w:val="20"/>
        </w:rPr>
        <w:t>has to</w:t>
      </w:r>
      <w:proofErr w:type="gramEnd"/>
      <w:r w:rsidRPr="00FB07AF">
        <w:rPr>
          <w:i/>
          <w:iCs/>
          <w:color w:val="00338D" w:themeColor="accent1"/>
          <w:szCs w:val="20"/>
        </w:rPr>
        <w:t xml:space="preserve"> commit a greater salary component.”</w:t>
      </w:r>
    </w:p>
    <w:p w14:paraId="2294782B" w14:textId="0263A0C7" w:rsidR="00E97AC2" w:rsidRPr="0093579F" w:rsidRDefault="00170A02" w:rsidP="00445769">
      <w:pPr>
        <w:shd w:val="clear" w:color="auto" w:fill="CAF1FF" w:themeFill="accent4" w:themeFillTint="33"/>
        <w:tabs>
          <w:tab w:val="left" w:pos="1117"/>
        </w:tabs>
        <w:rPr>
          <w:b/>
          <w:bCs/>
          <w:i/>
          <w:iCs/>
        </w:rPr>
      </w:pPr>
      <w:r w:rsidRPr="0093579F">
        <w:rPr>
          <w:b/>
          <w:bCs/>
          <w:i/>
          <w:iCs/>
        </w:rPr>
        <w:t>Surveyed Supervisor</w:t>
      </w:r>
    </w:p>
    <w:p w14:paraId="161327EB" w14:textId="62106ADF" w:rsidR="00CD0EB9" w:rsidRDefault="00931D97" w:rsidP="00931D97">
      <w:pPr>
        <w:pStyle w:val="Caption"/>
        <w:rPr>
          <w:i/>
          <w:iCs/>
        </w:rPr>
      </w:pPr>
      <w:bookmarkStart w:id="197" w:name="_Ref182815957"/>
      <w:r>
        <w:t xml:space="preserve">Figure </w:t>
      </w:r>
      <w:r>
        <w:fldChar w:fldCharType="begin"/>
      </w:r>
      <w:r>
        <w:instrText xml:space="preserve"> SEQ Figure \* ARABIC </w:instrText>
      </w:r>
      <w:r>
        <w:fldChar w:fldCharType="separate"/>
      </w:r>
      <w:r w:rsidR="005F7EBC">
        <w:rPr>
          <w:noProof/>
        </w:rPr>
        <w:t>22</w:t>
      </w:r>
      <w:r>
        <w:fldChar w:fldCharType="end"/>
      </w:r>
      <w:bookmarkEnd w:id="197"/>
      <w:r>
        <w:t xml:space="preserve">: </w:t>
      </w:r>
      <w:r w:rsidRPr="00E412DF">
        <w:t>Grant applications by year, 2018-2023</w:t>
      </w:r>
    </w:p>
    <w:p w14:paraId="607A2B02" w14:textId="2A5E66C1" w:rsidR="003D7509" w:rsidRPr="00D4088F" w:rsidRDefault="00393AFF" w:rsidP="00C3332D">
      <w:r>
        <w:rPr>
          <w:noProof/>
        </w:rPr>
        <w:drawing>
          <wp:inline distT="0" distB="0" distL="0" distR="0" wp14:anchorId="0298C113" wp14:editId="7BAA5E5C">
            <wp:extent cx="5141344" cy="2915729"/>
            <wp:effectExtent l="0" t="0" r="0" b="0"/>
            <wp:docPr id="508015048" name="Chart 1" descr="Figure 22 is a line graph which shows Grant applications by year 2018 - 2023">
              <a:extLst xmlns:a="http://schemas.openxmlformats.org/drawingml/2006/main">
                <a:ext uri="{FF2B5EF4-FFF2-40B4-BE49-F238E27FC236}">
                  <a16:creationId xmlns:a16="http://schemas.microsoft.com/office/drawing/2014/main" id="{51DF0D0E-8076-F4F5-8DDF-EC63505BE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A30B407" w14:textId="70BD4B53" w:rsidR="001A5920" w:rsidRPr="00C3332D" w:rsidRDefault="00393AFF" w:rsidP="00C3332D">
      <w:pPr>
        <w:pStyle w:val="Footer"/>
      </w:pPr>
      <w:r>
        <w:t>S</w:t>
      </w:r>
      <w:r w:rsidRPr="00074AC0">
        <w:t xml:space="preserve">ource: </w:t>
      </w:r>
      <w:r>
        <w:t xml:space="preserve">KPMG analysis of </w:t>
      </w:r>
      <w:r w:rsidR="003172BC">
        <w:t>ACPSEM provided Grant application</w:t>
      </w:r>
      <w:r w:rsidRPr="00074AC0">
        <w:t xml:space="preserve"> </w:t>
      </w:r>
      <w:r>
        <w:t>data</w:t>
      </w:r>
      <w:bookmarkStart w:id="198" w:name="_Ref182567425"/>
    </w:p>
    <w:p w14:paraId="7E9BF81D" w14:textId="4FA2FAE4" w:rsidR="00393AFF" w:rsidRDefault="00931D97" w:rsidP="00CD0EB9">
      <w:pPr>
        <w:pStyle w:val="Caption"/>
      </w:pPr>
      <w:bookmarkStart w:id="199" w:name="_Ref182816415"/>
      <w:bookmarkStart w:id="200" w:name="_Ref184391080"/>
      <w:r>
        <w:t xml:space="preserve">Figure </w:t>
      </w:r>
      <w:r>
        <w:fldChar w:fldCharType="begin"/>
      </w:r>
      <w:r>
        <w:instrText xml:space="preserve"> SEQ Figure \* ARABIC </w:instrText>
      </w:r>
      <w:r>
        <w:fldChar w:fldCharType="separate"/>
      </w:r>
      <w:r w:rsidR="005F7EBC">
        <w:rPr>
          <w:noProof/>
        </w:rPr>
        <w:t>23</w:t>
      </w:r>
      <w:r>
        <w:fldChar w:fldCharType="end"/>
      </w:r>
      <w:bookmarkEnd w:id="199"/>
      <w:bookmarkEnd w:id="200"/>
      <w:r>
        <w:t xml:space="preserve">: </w:t>
      </w:r>
      <w:r w:rsidRPr="00F3367F">
        <w:t>Grant applications by stream, 2018-2023</w:t>
      </w:r>
      <w:bookmarkEnd w:id="198"/>
    </w:p>
    <w:p w14:paraId="1FBE5C13" w14:textId="3DA57D75" w:rsidR="00CD0EB9" w:rsidRDefault="00CD0EB9" w:rsidP="00FC1649">
      <w:pPr>
        <w:pStyle w:val="BodyText"/>
        <w:jc w:val="center"/>
        <w:rPr>
          <w:lang w:eastAsia="en-AU"/>
        </w:rPr>
      </w:pPr>
      <w:r>
        <w:rPr>
          <w:noProof/>
        </w:rPr>
        <w:drawing>
          <wp:inline distT="0" distB="0" distL="0" distR="0" wp14:anchorId="10CABF82" wp14:editId="1BC11452">
            <wp:extent cx="4209691" cy="2570672"/>
            <wp:effectExtent l="0" t="0" r="0" b="0"/>
            <wp:docPr id="260964684" name="Chart 1" descr="Figure 23 is a bar chart which shows Grant applications by stream 2018 - 2023&#10;&#10;2018&#10;DIMP - 8&#10;ROMP - 15&#10;RPS - 4&#10;&#10;2019&#10;DIMP - 13&#10;ROMP - 11&#10;RPS - 4&#10;&#10;2020&#10;No grant round due to COVID-19&#10;&#10;2021&#10;DIMP - 9&#10;ROMP - 12&#10;RPS - 5&#10;&#10;2022&#10;DIMP - 5&#10;ROMP - 16&#10;RPS - 3&#10;&#10;2023&#10;DIMP - 5&#10;ROMP - 8&#10;RPS - 2&#10;">
              <a:extLst xmlns:a="http://schemas.openxmlformats.org/drawingml/2006/main">
                <a:ext uri="{FF2B5EF4-FFF2-40B4-BE49-F238E27FC236}">
                  <a16:creationId xmlns:a16="http://schemas.microsoft.com/office/drawing/2014/main" id="{67D7BD72-F783-2812-7E6A-65CE7482B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70CE2AB" w14:textId="61912D33" w:rsidR="00E25638" w:rsidRDefault="00CD0EB9" w:rsidP="00C3332D">
      <w:pPr>
        <w:pStyle w:val="Footer"/>
      </w:pPr>
      <w:r>
        <w:t>S</w:t>
      </w:r>
      <w:r w:rsidRPr="00074AC0">
        <w:t xml:space="preserve">ource: </w:t>
      </w:r>
      <w:r>
        <w:t>KPMG analysis of ACPSEM provided Grant application data</w:t>
      </w:r>
    </w:p>
    <w:p w14:paraId="78D37C68" w14:textId="465FEBB4" w:rsidR="00884B1F" w:rsidRPr="00AE349D" w:rsidRDefault="00884B1F" w:rsidP="00AE349D">
      <w:pPr>
        <w:pStyle w:val="Heading3"/>
      </w:pPr>
      <w:bookmarkStart w:id="201" w:name="_Toc216711601"/>
      <w:r w:rsidRPr="00AE349D">
        <w:t xml:space="preserve">Support distribution of the </w:t>
      </w:r>
      <w:r w:rsidR="00D404D2" w:rsidRPr="00AE349D">
        <w:t>m</w:t>
      </w:r>
      <w:r w:rsidRPr="00AE349D">
        <w:t xml:space="preserve">edical </w:t>
      </w:r>
      <w:r w:rsidR="00D404D2" w:rsidRPr="00AE349D">
        <w:t>p</w:t>
      </w:r>
      <w:r w:rsidR="004A6799" w:rsidRPr="00AE349D">
        <w:t>hysicist</w:t>
      </w:r>
      <w:r w:rsidRPr="00AE349D">
        <w:t xml:space="preserve"> and RPS workforce</w:t>
      </w:r>
      <w:bookmarkEnd w:id="201"/>
      <w:r w:rsidRPr="00AE349D">
        <w:t xml:space="preserve"> </w:t>
      </w:r>
    </w:p>
    <w:p w14:paraId="5D4AFC3F" w14:textId="77777777" w:rsidR="00FC0A0C" w:rsidRPr="003654A6" w:rsidRDefault="00FC0A0C" w:rsidP="00FC0A0C">
      <w:pPr>
        <w:tabs>
          <w:tab w:val="left" w:pos="1117"/>
        </w:tabs>
        <w:rPr>
          <w:rFonts w:cs="Arial"/>
        </w:rPr>
      </w:pPr>
      <w:r w:rsidRPr="00546F34">
        <w:t xml:space="preserve">A key outcome of the MPS Program is to the </w:t>
      </w:r>
      <w:r>
        <w:t>s</w:t>
      </w:r>
      <w:r w:rsidRPr="00546F34">
        <w:t xml:space="preserve">upport training and innovation which encourage optimal distribution of the medical physicist and </w:t>
      </w:r>
      <w:r>
        <w:t>RPS</w:t>
      </w:r>
      <w:r w:rsidRPr="00546F34">
        <w:t xml:space="preserve"> workforce</w:t>
      </w:r>
      <w:r>
        <w:t xml:space="preserve">. Within the MPS Program there is a focus on </w:t>
      </w:r>
      <w:r w:rsidRPr="003654A6">
        <w:rPr>
          <w:rFonts w:cs="Arial"/>
        </w:rPr>
        <w:t xml:space="preserve">supporting Trainees in MMM 2-7 regions. </w:t>
      </w:r>
    </w:p>
    <w:p w14:paraId="7B796AFD" w14:textId="7E0A1126" w:rsidR="00DE4A71" w:rsidRPr="00CA4B53" w:rsidRDefault="00B950F6" w:rsidP="00CA4B53">
      <w:pPr>
        <w:tabs>
          <w:tab w:val="left" w:pos="1117"/>
        </w:tabs>
      </w:pPr>
      <w:r w:rsidRPr="00B950F6">
        <w:rPr>
          <w:rFonts w:cs="Arial"/>
        </w:rPr>
        <w:fldChar w:fldCharType="begin" w:fldLock="1"/>
      </w:r>
      <w:r w:rsidRPr="00B950F6">
        <w:rPr>
          <w:rFonts w:cs="Arial"/>
        </w:rPr>
        <w:instrText xml:space="preserve"> REF _Ref184304977 \h </w:instrText>
      </w:r>
      <w:r>
        <w:rPr>
          <w:rFonts w:cs="Arial"/>
        </w:rPr>
        <w:instrText xml:space="preserve"> \* MERGEFORMAT </w:instrText>
      </w:r>
      <w:r w:rsidRPr="00B950F6">
        <w:rPr>
          <w:rFonts w:cs="Arial"/>
        </w:rPr>
      </w:r>
      <w:r w:rsidRPr="00B950F6">
        <w:rPr>
          <w:rFonts w:cs="Arial"/>
        </w:rPr>
        <w:fldChar w:fldCharType="separate"/>
      </w:r>
      <w:r w:rsidRPr="00B950F6">
        <w:rPr>
          <w:rFonts w:cs="Arial"/>
        </w:rPr>
        <w:t xml:space="preserve">Figure </w:t>
      </w:r>
      <w:r w:rsidRPr="00B950F6" w:rsidDel="00BA2814">
        <w:rPr>
          <w:rFonts w:cs="Arial"/>
          <w:noProof/>
        </w:rPr>
        <w:t>24</w:t>
      </w:r>
      <w:r w:rsidRPr="00B950F6">
        <w:rPr>
          <w:rFonts w:cs="Arial"/>
        </w:rPr>
        <w:fldChar w:fldCharType="end"/>
      </w:r>
      <w:r w:rsidR="00FC0A0C" w:rsidRPr="003654A6">
        <w:rPr>
          <w:rFonts w:cs="Arial"/>
        </w:rPr>
        <w:t xml:space="preserve"> below illustrates the distribution of training grants across each state and territory. The largest number</w:t>
      </w:r>
      <w:r w:rsidR="00FC0A0C">
        <w:t xml:space="preserve"> of grants have been provided in NSW (27%), followed by </w:t>
      </w:r>
      <w:r w:rsidR="003B7C9D">
        <w:t>QLD</w:t>
      </w:r>
      <w:r w:rsidR="00FC0A0C">
        <w:t xml:space="preserve"> (23%), </w:t>
      </w:r>
      <w:r w:rsidR="00A746EC">
        <w:t>VIC</w:t>
      </w:r>
      <w:r w:rsidR="00FC0A0C">
        <w:t xml:space="preserve"> (20%), </w:t>
      </w:r>
      <w:r w:rsidR="00750464">
        <w:t>WA</w:t>
      </w:r>
      <w:r w:rsidR="00FC0A0C">
        <w:t xml:space="preserve"> (12%), </w:t>
      </w:r>
      <w:r w:rsidR="003B7C9D">
        <w:t>SA</w:t>
      </w:r>
      <w:r w:rsidR="00FC0A0C">
        <w:t xml:space="preserve"> (11%) and the </w:t>
      </w:r>
      <w:r w:rsidR="003B7C9D">
        <w:t>Australian Capital Territory (</w:t>
      </w:r>
      <w:r w:rsidR="00FC0A0C">
        <w:t>ACT</w:t>
      </w:r>
      <w:r w:rsidR="003B7C9D">
        <w:t>)</w:t>
      </w:r>
      <w:r w:rsidR="00FC0A0C">
        <w:t xml:space="preserve"> (6%).</w:t>
      </w:r>
      <w:r w:rsidR="00EE0656">
        <w:t xml:space="preserve"> Both Tasmania and Northern Territory did not receive grants within the review period and as such are not included in any </w:t>
      </w:r>
      <w:r w:rsidR="00195B28">
        <w:t xml:space="preserve">jurisdictional based </w:t>
      </w:r>
      <w:r w:rsidR="00EE0656">
        <w:t xml:space="preserve">analysis. </w:t>
      </w:r>
      <w:bookmarkStart w:id="202" w:name="_Ref184304977"/>
      <w:bookmarkStart w:id="203" w:name="_Ref178232974"/>
    </w:p>
    <w:p w14:paraId="7E724540" w14:textId="4089A485" w:rsidR="00931D97" w:rsidRDefault="00931D97" w:rsidP="00931D97">
      <w:pPr>
        <w:pStyle w:val="Caption"/>
        <w:rPr>
          <w:szCs w:val="24"/>
        </w:rPr>
      </w:pPr>
      <w:r>
        <w:t xml:space="preserve">Figure </w:t>
      </w:r>
      <w:r>
        <w:fldChar w:fldCharType="begin"/>
      </w:r>
      <w:r>
        <w:instrText xml:space="preserve"> SEQ Figure \* ARABIC </w:instrText>
      </w:r>
      <w:r>
        <w:fldChar w:fldCharType="separate"/>
      </w:r>
      <w:r w:rsidR="005F7EBC">
        <w:rPr>
          <w:noProof/>
        </w:rPr>
        <w:t>24</w:t>
      </w:r>
      <w:r>
        <w:fldChar w:fldCharType="end"/>
      </w:r>
      <w:bookmarkEnd w:id="202"/>
      <w:r>
        <w:t xml:space="preserve">: </w:t>
      </w:r>
      <w:r w:rsidRPr="00414853">
        <w:t>State-based distribution of grants, 2018-2023</w:t>
      </w:r>
    </w:p>
    <w:bookmarkEnd w:id="203"/>
    <w:p w14:paraId="2F7E3933" w14:textId="77777777" w:rsidR="00FC0A0C" w:rsidRPr="00C3332D" w:rsidRDefault="00FC0A0C" w:rsidP="00C3332D">
      <w:r>
        <w:rPr>
          <w:noProof/>
        </w:rPr>
        <w:drawing>
          <wp:inline distT="0" distB="0" distL="0" distR="0" wp14:anchorId="7352B9F0" wp14:editId="6C2EA5C1">
            <wp:extent cx="3325090" cy="2351314"/>
            <wp:effectExtent l="0" t="0" r="0" b="0"/>
            <wp:docPr id="8" name="Chart 8" descr="Figure 24 is a pie chart which shows State-based distribution of grants 2018-2023&#10;&#10;ACT - 6%&#10;NSW - 28%&#10;Qld - 23%&#10;WA - 12%&#10;Vic - 20%&#10;SA - 11%">
              <a:extLst xmlns:a="http://schemas.openxmlformats.org/drawingml/2006/main">
                <a:ext uri="{FF2B5EF4-FFF2-40B4-BE49-F238E27FC236}">
                  <a16:creationId xmlns:a16="http://schemas.microsoft.com/office/drawing/2014/main" id="{17DEB65E-A00C-4BE6-BC08-FCA484612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8651566" w14:textId="77777777" w:rsidR="00FC0A0C" w:rsidRDefault="00FC0A0C" w:rsidP="00C3332D">
      <w:pPr>
        <w:pStyle w:val="Footer"/>
      </w:pPr>
      <w:r>
        <w:t>S</w:t>
      </w:r>
      <w:r w:rsidRPr="00074AC0">
        <w:t xml:space="preserve">ource: </w:t>
      </w:r>
      <w:r>
        <w:t xml:space="preserve">KPMG analysis of </w:t>
      </w:r>
      <w:r w:rsidRPr="00074AC0">
        <w:t xml:space="preserve">MPS Program </w:t>
      </w:r>
      <w:r>
        <w:t>data</w:t>
      </w:r>
    </w:p>
    <w:p w14:paraId="78F2A28C" w14:textId="584AB03C" w:rsidR="00FC0A0C" w:rsidRPr="004138F5" w:rsidRDefault="00FC0A0C" w:rsidP="00FC0A0C">
      <w:pPr>
        <w:pStyle w:val="BodyText"/>
      </w:pPr>
      <w:r>
        <w:t xml:space="preserve">When considering grant type (DIMP, ROMP or RPS), NSW has received the largest number of DIMP (32%) and RPS (40%) grants, with </w:t>
      </w:r>
      <w:r w:rsidR="003B7C9D">
        <w:t>QLD</w:t>
      </w:r>
      <w:r>
        <w:t xml:space="preserve"> receiving the largest number of ROMP (30%) grants across the analysis period. Of note, ACT has received no RPS grants during the analysis period, while </w:t>
      </w:r>
      <w:r w:rsidR="003B7C9D">
        <w:t>QLD</w:t>
      </w:r>
      <w:r>
        <w:t xml:space="preserve"> has received one in 2023.  </w:t>
      </w:r>
    </w:p>
    <w:p w14:paraId="731671F0" w14:textId="47262ABD" w:rsidR="00931D97" w:rsidRDefault="00931D97" w:rsidP="00931D97">
      <w:pPr>
        <w:pStyle w:val="Caption"/>
        <w:rPr>
          <w:szCs w:val="24"/>
        </w:rPr>
      </w:pPr>
      <w:r>
        <w:t xml:space="preserve">Figure </w:t>
      </w:r>
      <w:r>
        <w:fldChar w:fldCharType="begin"/>
      </w:r>
      <w:r>
        <w:instrText xml:space="preserve"> SEQ Figure \* ARABIC </w:instrText>
      </w:r>
      <w:r>
        <w:fldChar w:fldCharType="separate"/>
      </w:r>
      <w:r w:rsidR="005F7EBC">
        <w:rPr>
          <w:noProof/>
        </w:rPr>
        <w:t>25</w:t>
      </w:r>
      <w:r>
        <w:fldChar w:fldCharType="end"/>
      </w:r>
      <w:r>
        <w:t xml:space="preserve">: </w:t>
      </w:r>
      <w:r w:rsidRPr="007624F7">
        <w:t>Total grants by state and program types, 2018-2023</w:t>
      </w:r>
    </w:p>
    <w:p w14:paraId="77855B67" w14:textId="77777777" w:rsidR="00FC0A0C" w:rsidRPr="00C3332D" w:rsidRDefault="00FC0A0C" w:rsidP="00C3332D">
      <w:r>
        <w:rPr>
          <w:noProof/>
        </w:rPr>
        <w:drawing>
          <wp:inline distT="0" distB="0" distL="0" distR="0" wp14:anchorId="619CDD99" wp14:editId="53DD32E3">
            <wp:extent cx="5020236" cy="2913529"/>
            <wp:effectExtent l="0" t="0" r="0" b="0"/>
            <wp:docPr id="10" name="Chart 10" descr="Figure 25 is a bar chart which shows Total grants by state and program types 2018 - 2023&#10;&#10;ACT&#10;ROMP - 4&#10;DIMP - 2&#10;RPS -0&#10;&#10;NSW&#10;ROMP - 9&#10;DIMP - 12&#10;RPS - 6&#10;&#10;Queensland&#10;ROMP - 14&#10;DIMP - 8&#10;RPS - 1&#10;&#10;WA&#10;ROMP - 5&#10;DIMP - 5&#10;RPS - 2&#10;&#10;Victoria&#10;ROMP - 8&#10;DIMP -8&#10;RPS - 4&#10;&#10;SA&#10;ROMP - 7&#10;DIMP - 2&#10;RPS - 2">
              <a:extLst xmlns:a="http://schemas.openxmlformats.org/drawingml/2006/main">
                <a:ext uri="{FF2B5EF4-FFF2-40B4-BE49-F238E27FC236}">
                  <a16:creationId xmlns:a16="http://schemas.microsoft.com/office/drawing/2014/main" id="{BE053AC0-C8BD-4C98-B36D-25639EF13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2106CB6" w14:textId="77777777" w:rsidR="00FC0A0C" w:rsidRDefault="00FC0A0C" w:rsidP="00C3332D">
      <w:pPr>
        <w:pStyle w:val="Footer"/>
      </w:pPr>
      <w:r>
        <w:t>S</w:t>
      </w:r>
      <w:r w:rsidRPr="00074AC0">
        <w:t xml:space="preserve">ource: </w:t>
      </w:r>
      <w:r>
        <w:t xml:space="preserve">KPMG analysis of </w:t>
      </w:r>
      <w:r w:rsidRPr="00074AC0">
        <w:t xml:space="preserve">MPS Program </w:t>
      </w:r>
      <w:r>
        <w:t>data</w:t>
      </w:r>
    </w:p>
    <w:p w14:paraId="1083734F" w14:textId="0367FA11" w:rsidR="00840165" w:rsidRDefault="00C318B7" w:rsidP="00840165">
      <w:pPr>
        <w:pStyle w:val="Caption"/>
        <w:rPr>
          <w:rFonts w:eastAsiaTheme="minorHAnsi" w:cstheme="minorBidi"/>
          <w:bCs w:val="0"/>
          <w:i/>
          <w:color w:val="auto"/>
          <w:szCs w:val="22"/>
          <w:lang w:eastAsia="en-US"/>
        </w:rPr>
      </w:pPr>
      <w:r>
        <w:rPr>
          <w:rFonts w:eastAsiaTheme="minorHAnsi" w:cstheme="minorBidi"/>
          <w:bCs w:val="0"/>
          <w:color w:val="auto"/>
          <w:szCs w:val="22"/>
          <w:lang w:eastAsia="en-US"/>
        </w:rPr>
        <w:t>Beyond</w:t>
      </w:r>
      <w:r w:rsidR="00FC0A0C" w:rsidRPr="00067231">
        <w:rPr>
          <w:rFonts w:eastAsiaTheme="minorHAnsi" w:cstheme="minorBidi"/>
          <w:bCs w:val="0"/>
          <w:color w:val="auto"/>
          <w:szCs w:val="22"/>
          <w:lang w:eastAsia="en-US"/>
        </w:rPr>
        <w:t xml:space="preserve"> the individual requirements of Trainees, the criteria for selecting individual Trainees or locations </w:t>
      </w:r>
      <w:proofErr w:type="gramStart"/>
      <w:r w:rsidR="00FC0A0C" w:rsidRPr="00067231">
        <w:rPr>
          <w:rFonts w:eastAsiaTheme="minorHAnsi" w:cstheme="minorBidi"/>
          <w:bCs w:val="0"/>
          <w:color w:val="auto"/>
          <w:szCs w:val="22"/>
          <w:lang w:eastAsia="en-US"/>
        </w:rPr>
        <w:t>is</w:t>
      </w:r>
      <w:proofErr w:type="gramEnd"/>
      <w:r w:rsidR="00FC0A0C" w:rsidRPr="00067231">
        <w:rPr>
          <w:rFonts w:eastAsiaTheme="minorHAnsi" w:cstheme="minorBidi"/>
          <w:bCs w:val="0"/>
          <w:color w:val="auto"/>
          <w:szCs w:val="22"/>
          <w:lang w:eastAsia="en-US"/>
        </w:rPr>
        <w:t xml:space="preserve"> unclear, however during the 2021 to 2023 periods, 11 grants were provided to regional facilities and an additional three to training occurring in expanded settings</w:t>
      </w:r>
      <w:r w:rsidR="00FC0A0C">
        <w:rPr>
          <w:rFonts w:eastAsiaTheme="minorHAnsi" w:cstheme="minorBidi"/>
          <w:bCs w:val="0"/>
          <w:color w:val="auto"/>
          <w:szCs w:val="22"/>
          <w:lang w:eastAsia="en-US"/>
        </w:rPr>
        <w:t>.</w:t>
      </w:r>
      <w:r w:rsidR="006300C3" w:rsidRPr="00194457">
        <w:rPr>
          <w:rFonts w:eastAsiaTheme="minorHAnsi" w:cstheme="minorBidi"/>
          <w:color w:val="auto"/>
          <w:szCs w:val="22"/>
          <w:lang w:eastAsia="en-US"/>
        </w:rPr>
        <w:t xml:space="preserve"> </w:t>
      </w:r>
      <w:r w:rsidR="00AA6EDE" w:rsidRPr="00AA6EDE">
        <w:rPr>
          <w:rFonts w:eastAsiaTheme="minorHAnsi" w:cstheme="minorBidi"/>
          <w:bCs w:val="0"/>
          <w:i/>
          <w:color w:val="auto"/>
          <w:szCs w:val="22"/>
          <w:lang w:eastAsia="en-US"/>
        </w:rPr>
        <w:fldChar w:fldCharType="begin" w:fldLock="1"/>
      </w:r>
      <w:r w:rsidR="00AA6EDE" w:rsidRPr="00AA6EDE">
        <w:rPr>
          <w:rFonts w:eastAsiaTheme="minorHAnsi" w:cstheme="minorBidi"/>
          <w:bCs w:val="0"/>
          <w:color w:val="auto"/>
          <w:szCs w:val="22"/>
          <w:lang w:eastAsia="en-US"/>
        </w:rPr>
        <w:instrText xml:space="preserve"> REF _Ref184391159 \h </w:instrText>
      </w:r>
      <w:r w:rsidR="00AA6EDE">
        <w:rPr>
          <w:rFonts w:eastAsiaTheme="minorHAnsi" w:cstheme="minorBidi"/>
          <w:bCs w:val="0"/>
          <w:color w:val="auto"/>
          <w:szCs w:val="22"/>
          <w:lang w:eastAsia="en-US"/>
        </w:rPr>
        <w:instrText xml:space="preserve"> \* MERGEFORMAT </w:instrText>
      </w:r>
      <w:r w:rsidR="00AA6EDE" w:rsidRPr="00AA6EDE">
        <w:rPr>
          <w:rFonts w:eastAsiaTheme="minorHAnsi" w:cstheme="minorBidi"/>
          <w:bCs w:val="0"/>
          <w:i/>
          <w:color w:val="auto"/>
          <w:szCs w:val="22"/>
          <w:lang w:eastAsia="en-US"/>
        </w:rPr>
      </w:r>
      <w:r w:rsidR="00AA6EDE" w:rsidRPr="00AA6EDE">
        <w:rPr>
          <w:rFonts w:eastAsiaTheme="minorHAnsi" w:cstheme="minorBidi"/>
          <w:bCs w:val="0"/>
          <w:i/>
          <w:color w:val="auto"/>
          <w:szCs w:val="22"/>
          <w:lang w:eastAsia="en-US"/>
        </w:rPr>
        <w:fldChar w:fldCharType="separate"/>
      </w:r>
      <w:r w:rsidR="00AA6EDE" w:rsidRPr="00194457">
        <w:rPr>
          <w:rFonts w:eastAsiaTheme="minorHAnsi" w:cstheme="minorBidi"/>
          <w:color w:val="auto"/>
          <w:szCs w:val="22"/>
          <w:lang w:eastAsia="en-US"/>
        </w:rPr>
        <w:t xml:space="preserve">Figure </w:t>
      </w:r>
      <w:r w:rsidR="00AA6EDE" w:rsidRPr="00194457" w:rsidDel="00BA2814">
        <w:rPr>
          <w:rFonts w:eastAsiaTheme="minorHAnsi" w:cstheme="minorBidi"/>
          <w:color w:val="auto"/>
          <w:szCs w:val="22"/>
          <w:lang w:eastAsia="en-US"/>
        </w:rPr>
        <w:t>26</w:t>
      </w:r>
      <w:r w:rsidR="00AA6EDE" w:rsidRPr="00AA6EDE">
        <w:rPr>
          <w:rFonts w:eastAsiaTheme="minorHAnsi" w:cstheme="minorBidi"/>
          <w:bCs w:val="0"/>
          <w:i/>
          <w:color w:val="auto"/>
          <w:szCs w:val="22"/>
          <w:lang w:eastAsia="en-US"/>
        </w:rPr>
        <w:fldChar w:fldCharType="end"/>
      </w:r>
      <w:r w:rsidR="007173D6" w:rsidRPr="00194457">
        <w:rPr>
          <w:rFonts w:eastAsiaTheme="minorHAnsi" w:cstheme="minorBidi"/>
          <w:color w:val="auto"/>
          <w:szCs w:val="22"/>
          <w:lang w:eastAsia="en-US"/>
        </w:rPr>
        <w:t xml:space="preserve"> and </w:t>
      </w:r>
      <w:r w:rsidR="00AA6EDE" w:rsidRPr="00AA6EDE">
        <w:rPr>
          <w:rFonts w:eastAsiaTheme="minorHAnsi" w:cstheme="minorBidi"/>
          <w:bCs w:val="0"/>
          <w:i/>
          <w:color w:val="auto"/>
          <w:szCs w:val="22"/>
          <w:lang w:eastAsia="en-US"/>
        </w:rPr>
        <w:fldChar w:fldCharType="begin" w:fldLock="1"/>
      </w:r>
      <w:r w:rsidR="00AA6EDE" w:rsidRPr="00AA6EDE">
        <w:rPr>
          <w:rFonts w:eastAsiaTheme="minorHAnsi" w:cstheme="minorBidi"/>
          <w:bCs w:val="0"/>
          <w:color w:val="auto"/>
          <w:szCs w:val="22"/>
          <w:lang w:eastAsia="en-US"/>
        </w:rPr>
        <w:instrText xml:space="preserve"> REF _Ref184391168 \h </w:instrText>
      </w:r>
      <w:r w:rsidR="00AA6EDE">
        <w:rPr>
          <w:rFonts w:eastAsiaTheme="minorHAnsi" w:cstheme="minorBidi"/>
          <w:bCs w:val="0"/>
          <w:color w:val="auto"/>
          <w:szCs w:val="22"/>
          <w:lang w:eastAsia="en-US"/>
        </w:rPr>
        <w:instrText xml:space="preserve"> \* MERGEFORMAT </w:instrText>
      </w:r>
      <w:r w:rsidR="00AA6EDE" w:rsidRPr="00AA6EDE">
        <w:rPr>
          <w:rFonts w:eastAsiaTheme="minorHAnsi" w:cstheme="minorBidi"/>
          <w:bCs w:val="0"/>
          <w:i/>
          <w:color w:val="auto"/>
          <w:szCs w:val="22"/>
          <w:lang w:eastAsia="en-US"/>
        </w:rPr>
      </w:r>
      <w:r w:rsidR="00AA6EDE" w:rsidRPr="00AA6EDE">
        <w:rPr>
          <w:rFonts w:eastAsiaTheme="minorHAnsi" w:cstheme="minorBidi"/>
          <w:bCs w:val="0"/>
          <w:i/>
          <w:color w:val="auto"/>
          <w:szCs w:val="22"/>
          <w:lang w:eastAsia="en-US"/>
        </w:rPr>
        <w:fldChar w:fldCharType="separate"/>
      </w:r>
      <w:r w:rsidR="00AA6EDE" w:rsidRPr="00194457">
        <w:rPr>
          <w:rFonts w:eastAsiaTheme="minorHAnsi" w:cstheme="minorBidi"/>
          <w:color w:val="auto"/>
          <w:szCs w:val="22"/>
          <w:lang w:eastAsia="en-US"/>
        </w:rPr>
        <w:t xml:space="preserve">Figure </w:t>
      </w:r>
      <w:r w:rsidR="00AA6EDE" w:rsidRPr="00194457" w:rsidDel="00BA2814">
        <w:rPr>
          <w:rFonts w:eastAsiaTheme="minorHAnsi" w:cstheme="minorBidi"/>
          <w:color w:val="auto"/>
          <w:szCs w:val="22"/>
          <w:lang w:eastAsia="en-US"/>
        </w:rPr>
        <w:t>27</w:t>
      </w:r>
      <w:r w:rsidR="00AA6EDE" w:rsidRPr="00AA6EDE">
        <w:rPr>
          <w:rFonts w:eastAsiaTheme="minorHAnsi" w:cstheme="minorBidi"/>
          <w:bCs w:val="0"/>
          <w:i/>
          <w:color w:val="auto"/>
          <w:szCs w:val="22"/>
          <w:lang w:eastAsia="en-US"/>
        </w:rPr>
        <w:fldChar w:fldCharType="end"/>
      </w:r>
      <w:r w:rsidR="007173D6" w:rsidRPr="00AA6EDE">
        <w:rPr>
          <w:rFonts w:eastAsiaTheme="minorHAnsi" w:cstheme="minorBidi"/>
          <w:bCs w:val="0"/>
          <w:color w:val="auto"/>
          <w:szCs w:val="22"/>
          <w:lang w:eastAsia="en-US"/>
        </w:rPr>
        <w:t xml:space="preserve"> </w:t>
      </w:r>
      <w:r w:rsidR="00FC0A0C" w:rsidRPr="00C02E7D">
        <w:rPr>
          <w:rFonts w:eastAsiaTheme="minorHAnsi" w:cstheme="minorBidi"/>
          <w:bCs w:val="0"/>
          <w:color w:val="auto"/>
          <w:szCs w:val="22"/>
          <w:lang w:eastAsia="en-US"/>
        </w:rPr>
        <w:t>below provide a further breakdown of the grants during the 2021 to 2023 period.</w:t>
      </w:r>
    </w:p>
    <w:p w14:paraId="56196C6F" w14:textId="6340E72C" w:rsidR="00B806C9" w:rsidRDefault="00B806C9">
      <w:bookmarkStart w:id="204" w:name="_Ref184391159"/>
    </w:p>
    <w:tbl>
      <w:tblPr>
        <w:tblStyle w:val="TableGrid"/>
        <w:tblW w:w="9639" w:type="dxa"/>
        <w:tblLook w:val="04A0" w:firstRow="1" w:lastRow="0" w:firstColumn="1" w:lastColumn="0" w:noHBand="0" w:noVBand="1"/>
      </w:tblPr>
      <w:tblGrid>
        <w:gridCol w:w="4864"/>
        <w:gridCol w:w="4775"/>
      </w:tblGrid>
      <w:tr w:rsidR="005E1EA6" w14:paraId="6AD1CB6E" w14:textId="77777777" w:rsidTr="00B806C9">
        <w:trPr>
          <w:cnfStyle w:val="100000000000" w:firstRow="1" w:lastRow="0" w:firstColumn="0" w:lastColumn="0" w:oddVBand="0" w:evenVBand="0" w:oddHBand="0" w:evenHBand="0" w:firstRowFirstColumn="0" w:firstRowLastColumn="0" w:lastRowFirstColumn="0" w:lastRowLastColumn="0"/>
        </w:trPr>
        <w:tc>
          <w:tcPr>
            <w:tcW w:w="4864" w:type="dxa"/>
          </w:tcPr>
          <w:p w14:paraId="5E80F380" w14:textId="7E888313" w:rsidR="005E1EA6" w:rsidRPr="00CA4B53" w:rsidRDefault="005E1EA6" w:rsidP="00A26670">
            <w:pPr>
              <w:pStyle w:val="BodyText"/>
              <w:rPr>
                <w:lang w:eastAsia="en-AU"/>
              </w:rPr>
            </w:pPr>
            <w:r w:rsidRPr="00CA4B53">
              <w:rPr>
                <w:rFonts w:eastAsia="Times New Roman" w:cs="Times New Roman"/>
                <w:i/>
                <w:sz w:val="18"/>
                <w:szCs w:val="20"/>
                <w:lang w:eastAsia="en-AU"/>
              </w:rPr>
              <w:t xml:space="preserve">Figure </w:t>
            </w:r>
            <w:r w:rsidRPr="00CA4B53">
              <w:rPr>
                <w:rFonts w:eastAsia="Times New Roman" w:cs="Times New Roman"/>
                <w:i/>
                <w:sz w:val="18"/>
                <w:szCs w:val="20"/>
                <w:lang w:eastAsia="en-AU"/>
              </w:rPr>
              <w:fldChar w:fldCharType="begin"/>
            </w:r>
            <w:r w:rsidRPr="00CA4B53">
              <w:rPr>
                <w:rFonts w:eastAsia="Times New Roman" w:cs="Times New Roman"/>
                <w:i/>
                <w:sz w:val="18"/>
                <w:szCs w:val="20"/>
                <w:lang w:eastAsia="en-AU"/>
              </w:rPr>
              <w:instrText xml:space="preserve"> SEQ Figure \* ARABIC </w:instrText>
            </w:r>
            <w:r w:rsidRPr="00CA4B53">
              <w:rPr>
                <w:rFonts w:eastAsia="Times New Roman" w:cs="Times New Roman"/>
                <w:i/>
                <w:sz w:val="18"/>
                <w:szCs w:val="20"/>
                <w:lang w:eastAsia="en-AU"/>
              </w:rPr>
              <w:fldChar w:fldCharType="separate"/>
            </w:r>
            <w:r w:rsidR="005F7EBC" w:rsidRPr="00CA4B53">
              <w:rPr>
                <w:rFonts w:eastAsia="Times New Roman" w:cs="Times New Roman"/>
                <w:i/>
                <w:noProof/>
                <w:sz w:val="18"/>
                <w:szCs w:val="20"/>
                <w:lang w:eastAsia="en-AU"/>
              </w:rPr>
              <w:t>26</w:t>
            </w:r>
            <w:r w:rsidRPr="00CA4B53">
              <w:rPr>
                <w:rFonts w:eastAsia="Times New Roman" w:cs="Times New Roman"/>
                <w:i/>
                <w:sz w:val="18"/>
                <w:szCs w:val="20"/>
                <w:lang w:eastAsia="en-AU"/>
              </w:rPr>
              <w:fldChar w:fldCharType="end"/>
            </w:r>
            <w:bookmarkEnd w:id="204"/>
            <w:r w:rsidRPr="00CA4B53">
              <w:rPr>
                <w:rFonts w:eastAsia="Times New Roman" w:cs="Times New Roman"/>
                <w:i/>
                <w:sz w:val="18"/>
                <w:szCs w:val="20"/>
                <w:lang w:eastAsia="en-AU"/>
              </w:rPr>
              <w:t>: Grants by setting and year, 2021-2023</w:t>
            </w:r>
          </w:p>
        </w:tc>
        <w:tc>
          <w:tcPr>
            <w:tcW w:w="4775" w:type="dxa"/>
          </w:tcPr>
          <w:p w14:paraId="140A50FE" w14:textId="716C0F1F" w:rsidR="005E1EA6" w:rsidRPr="00CA4B53" w:rsidRDefault="005E1EA6" w:rsidP="00A26670">
            <w:pPr>
              <w:pStyle w:val="BodyText"/>
              <w:rPr>
                <w:rFonts w:eastAsia="Times New Roman" w:cs="Times New Roman"/>
                <w:i/>
                <w:sz w:val="18"/>
                <w:szCs w:val="20"/>
                <w:lang w:eastAsia="en-AU"/>
              </w:rPr>
            </w:pPr>
            <w:bookmarkStart w:id="205" w:name="_Ref184391168"/>
            <w:r w:rsidRPr="00CA4B53">
              <w:rPr>
                <w:rFonts w:eastAsia="Times New Roman" w:cs="Times New Roman"/>
                <w:i/>
                <w:sz w:val="18"/>
                <w:szCs w:val="20"/>
                <w:lang w:eastAsia="en-AU"/>
              </w:rPr>
              <w:t xml:space="preserve">Figure </w:t>
            </w:r>
            <w:r w:rsidRPr="00CA4B53">
              <w:rPr>
                <w:rFonts w:eastAsia="Times New Roman" w:cs="Times New Roman"/>
                <w:i/>
                <w:sz w:val="18"/>
                <w:szCs w:val="20"/>
                <w:lang w:eastAsia="en-AU"/>
              </w:rPr>
              <w:fldChar w:fldCharType="begin"/>
            </w:r>
            <w:r w:rsidRPr="00CA4B53">
              <w:rPr>
                <w:rFonts w:eastAsia="Times New Roman" w:cs="Times New Roman"/>
                <w:i/>
                <w:sz w:val="18"/>
                <w:szCs w:val="20"/>
                <w:lang w:eastAsia="en-AU"/>
              </w:rPr>
              <w:instrText xml:space="preserve"> SEQ Figure \* ARABIC </w:instrText>
            </w:r>
            <w:r w:rsidRPr="00CA4B53">
              <w:rPr>
                <w:rFonts w:eastAsia="Times New Roman" w:cs="Times New Roman"/>
                <w:i/>
                <w:sz w:val="18"/>
                <w:szCs w:val="20"/>
                <w:lang w:eastAsia="en-AU"/>
              </w:rPr>
              <w:fldChar w:fldCharType="separate"/>
            </w:r>
            <w:r w:rsidR="005F7EBC" w:rsidRPr="00CA4B53">
              <w:rPr>
                <w:rFonts w:eastAsia="Times New Roman" w:cs="Times New Roman"/>
                <w:i/>
                <w:noProof/>
                <w:sz w:val="18"/>
                <w:szCs w:val="20"/>
                <w:lang w:eastAsia="en-AU"/>
              </w:rPr>
              <w:t>27</w:t>
            </w:r>
            <w:r w:rsidRPr="00CA4B53">
              <w:rPr>
                <w:rFonts w:eastAsia="Times New Roman" w:cs="Times New Roman"/>
                <w:i/>
                <w:sz w:val="18"/>
                <w:szCs w:val="20"/>
                <w:lang w:eastAsia="en-AU"/>
              </w:rPr>
              <w:fldChar w:fldCharType="end"/>
            </w:r>
            <w:bookmarkEnd w:id="205"/>
            <w:r w:rsidRPr="00CA4B53">
              <w:rPr>
                <w:rFonts w:eastAsia="Times New Roman" w:cs="Times New Roman"/>
                <w:i/>
                <w:sz w:val="18"/>
                <w:szCs w:val="20"/>
                <w:lang w:eastAsia="en-AU"/>
              </w:rPr>
              <w:t>: Grants by setting and state, 2021-2023</w:t>
            </w:r>
          </w:p>
        </w:tc>
      </w:tr>
      <w:tr w:rsidR="005E1EA6" w14:paraId="72E077B6" w14:textId="77777777" w:rsidTr="00B806C9">
        <w:trPr>
          <w:cnfStyle w:val="000000100000" w:firstRow="0" w:lastRow="0" w:firstColumn="0" w:lastColumn="0" w:oddVBand="0" w:evenVBand="0" w:oddHBand="1" w:evenHBand="0" w:firstRowFirstColumn="0" w:firstRowLastColumn="0" w:lastRowFirstColumn="0" w:lastRowLastColumn="0"/>
        </w:trPr>
        <w:tc>
          <w:tcPr>
            <w:tcW w:w="4864" w:type="dxa"/>
          </w:tcPr>
          <w:p w14:paraId="0D762CC8" w14:textId="3F9A9FE6" w:rsidR="005E1EA6" w:rsidRDefault="005E1EA6" w:rsidP="00A26670">
            <w:pPr>
              <w:pStyle w:val="BodyText"/>
              <w:rPr>
                <w:lang w:eastAsia="en-AU"/>
              </w:rPr>
            </w:pPr>
            <w:r>
              <w:rPr>
                <w:noProof/>
              </w:rPr>
              <w:drawing>
                <wp:inline distT="0" distB="0" distL="0" distR="0" wp14:anchorId="29F514D8" wp14:editId="0E314943">
                  <wp:extent cx="3016332" cy="1935677"/>
                  <wp:effectExtent l="0" t="0" r="0" b="0"/>
                  <wp:docPr id="825604584" name="Chart 825604584" descr="Figure 26 is a bar chart which shows Grants by setting and year 2021 - 2023&#10;&#10;Regional&#10;2021 - 4&#10;2022 - 3&#10;2023 - 4&#10;&#10;Expanded&#10;2021 - 1&#10;2022 - 0&#10;2023 - 2&#10;&#10;Metropolitan &#10;2021 - 12&#10;2022 - 12&#10;2023 - 8&#10;&#10;">
                    <a:extLst xmlns:a="http://schemas.openxmlformats.org/drawingml/2006/main">
                      <a:ext uri="{FF2B5EF4-FFF2-40B4-BE49-F238E27FC236}">
                        <a16:creationId xmlns:a16="http://schemas.microsoft.com/office/drawing/2014/main" id="{DB361FAD-3687-B9A2-F478-CA1ED04E7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775" w:type="dxa"/>
          </w:tcPr>
          <w:p w14:paraId="09A0A4D7" w14:textId="2BFB4096" w:rsidR="005E1EA6" w:rsidRDefault="005E1EA6" w:rsidP="00A26670">
            <w:pPr>
              <w:pStyle w:val="BodyText"/>
              <w:rPr>
                <w:lang w:eastAsia="en-AU"/>
              </w:rPr>
            </w:pPr>
            <w:r>
              <w:rPr>
                <w:noProof/>
              </w:rPr>
              <w:drawing>
                <wp:inline distT="0" distB="0" distL="0" distR="0" wp14:anchorId="60E98E09" wp14:editId="6C2C04F4">
                  <wp:extent cx="2885440" cy="1983347"/>
                  <wp:effectExtent l="0" t="0" r="0" b="0"/>
                  <wp:docPr id="1582454979" name="Chart 1582454979" descr="Figure 27 is a bar chart which shows Grants by setting and state 2021 - 2023&#10;&#10;ACT&#10;Regional - 0&#10;Expanded setting - 0&#10;Metropolitan - 2&#10;&#10;NSW&#10;Regional - 3&#10;Expanded setting - 1&#10;Metropolitan - 5&#10;&#10;Queensland&#10;Regional - 7&#10;Expanded setting - 1&#10;Metropolitan - 4&#10;&#10;South Australia&#10;Regional - 0&#10;Expanded setting - 1&#10;Metropolitan - 6&#10;&#10;Victoria&#10;Regional - 1&#10;Expanded setting - 0 &#10;Metropolitan - 9&#10;&#10;Western Australia&#10;Regional - 0&#10;Expanded setting - 0&#10;Metropolitan - 6">
                    <a:extLst xmlns:a="http://schemas.openxmlformats.org/drawingml/2006/main">
                      <a:ext uri="{FF2B5EF4-FFF2-40B4-BE49-F238E27FC236}">
                        <a16:creationId xmlns:a16="http://schemas.microsoft.com/office/drawing/2014/main" id="{7C17B68A-95FF-6912-11BE-78CFEB929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5E1EA6" w14:paraId="46FC3772" w14:textId="77777777" w:rsidTr="00B806C9">
        <w:tc>
          <w:tcPr>
            <w:tcW w:w="4864" w:type="dxa"/>
          </w:tcPr>
          <w:p w14:paraId="0FEE2787" w14:textId="165FB66B" w:rsidR="005E1EA6" w:rsidRDefault="005E1EA6" w:rsidP="00C3332D">
            <w:pPr>
              <w:pStyle w:val="Footer"/>
            </w:pPr>
            <w:r>
              <w:t>S</w:t>
            </w:r>
            <w:r w:rsidRPr="00074AC0">
              <w:t xml:space="preserve">ource: </w:t>
            </w:r>
            <w:r>
              <w:t xml:space="preserve">KPMG analysis of </w:t>
            </w:r>
            <w:r w:rsidRPr="00074AC0">
              <w:t xml:space="preserve">MPS Program </w:t>
            </w:r>
            <w:r>
              <w:t>data</w:t>
            </w:r>
          </w:p>
        </w:tc>
        <w:tc>
          <w:tcPr>
            <w:tcW w:w="4775" w:type="dxa"/>
          </w:tcPr>
          <w:p w14:paraId="3E6F1818" w14:textId="5CFA77D2" w:rsidR="005E1EA6" w:rsidRPr="005E1EA6" w:rsidRDefault="005E1EA6" w:rsidP="00C3332D">
            <w:pPr>
              <w:pStyle w:val="Footer"/>
            </w:pPr>
            <w:r>
              <w:t>S</w:t>
            </w:r>
            <w:r w:rsidRPr="00074AC0">
              <w:t xml:space="preserve">ource: </w:t>
            </w:r>
            <w:r>
              <w:t xml:space="preserve">KPMG analysis of </w:t>
            </w:r>
            <w:r w:rsidRPr="00074AC0">
              <w:t xml:space="preserve">MPS Program </w:t>
            </w:r>
            <w:r>
              <w:t>data</w:t>
            </w:r>
          </w:p>
        </w:tc>
      </w:tr>
    </w:tbl>
    <w:p w14:paraId="4270E5DA" w14:textId="26E3C0A9" w:rsidR="001B4FCC" w:rsidRDefault="00FC0A0C" w:rsidP="00FC0A0C">
      <w:pPr>
        <w:pStyle w:val="BodyText"/>
      </w:pPr>
      <w:r>
        <w:t xml:space="preserve">When considering the distribution of grants beyond metropolitan facilities, </w:t>
      </w:r>
      <w:r w:rsidR="003B7C9D">
        <w:t>QLD</w:t>
      </w:r>
      <w:r>
        <w:t xml:space="preserve"> had the largest number of regional grants, with 58% of their grants received being for regional settings. While both WA and ACT received no grants for regional or expanded settings. </w:t>
      </w:r>
      <w:r w:rsidR="001B4FCC">
        <w:t>Nationally, a total of</w:t>
      </w:r>
      <w:r>
        <w:t xml:space="preserve"> 24% of grants were provided to regional facilities and a further 7% to those with expanded settings during 2021 – 2023. </w:t>
      </w:r>
    </w:p>
    <w:p w14:paraId="7CCD04BC" w14:textId="0A62DE1A" w:rsidR="00FC0A0C" w:rsidRDefault="00F66966" w:rsidP="00FC0A0C">
      <w:pPr>
        <w:pStyle w:val="BodyText"/>
      </w:pPr>
      <w:r>
        <w:t xml:space="preserve">MMM locations of </w:t>
      </w:r>
      <w:r w:rsidR="004C40EB">
        <w:t>R</w:t>
      </w:r>
      <w:r>
        <w:t xml:space="preserve">egistrars </w:t>
      </w:r>
      <w:r w:rsidR="002E5FA2">
        <w:t>w</w:t>
      </w:r>
      <w:r w:rsidR="001B4FCC">
        <w:t>ere</w:t>
      </w:r>
      <w:r w:rsidR="002E5FA2">
        <w:t xml:space="preserve"> </w:t>
      </w:r>
      <w:r w:rsidR="00D978CE">
        <w:t xml:space="preserve">not maintained </w:t>
      </w:r>
      <w:r w:rsidR="002E5FA2">
        <w:t>in</w:t>
      </w:r>
      <w:r w:rsidR="001C5C21">
        <w:t xml:space="preserve"> data</w:t>
      </w:r>
      <w:r w:rsidR="004C40EB">
        <w:t xml:space="preserve">sets </w:t>
      </w:r>
      <w:r w:rsidR="002E5FA2">
        <w:t xml:space="preserve">provided by ACPSEM. </w:t>
      </w:r>
      <w:r w:rsidR="00FC0A0C">
        <w:t>I</w:t>
      </w:r>
      <w:r w:rsidR="00FC0A0C" w:rsidRPr="00C364AF">
        <w:t xml:space="preserve">t is acknowledged that training opportunities for medical physicists are limited in rural and remote settings for a variety of reasons including access to </w:t>
      </w:r>
      <w:r w:rsidR="00FC0A0C">
        <w:t>Supervisor</w:t>
      </w:r>
      <w:r w:rsidR="00FC0A0C" w:rsidRPr="00C364AF">
        <w:t>s and equipment.</w:t>
      </w:r>
      <w:r w:rsidR="000346C8">
        <w:t xml:space="preserve"> </w:t>
      </w:r>
    </w:p>
    <w:p w14:paraId="432BD010" w14:textId="6B4684B4" w:rsidR="000346C8" w:rsidRPr="000346C8" w:rsidRDefault="000346C8" w:rsidP="00DC27F5">
      <w:pPr>
        <w:pStyle w:val="Heading4"/>
      </w:pPr>
      <w:r w:rsidRPr="00DC27F5">
        <w:t>Stakeholder perceptions</w:t>
      </w:r>
    </w:p>
    <w:p w14:paraId="49BA3901" w14:textId="11AF74D1" w:rsidR="002A7E87" w:rsidRDefault="009A567E" w:rsidP="000346C8">
      <w:pPr>
        <w:spacing w:before="180"/>
        <w:rPr>
          <w:rFonts w:eastAsia="Times New Roman" w:cs="Times New Roman"/>
          <w:szCs w:val="18"/>
          <w:lang w:eastAsia="en-AU"/>
        </w:rPr>
      </w:pPr>
      <w:r>
        <w:rPr>
          <w:rFonts w:eastAsia="Times New Roman" w:cs="Times New Roman"/>
          <w:szCs w:val="18"/>
          <w:lang w:eastAsia="en-AU"/>
        </w:rPr>
        <w:t xml:space="preserve">Of surveyed Supervisors, </w:t>
      </w:r>
      <w:r w:rsidR="00846ED1" w:rsidRPr="0080137B">
        <w:rPr>
          <w:rFonts w:eastAsia="Times New Roman" w:cs="Times New Roman"/>
          <w:szCs w:val="18"/>
          <w:lang w:eastAsia="en-AU"/>
        </w:rPr>
        <w:t xml:space="preserve">35% </w:t>
      </w:r>
      <w:r w:rsidR="00041515">
        <w:rPr>
          <w:rFonts w:eastAsia="Times New Roman" w:cs="Times New Roman"/>
          <w:szCs w:val="18"/>
          <w:lang w:eastAsia="en-AU"/>
        </w:rPr>
        <w:t xml:space="preserve">(19 respondents) </w:t>
      </w:r>
      <w:r w:rsidR="00846ED1" w:rsidRPr="0080137B">
        <w:rPr>
          <w:rFonts w:eastAsia="Times New Roman" w:cs="Times New Roman"/>
          <w:szCs w:val="18"/>
          <w:lang w:eastAsia="en-AU"/>
        </w:rPr>
        <w:t>agree that the program is positively impacting the distribution of the medical physicist workforce and</w:t>
      </w:r>
      <w:r w:rsidR="0043409D">
        <w:rPr>
          <w:rFonts w:eastAsia="Times New Roman" w:cs="Times New Roman"/>
          <w:szCs w:val="18"/>
          <w:lang w:eastAsia="en-AU"/>
        </w:rPr>
        <w:t xml:space="preserve"> RPSs</w:t>
      </w:r>
      <w:r w:rsidR="00846ED1" w:rsidRPr="0080137B">
        <w:rPr>
          <w:rFonts w:eastAsia="Times New Roman" w:cs="Times New Roman"/>
          <w:szCs w:val="18"/>
          <w:lang w:eastAsia="en-AU"/>
        </w:rPr>
        <w:t>, particularly in regional, rural or remote communities</w:t>
      </w:r>
      <w:r w:rsidR="00F73567">
        <w:rPr>
          <w:rFonts w:eastAsia="Times New Roman" w:cs="Times New Roman"/>
          <w:szCs w:val="18"/>
          <w:lang w:eastAsia="en-AU"/>
        </w:rPr>
        <w:t xml:space="preserve"> (n=54)</w:t>
      </w:r>
      <w:r w:rsidR="00846ED1" w:rsidRPr="0080137B">
        <w:rPr>
          <w:rFonts w:eastAsia="Times New Roman" w:cs="Times New Roman"/>
          <w:szCs w:val="18"/>
          <w:lang w:eastAsia="en-AU"/>
        </w:rPr>
        <w:t xml:space="preserve">. </w:t>
      </w:r>
      <w:r w:rsidR="00EB7214">
        <w:rPr>
          <w:rFonts w:eastAsia="Times New Roman" w:cs="Times New Roman"/>
          <w:szCs w:val="18"/>
          <w:lang w:eastAsia="en-AU"/>
        </w:rPr>
        <w:t xml:space="preserve">However, </w:t>
      </w:r>
      <w:r w:rsidR="00846ED1" w:rsidRPr="0080137B">
        <w:rPr>
          <w:rFonts w:eastAsia="Times New Roman" w:cs="Times New Roman"/>
          <w:szCs w:val="18"/>
          <w:lang w:eastAsia="en-AU"/>
        </w:rPr>
        <w:t>43%</w:t>
      </w:r>
      <w:r w:rsidR="00041515">
        <w:rPr>
          <w:rFonts w:eastAsia="Times New Roman" w:cs="Times New Roman"/>
          <w:szCs w:val="18"/>
          <w:lang w:eastAsia="en-AU"/>
        </w:rPr>
        <w:t xml:space="preserve"> (23 respondents)</w:t>
      </w:r>
      <w:r w:rsidR="00846ED1" w:rsidRPr="0080137B">
        <w:rPr>
          <w:rFonts w:eastAsia="Times New Roman" w:cs="Times New Roman"/>
          <w:szCs w:val="18"/>
          <w:lang w:eastAsia="en-AU"/>
        </w:rPr>
        <w:t xml:space="preserve"> neither agreed nor disagreed, and 4 respondents strongly disagreed.</w:t>
      </w:r>
      <w:r w:rsidR="000346C8" w:rsidRPr="0080137B">
        <w:rPr>
          <w:rFonts w:eastAsia="Times New Roman" w:cs="Times New Roman"/>
          <w:szCs w:val="18"/>
          <w:lang w:eastAsia="en-AU"/>
        </w:rPr>
        <w:t xml:space="preserve"> </w:t>
      </w:r>
    </w:p>
    <w:p w14:paraId="09B2F363" w14:textId="72FE23DE" w:rsidR="00846ED1" w:rsidRPr="0080137B" w:rsidRDefault="000346C8" w:rsidP="000346C8">
      <w:pPr>
        <w:spacing w:before="180"/>
        <w:rPr>
          <w:rFonts w:eastAsia="Times New Roman" w:cs="Times New Roman"/>
          <w:szCs w:val="18"/>
          <w:lang w:eastAsia="en-AU"/>
        </w:rPr>
      </w:pPr>
      <w:r w:rsidRPr="0080137B">
        <w:rPr>
          <w:rFonts w:eastAsia="Times New Roman" w:cs="Times New Roman"/>
          <w:szCs w:val="18"/>
          <w:lang w:eastAsia="en-AU"/>
        </w:rPr>
        <w:t>Additionally, o</w:t>
      </w:r>
      <w:r w:rsidR="00846ED1" w:rsidRPr="0080137B">
        <w:rPr>
          <w:rFonts w:eastAsia="Times New Roman" w:cs="Times New Roman"/>
          <w:szCs w:val="18"/>
          <w:lang w:eastAsia="en-AU"/>
        </w:rPr>
        <w:t xml:space="preserve">ver half of </w:t>
      </w:r>
      <w:r w:rsidR="009253FB">
        <w:rPr>
          <w:rFonts w:eastAsia="Times New Roman" w:cs="Times New Roman"/>
          <w:szCs w:val="18"/>
          <w:lang w:eastAsia="en-AU"/>
        </w:rPr>
        <w:t xml:space="preserve">surveyed </w:t>
      </w:r>
      <w:r w:rsidR="00846ED1" w:rsidRPr="0080137B">
        <w:rPr>
          <w:rFonts w:eastAsia="Times New Roman" w:cs="Times New Roman"/>
          <w:szCs w:val="18"/>
          <w:lang w:eastAsia="en-AU"/>
        </w:rPr>
        <w:t xml:space="preserve">current trainees </w:t>
      </w:r>
      <w:r w:rsidR="0010181D" w:rsidRPr="0080137B">
        <w:rPr>
          <w:rFonts w:eastAsia="Times New Roman" w:cs="Times New Roman"/>
          <w:szCs w:val="18"/>
          <w:lang w:eastAsia="en-AU"/>
        </w:rPr>
        <w:t>(56%</w:t>
      </w:r>
      <w:r w:rsidR="0010181D">
        <w:rPr>
          <w:rFonts w:eastAsia="Times New Roman" w:cs="Times New Roman"/>
          <w:szCs w:val="18"/>
          <w:lang w:eastAsia="en-AU"/>
        </w:rPr>
        <w:t>, 14 respondents</w:t>
      </w:r>
      <w:r w:rsidR="0010181D" w:rsidRPr="0080137B">
        <w:rPr>
          <w:rFonts w:eastAsia="Times New Roman" w:cs="Times New Roman"/>
          <w:szCs w:val="18"/>
          <w:lang w:eastAsia="en-AU"/>
        </w:rPr>
        <w:t xml:space="preserve">) </w:t>
      </w:r>
      <w:r w:rsidR="00846ED1" w:rsidRPr="0080137B">
        <w:rPr>
          <w:rFonts w:eastAsia="Times New Roman" w:cs="Times New Roman"/>
          <w:szCs w:val="18"/>
          <w:lang w:eastAsia="en-AU"/>
        </w:rPr>
        <w:t>disagree with the statement they are considering or would consider a career in regional, rural or remote communities</w:t>
      </w:r>
      <w:r w:rsidR="00F73567">
        <w:rPr>
          <w:rFonts w:eastAsia="Times New Roman" w:cs="Times New Roman"/>
          <w:szCs w:val="18"/>
          <w:lang w:eastAsia="en-AU"/>
        </w:rPr>
        <w:t xml:space="preserve"> (n=26)</w:t>
      </w:r>
      <w:r w:rsidR="00DA33F4" w:rsidRPr="0080137B">
        <w:rPr>
          <w:rFonts w:eastAsia="Times New Roman" w:cs="Times New Roman"/>
          <w:szCs w:val="18"/>
          <w:lang w:eastAsia="en-AU"/>
        </w:rPr>
        <w:t xml:space="preserve">. </w:t>
      </w:r>
      <w:r w:rsidR="0021796F" w:rsidRPr="0080137B">
        <w:rPr>
          <w:rFonts w:eastAsia="Times New Roman" w:cs="Times New Roman"/>
          <w:szCs w:val="18"/>
          <w:lang w:eastAsia="en-AU"/>
        </w:rPr>
        <w:t xml:space="preserve">Of </w:t>
      </w:r>
      <w:r w:rsidR="0010181D">
        <w:rPr>
          <w:rFonts w:eastAsia="Times New Roman" w:cs="Times New Roman"/>
          <w:szCs w:val="18"/>
          <w:lang w:eastAsia="en-AU"/>
        </w:rPr>
        <w:t xml:space="preserve">surveyed </w:t>
      </w:r>
      <w:r w:rsidR="000F534D" w:rsidRPr="0080137B">
        <w:rPr>
          <w:rFonts w:eastAsia="Times New Roman" w:cs="Times New Roman"/>
          <w:szCs w:val="18"/>
          <w:lang w:eastAsia="en-AU"/>
        </w:rPr>
        <w:t>past trainees,</w:t>
      </w:r>
      <w:r w:rsidR="00C674F4" w:rsidRPr="0080137B">
        <w:rPr>
          <w:rFonts w:eastAsia="Times New Roman" w:cs="Times New Roman"/>
          <w:szCs w:val="18"/>
          <w:lang w:eastAsia="en-AU"/>
        </w:rPr>
        <w:t xml:space="preserve"> </w:t>
      </w:r>
      <w:r w:rsidR="00EA5625" w:rsidRPr="0080137B">
        <w:rPr>
          <w:rFonts w:eastAsia="Times New Roman" w:cs="Times New Roman"/>
          <w:szCs w:val="18"/>
          <w:lang w:eastAsia="en-AU"/>
        </w:rPr>
        <w:t>5</w:t>
      </w:r>
      <w:r w:rsidR="005554D8">
        <w:rPr>
          <w:rFonts w:eastAsia="Times New Roman" w:cs="Times New Roman"/>
          <w:szCs w:val="18"/>
          <w:lang w:eastAsia="en-AU"/>
        </w:rPr>
        <w:t>7</w:t>
      </w:r>
      <w:r w:rsidR="00EA5625" w:rsidRPr="0080137B">
        <w:rPr>
          <w:rFonts w:eastAsia="Times New Roman" w:cs="Times New Roman"/>
          <w:szCs w:val="18"/>
          <w:lang w:eastAsia="en-AU"/>
        </w:rPr>
        <w:t>%</w:t>
      </w:r>
      <w:r w:rsidR="005554D8">
        <w:rPr>
          <w:rFonts w:eastAsia="Times New Roman" w:cs="Times New Roman"/>
          <w:szCs w:val="18"/>
          <w:lang w:eastAsia="en-AU"/>
        </w:rPr>
        <w:t xml:space="preserve"> (26 respondents)</w:t>
      </w:r>
      <w:r w:rsidR="00EA5625" w:rsidRPr="0080137B">
        <w:rPr>
          <w:rFonts w:eastAsia="Times New Roman" w:cs="Times New Roman"/>
          <w:szCs w:val="18"/>
          <w:lang w:eastAsia="en-AU"/>
        </w:rPr>
        <w:t xml:space="preserve"> </w:t>
      </w:r>
      <w:r w:rsidR="00F05581" w:rsidRPr="0080137B">
        <w:rPr>
          <w:rFonts w:eastAsia="Times New Roman" w:cs="Times New Roman"/>
          <w:szCs w:val="18"/>
          <w:lang w:eastAsia="en-AU"/>
        </w:rPr>
        <w:t xml:space="preserve">moved facilities upon competition of </w:t>
      </w:r>
      <w:r w:rsidR="00FE7D7B" w:rsidRPr="0080137B">
        <w:rPr>
          <w:rFonts w:eastAsia="Times New Roman" w:cs="Times New Roman"/>
          <w:szCs w:val="18"/>
          <w:lang w:eastAsia="en-AU"/>
        </w:rPr>
        <w:t>TEAP</w:t>
      </w:r>
      <w:r w:rsidR="00C74F1E">
        <w:rPr>
          <w:rFonts w:eastAsia="Times New Roman" w:cs="Times New Roman"/>
          <w:szCs w:val="18"/>
          <w:lang w:eastAsia="en-AU"/>
        </w:rPr>
        <w:t>.</w:t>
      </w:r>
      <w:r w:rsidR="00FE7D7B" w:rsidRPr="0080137B">
        <w:rPr>
          <w:rFonts w:eastAsia="Times New Roman" w:cs="Times New Roman"/>
          <w:szCs w:val="18"/>
          <w:lang w:eastAsia="en-AU"/>
        </w:rPr>
        <w:t xml:space="preserve"> </w:t>
      </w:r>
      <w:r w:rsidR="00D11FAC" w:rsidRPr="0080137B">
        <w:rPr>
          <w:rFonts w:eastAsia="Times New Roman" w:cs="Times New Roman"/>
          <w:szCs w:val="18"/>
          <w:lang w:eastAsia="en-AU"/>
        </w:rPr>
        <w:fldChar w:fldCharType="begin" w:fldLock="1"/>
      </w:r>
      <w:r w:rsidR="00D11FAC" w:rsidRPr="0080137B">
        <w:rPr>
          <w:rFonts w:eastAsia="Times New Roman" w:cs="Times New Roman"/>
          <w:szCs w:val="18"/>
          <w:lang w:eastAsia="en-AU"/>
        </w:rPr>
        <w:instrText xml:space="preserve"> REF _Ref182331230 \h  \* MERGEFORMAT </w:instrText>
      </w:r>
      <w:r w:rsidR="00D11FAC" w:rsidRPr="0080137B">
        <w:rPr>
          <w:rFonts w:eastAsia="Times New Roman" w:cs="Times New Roman"/>
          <w:szCs w:val="18"/>
          <w:lang w:eastAsia="en-AU"/>
        </w:rPr>
      </w:r>
      <w:r w:rsidR="00D11FAC" w:rsidRPr="0080137B">
        <w:rPr>
          <w:rFonts w:eastAsia="Times New Roman" w:cs="Times New Roman"/>
          <w:szCs w:val="18"/>
          <w:lang w:eastAsia="en-AU"/>
        </w:rPr>
        <w:fldChar w:fldCharType="separate"/>
      </w:r>
      <w:r w:rsidR="00D35A75" w:rsidRPr="00D35A75">
        <w:rPr>
          <w:rFonts w:eastAsia="Times New Roman" w:cs="Times New Roman"/>
          <w:szCs w:val="18"/>
          <w:lang w:eastAsia="en-AU"/>
        </w:rPr>
        <w:t>Table 14</w:t>
      </w:r>
      <w:r w:rsidR="00D11FAC" w:rsidRPr="0080137B">
        <w:rPr>
          <w:rFonts w:eastAsia="Times New Roman" w:cs="Times New Roman"/>
          <w:szCs w:val="18"/>
          <w:lang w:eastAsia="en-AU"/>
        </w:rPr>
        <w:fldChar w:fldCharType="end"/>
      </w:r>
      <w:r w:rsidR="00DA4D5B" w:rsidRPr="0080137B">
        <w:rPr>
          <w:rFonts w:eastAsia="Times New Roman" w:cs="Times New Roman"/>
          <w:szCs w:val="18"/>
          <w:lang w:eastAsia="en-AU"/>
        </w:rPr>
        <w:t xml:space="preserve"> below</w:t>
      </w:r>
      <w:r w:rsidR="00FE7D7B" w:rsidRPr="0080137B">
        <w:rPr>
          <w:rFonts w:eastAsia="Times New Roman" w:cs="Times New Roman"/>
          <w:szCs w:val="18"/>
          <w:lang w:eastAsia="en-AU"/>
        </w:rPr>
        <w:t xml:space="preserve"> outlines the </w:t>
      </w:r>
      <w:r w:rsidR="00FB74F8" w:rsidRPr="0080137B">
        <w:rPr>
          <w:rFonts w:eastAsia="Times New Roman" w:cs="Times New Roman"/>
          <w:szCs w:val="18"/>
          <w:lang w:eastAsia="en-AU"/>
        </w:rPr>
        <w:t xml:space="preserve">MMM </w:t>
      </w:r>
      <w:r w:rsidR="00EF1918" w:rsidRPr="0080137B">
        <w:rPr>
          <w:rFonts w:eastAsia="Times New Roman" w:cs="Times New Roman"/>
          <w:szCs w:val="18"/>
          <w:lang w:eastAsia="en-AU"/>
        </w:rPr>
        <w:t>movements of those respondents</w:t>
      </w:r>
      <w:r w:rsidR="00601F02">
        <w:rPr>
          <w:rFonts w:eastAsia="Times New Roman" w:cs="Times New Roman"/>
          <w:szCs w:val="18"/>
          <w:lang w:eastAsia="en-AU"/>
        </w:rPr>
        <w:t xml:space="preserve"> (n=</w:t>
      </w:r>
      <w:r w:rsidR="00490818">
        <w:rPr>
          <w:rFonts w:eastAsia="Times New Roman" w:cs="Times New Roman"/>
          <w:szCs w:val="18"/>
          <w:lang w:eastAsia="en-AU"/>
        </w:rPr>
        <w:t>46</w:t>
      </w:r>
      <w:r w:rsidR="007D1AEF">
        <w:rPr>
          <w:rFonts w:eastAsia="Times New Roman" w:cs="Times New Roman"/>
          <w:szCs w:val="18"/>
          <w:lang w:eastAsia="en-AU"/>
        </w:rPr>
        <w:t>)</w:t>
      </w:r>
      <w:r w:rsidR="00EF1918" w:rsidRPr="0080137B">
        <w:rPr>
          <w:rFonts w:eastAsia="Times New Roman" w:cs="Times New Roman"/>
          <w:szCs w:val="18"/>
          <w:lang w:eastAsia="en-AU"/>
        </w:rPr>
        <w:t xml:space="preserve">. </w:t>
      </w:r>
      <w:r w:rsidR="00DA4D5B" w:rsidRPr="0080137B">
        <w:rPr>
          <w:rFonts w:eastAsia="Times New Roman" w:cs="Times New Roman"/>
          <w:szCs w:val="18"/>
          <w:lang w:eastAsia="en-AU"/>
        </w:rPr>
        <w:t>O</w:t>
      </w:r>
      <w:r w:rsidR="00884D8F" w:rsidRPr="0080137B">
        <w:rPr>
          <w:rFonts w:eastAsia="Times New Roman" w:cs="Times New Roman"/>
          <w:szCs w:val="18"/>
          <w:lang w:eastAsia="en-AU"/>
        </w:rPr>
        <w:t xml:space="preserve">f the </w:t>
      </w:r>
      <w:r w:rsidR="00FD6E5A" w:rsidRPr="0080137B">
        <w:rPr>
          <w:rFonts w:eastAsia="Times New Roman" w:cs="Times New Roman"/>
          <w:szCs w:val="18"/>
          <w:lang w:eastAsia="en-AU"/>
        </w:rPr>
        <w:t xml:space="preserve">respondents who </w:t>
      </w:r>
      <w:r w:rsidR="0083786E" w:rsidRPr="0080137B">
        <w:rPr>
          <w:rFonts w:eastAsia="Times New Roman" w:cs="Times New Roman"/>
          <w:szCs w:val="18"/>
          <w:lang w:eastAsia="en-AU"/>
        </w:rPr>
        <w:t xml:space="preserve">remained in </w:t>
      </w:r>
      <w:r w:rsidR="00687964" w:rsidRPr="0080137B">
        <w:rPr>
          <w:rFonts w:eastAsia="Times New Roman" w:cs="Times New Roman"/>
          <w:szCs w:val="18"/>
          <w:lang w:eastAsia="en-AU"/>
        </w:rPr>
        <w:t>the</w:t>
      </w:r>
      <w:r w:rsidR="0083786E" w:rsidRPr="0080137B">
        <w:rPr>
          <w:rFonts w:eastAsia="Times New Roman" w:cs="Times New Roman"/>
          <w:szCs w:val="18"/>
          <w:lang w:eastAsia="en-AU"/>
        </w:rPr>
        <w:t xml:space="preserve"> facili</w:t>
      </w:r>
      <w:r w:rsidR="00687964" w:rsidRPr="0080137B">
        <w:rPr>
          <w:rFonts w:eastAsia="Times New Roman" w:cs="Times New Roman"/>
          <w:szCs w:val="18"/>
          <w:lang w:eastAsia="en-AU"/>
        </w:rPr>
        <w:t xml:space="preserve">ty they undertook TEAP at, 90% </w:t>
      </w:r>
      <w:r w:rsidR="007E7AB4">
        <w:rPr>
          <w:rFonts w:eastAsia="Times New Roman" w:cs="Times New Roman"/>
          <w:szCs w:val="18"/>
          <w:lang w:eastAsia="en-AU"/>
        </w:rPr>
        <w:t>(18 respondents)</w:t>
      </w:r>
      <w:r w:rsidR="00687964" w:rsidRPr="0080137B">
        <w:rPr>
          <w:rFonts w:eastAsia="Times New Roman" w:cs="Times New Roman"/>
          <w:szCs w:val="18"/>
          <w:lang w:eastAsia="en-AU"/>
        </w:rPr>
        <w:t xml:space="preserve"> of these wer</w:t>
      </w:r>
      <w:r w:rsidR="005C1F28" w:rsidRPr="0080137B">
        <w:rPr>
          <w:rFonts w:eastAsia="Times New Roman" w:cs="Times New Roman"/>
          <w:szCs w:val="18"/>
          <w:lang w:eastAsia="en-AU"/>
        </w:rPr>
        <w:t>e metropolitan based facilities</w:t>
      </w:r>
      <w:r w:rsidR="005554D8">
        <w:rPr>
          <w:rFonts w:eastAsia="Times New Roman" w:cs="Times New Roman"/>
          <w:szCs w:val="18"/>
          <w:lang w:eastAsia="en-AU"/>
        </w:rPr>
        <w:t xml:space="preserve"> (n=20)</w:t>
      </w:r>
      <w:r w:rsidR="005C1F28" w:rsidRPr="0080137B">
        <w:rPr>
          <w:rFonts w:eastAsia="Times New Roman" w:cs="Times New Roman"/>
          <w:szCs w:val="18"/>
          <w:lang w:eastAsia="en-AU"/>
        </w:rPr>
        <w:t xml:space="preserve">. </w:t>
      </w:r>
      <w:r w:rsidR="0083786E" w:rsidRPr="0080137B">
        <w:rPr>
          <w:rFonts w:eastAsia="Times New Roman" w:cs="Times New Roman"/>
          <w:szCs w:val="18"/>
          <w:lang w:eastAsia="en-AU"/>
        </w:rPr>
        <w:t xml:space="preserve"> </w:t>
      </w:r>
    </w:p>
    <w:p w14:paraId="73450CFD" w14:textId="77777777" w:rsidR="004C6428" w:rsidRDefault="004C6428">
      <w:pPr>
        <w:spacing w:before="0" w:after="160" w:line="259" w:lineRule="auto"/>
        <w:rPr>
          <w:rFonts w:eastAsia="Times New Roman" w:cs="Times New Roman"/>
          <w:bCs/>
          <w:color w:val="00338D" w:themeColor="accent1"/>
          <w:szCs w:val="20"/>
          <w:lang w:eastAsia="en-AU"/>
        </w:rPr>
      </w:pPr>
      <w:bookmarkStart w:id="206" w:name="_Ref182331230"/>
      <w:r>
        <w:br w:type="page"/>
      </w:r>
    </w:p>
    <w:p w14:paraId="61436B4E" w14:textId="18C90803" w:rsidR="00334F0A" w:rsidRDefault="00334F0A" w:rsidP="00334F0A">
      <w:pPr>
        <w:pStyle w:val="Caption"/>
      </w:pPr>
      <w:r>
        <w:t xml:space="preserve">Table </w:t>
      </w:r>
      <w:r>
        <w:fldChar w:fldCharType="begin"/>
      </w:r>
      <w:r>
        <w:instrText xml:space="preserve"> SEQ Table \* ARABIC </w:instrText>
      </w:r>
      <w:r>
        <w:fldChar w:fldCharType="separate"/>
      </w:r>
      <w:r w:rsidR="005F7EBC">
        <w:rPr>
          <w:noProof/>
        </w:rPr>
        <w:t>14</w:t>
      </w:r>
      <w:r>
        <w:fldChar w:fldCharType="end"/>
      </w:r>
      <w:bookmarkEnd w:id="206"/>
      <w:r>
        <w:t xml:space="preserve">: MMM movements of past </w:t>
      </w:r>
      <w:r w:rsidR="00C1554A">
        <w:t xml:space="preserve">Registrar </w:t>
      </w:r>
      <w:r>
        <w:t>survey respondents</w:t>
      </w:r>
      <w:r w:rsidR="0065509B">
        <w:t xml:space="preserve"> (n=24)</w:t>
      </w:r>
    </w:p>
    <w:tbl>
      <w:tblPr>
        <w:tblStyle w:val="GridTable1Light-Accent1"/>
        <w:tblW w:w="9639" w:type="dxa"/>
        <w:tblLook w:val="04A0" w:firstRow="1" w:lastRow="0" w:firstColumn="1" w:lastColumn="0" w:noHBand="0" w:noVBand="1"/>
      </w:tblPr>
      <w:tblGrid>
        <w:gridCol w:w="766"/>
        <w:gridCol w:w="2217"/>
        <w:gridCol w:w="2219"/>
        <w:gridCol w:w="2218"/>
        <w:gridCol w:w="2219"/>
      </w:tblGrid>
      <w:tr w:rsidR="00BB0C15" w14:paraId="5597EEF8" w14:textId="77777777" w:rsidTr="00C3332D">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000" w:firstRow="0" w:lastRow="0" w:firstColumn="1" w:lastColumn="0" w:oddVBand="0" w:evenVBand="0" w:oddHBand="0" w:evenHBand="0" w:firstRowFirstColumn="0" w:firstRowLastColumn="0" w:lastRowFirstColumn="0" w:lastRowLastColumn="0"/>
            <w:tcW w:w="766" w:type="dxa"/>
            <w:tcBorders>
              <w:top w:val="nil"/>
              <w:left w:val="nil"/>
              <w:right w:val="nil"/>
            </w:tcBorders>
          </w:tcPr>
          <w:p w14:paraId="7EE3726A" w14:textId="77777777" w:rsidR="00BB0C15" w:rsidRPr="007A1279" w:rsidRDefault="00BB0C15">
            <w:pPr>
              <w:spacing w:before="180"/>
              <w:rPr>
                <w:rFonts w:eastAsia="Times New Roman" w:cs="Times New Roman"/>
                <w:szCs w:val="18"/>
                <w:highlight w:val="yellow"/>
                <w:lang w:eastAsia="en-AU"/>
              </w:rPr>
            </w:pPr>
          </w:p>
        </w:tc>
        <w:tc>
          <w:tcPr>
            <w:tcW w:w="8873" w:type="dxa"/>
            <w:gridSpan w:val="4"/>
            <w:tcBorders>
              <w:top w:val="nil"/>
              <w:left w:val="nil"/>
              <w:right w:val="nil"/>
            </w:tcBorders>
          </w:tcPr>
          <w:p w14:paraId="76A93D0C" w14:textId="77777777" w:rsidR="00BB0C15" w:rsidRPr="007A1279" w:rsidRDefault="00BB0C15">
            <w:pPr>
              <w:spacing w:before="18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18"/>
                <w:highlight w:val="yellow"/>
                <w:lang w:eastAsia="en-AU"/>
              </w:rPr>
            </w:pPr>
            <w:r w:rsidRPr="007A1279">
              <w:rPr>
                <w:rFonts w:eastAsia="Times New Roman" w:cs="Times New Roman"/>
                <w:szCs w:val="18"/>
                <w:lang w:eastAsia="en-AU"/>
              </w:rPr>
              <w:t>Current Facility MMM</w:t>
            </w:r>
          </w:p>
        </w:tc>
      </w:tr>
      <w:tr w:rsidR="00BB0C15" w14:paraId="4C43389F" w14:textId="77777777" w:rsidTr="00BB0C15">
        <w:trPr>
          <w:trHeight w:val="624"/>
        </w:trPr>
        <w:tc>
          <w:tcPr>
            <w:cnfStyle w:val="001000000000" w:firstRow="0" w:lastRow="0" w:firstColumn="1" w:lastColumn="0" w:oddVBand="0" w:evenVBand="0" w:oddHBand="0" w:evenHBand="0" w:firstRowFirstColumn="0" w:firstRowLastColumn="0" w:lastRowFirstColumn="0" w:lastRowLastColumn="0"/>
            <w:tcW w:w="766" w:type="dxa"/>
            <w:vMerge w:val="restart"/>
            <w:tcBorders>
              <w:left w:val="nil"/>
            </w:tcBorders>
            <w:textDirection w:val="btLr"/>
          </w:tcPr>
          <w:p w14:paraId="40B77271" w14:textId="013E3A9D" w:rsidR="00BB0C15" w:rsidRPr="00BB0C15" w:rsidRDefault="00BB0C15">
            <w:pPr>
              <w:spacing w:before="180"/>
              <w:ind w:left="113" w:right="113"/>
              <w:jc w:val="center"/>
              <w:rPr>
                <w:rFonts w:eastAsia="Times New Roman" w:cs="Times New Roman"/>
                <w:b w:val="0"/>
                <w:bCs w:val="0"/>
                <w:szCs w:val="18"/>
                <w:lang w:eastAsia="en-AU"/>
              </w:rPr>
            </w:pPr>
            <w:r>
              <w:rPr>
                <w:rFonts w:eastAsia="Times New Roman" w:cs="Times New Roman"/>
                <w:color w:val="1E49E2" w:themeColor="accent2"/>
                <w:szCs w:val="18"/>
                <w:lang w:eastAsia="en-AU"/>
              </w:rPr>
              <w:t xml:space="preserve">TEAP </w:t>
            </w:r>
            <w:r w:rsidRPr="00BB0C15">
              <w:rPr>
                <w:rFonts w:eastAsia="Times New Roman" w:cs="Times New Roman"/>
                <w:color w:val="1E49E2" w:themeColor="accent2"/>
                <w:szCs w:val="18"/>
                <w:lang w:eastAsia="en-AU"/>
              </w:rPr>
              <w:t>Facility MMM</w:t>
            </w:r>
          </w:p>
        </w:tc>
        <w:tc>
          <w:tcPr>
            <w:tcW w:w="2217" w:type="dxa"/>
            <w:shd w:val="clear" w:color="auto" w:fill="F1F4FE"/>
          </w:tcPr>
          <w:p w14:paraId="58AE246D" w14:textId="77777777" w:rsidR="00BB0C15" w:rsidRPr="006C2992" w:rsidRDefault="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18"/>
                <w:lang w:eastAsia="en-AU"/>
              </w:rPr>
            </w:pPr>
          </w:p>
        </w:tc>
        <w:tc>
          <w:tcPr>
            <w:tcW w:w="2219" w:type="dxa"/>
            <w:shd w:val="clear" w:color="auto" w:fill="F1F4FE"/>
          </w:tcPr>
          <w:p w14:paraId="2BB85F76" w14:textId="77777777" w:rsidR="00BB0C15" w:rsidRPr="006C2992" w:rsidRDefault="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18"/>
                <w:lang w:eastAsia="en-AU"/>
              </w:rPr>
            </w:pPr>
            <w:r w:rsidRPr="006C2992">
              <w:rPr>
                <w:rFonts w:eastAsia="Times New Roman" w:cs="Times New Roman"/>
                <w:b/>
                <w:bCs/>
                <w:szCs w:val="18"/>
                <w:lang w:eastAsia="en-AU"/>
              </w:rPr>
              <w:t>MM1</w:t>
            </w:r>
          </w:p>
        </w:tc>
        <w:tc>
          <w:tcPr>
            <w:tcW w:w="2218" w:type="dxa"/>
            <w:shd w:val="clear" w:color="auto" w:fill="F1F4FE"/>
          </w:tcPr>
          <w:p w14:paraId="5B3300FD" w14:textId="77777777" w:rsidR="00BB0C15" w:rsidRPr="006C2992" w:rsidRDefault="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18"/>
                <w:lang w:eastAsia="en-AU"/>
              </w:rPr>
            </w:pPr>
            <w:r w:rsidRPr="006C2992">
              <w:rPr>
                <w:rFonts w:eastAsia="Times New Roman" w:cs="Times New Roman"/>
                <w:b/>
                <w:bCs/>
                <w:szCs w:val="18"/>
                <w:lang w:eastAsia="en-AU"/>
              </w:rPr>
              <w:t>MM2</w:t>
            </w:r>
          </w:p>
        </w:tc>
        <w:tc>
          <w:tcPr>
            <w:tcW w:w="2219" w:type="dxa"/>
            <w:tcBorders>
              <w:right w:val="nil"/>
            </w:tcBorders>
            <w:shd w:val="clear" w:color="auto" w:fill="F1F4FE"/>
          </w:tcPr>
          <w:p w14:paraId="4EB9E2EB" w14:textId="77777777" w:rsidR="00BB0C15" w:rsidRPr="006C2992" w:rsidRDefault="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18"/>
                <w:lang w:eastAsia="en-AU"/>
              </w:rPr>
            </w:pPr>
            <w:r w:rsidRPr="006C2992">
              <w:rPr>
                <w:rFonts w:eastAsia="Times New Roman" w:cs="Times New Roman"/>
                <w:b/>
                <w:bCs/>
                <w:szCs w:val="18"/>
                <w:lang w:eastAsia="en-AU"/>
              </w:rPr>
              <w:t>MM3</w:t>
            </w:r>
          </w:p>
        </w:tc>
      </w:tr>
      <w:tr w:rsidR="00BB0C15" w14:paraId="3C0E7C2B" w14:textId="77777777" w:rsidTr="00BB0C15">
        <w:trPr>
          <w:trHeight w:val="624"/>
        </w:trPr>
        <w:tc>
          <w:tcPr>
            <w:cnfStyle w:val="001000000000" w:firstRow="0" w:lastRow="0" w:firstColumn="1" w:lastColumn="0" w:oddVBand="0" w:evenVBand="0" w:oddHBand="0" w:evenHBand="0" w:firstRowFirstColumn="0" w:firstRowLastColumn="0" w:lastRowFirstColumn="0" w:lastRowLastColumn="0"/>
            <w:tcW w:w="766" w:type="dxa"/>
            <w:vMerge/>
            <w:tcBorders>
              <w:left w:val="nil"/>
            </w:tcBorders>
          </w:tcPr>
          <w:p w14:paraId="49E01124" w14:textId="77777777" w:rsidR="00BB0C15" w:rsidRDefault="00BB0C15" w:rsidP="00BB0C15">
            <w:pPr>
              <w:spacing w:before="180"/>
              <w:rPr>
                <w:rFonts w:eastAsia="Times New Roman" w:cs="Times New Roman"/>
                <w:szCs w:val="18"/>
                <w:highlight w:val="yellow"/>
                <w:lang w:eastAsia="en-AU"/>
              </w:rPr>
            </w:pPr>
          </w:p>
        </w:tc>
        <w:tc>
          <w:tcPr>
            <w:tcW w:w="2217" w:type="dxa"/>
          </w:tcPr>
          <w:p w14:paraId="33FE62B4" w14:textId="77777777" w:rsidR="00BB0C15" w:rsidRPr="006C2992"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18"/>
                <w:lang w:eastAsia="en-AU"/>
              </w:rPr>
            </w:pPr>
            <w:r w:rsidRPr="006C2992">
              <w:rPr>
                <w:rFonts w:eastAsia="Times New Roman" w:cs="Times New Roman"/>
                <w:b/>
                <w:bCs/>
                <w:szCs w:val="18"/>
                <w:lang w:eastAsia="en-AU"/>
              </w:rPr>
              <w:t>MM1</w:t>
            </w:r>
          </w:p>
        </w:tc>
        <w:tc>
          <w:tcPr>
            <w:tcW w:w="2219" w:type="dxa"/>
            <w:vAlign w:val="center"/>
          </w:tcPr>
          <w:p w14:paraId="411D57F3" w14:textId="0A4A046F" w:rsidR="00BB0C15" w:rsidRPr="00BB0C15"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B0C15">
              <w:rPr>
                <w:rFonts w:eastAsia="Times New Roman" w:cs="Times New Roman"/>
                <w:szCs w:val="18"/>
                <w:lang w:eastAsia="en-AU"/>
              </w:rPr>
              <w:t>12</w:t>
            </w:r>
          </w:p>
        </w:tc>
        <w:tc>
          <w:tcPr>
            <w:tcW w:w="2218" w:type="dxa"/>
            <w:vAlign w:val="center"/>
          </w:tcPr>
          <w:p w14:paraId="1DC3E6D6" w14:textId="5498CB86" w:rsidR="00BB0C15" w:rsidRPr="00BB0C15"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B0C15">
              <w:rPr>
                <w:rFonts w:eastAsia="Times New Roman" w:cs="Times New Roman"/>
                <w:szCs w:val="18"/>
                <w:lang w:eastAsia="en-AU"/>
              </w:rPr>
              <w:t>5</w:t>
            </w:r>
          </w:p>
        </w:tc>
        <w:tc>
          <w:tcPr>
            <w:tcW w:w="2219" w:type="dxa"/>
            <w:tcBorders>
              <w:right w:val="nil"/>
            </w:tcBorders>
            <w:vAlign w:val="center"/>
          </w:tcPr>
          <w:p w14:paraId="7F7B663F" w14:textId="04C4AC2D" w:rsidR="00BB0C15" w:rsidRPr="00BB0C15"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B0C15">
              <w:rPr>
                <w:rFonts w:eastAsia="Times New Roman" w:cs="Times New Roman"/>
                <w:szCs w:val="18"/>
                <w:lang w:eastAsia="en-AU"/>
              </w:rPr>
              <w:t>2</w:t>
            </w:r>
          </w:p>
        </w:tc>
      </w:tr>
      <w:tr w:rsidR="00BB0C15" w14:paraId="6B49DB77" w14:textId="77777777" w:rsidTr="00BB0C15">
        <w:trPr>
          <w:trHeight w:val="624"/>
        </w:trPr>
        <w:tc>
          <w:tcPr>
            <w:cnfStyle w:val="001000000000" w:firstRow="0" w:lastRow="0" w:firstColumn="1" w:lastColumn="0" w:oddVBand="0" w:evenVBand="0" w:oddHBand="0" w:evenHBand="0" w:firstRowFirstColumn="0" w:firstRowLastColumn="0" w:lastRowFirstColumn="0" w:lastRowLastColumn="0"/>
            <w:tcW w:w="766" w:type="dxa"/>
            <w:vMerge/>
            <w:tcBorders>
              <w:left w:val="nil"/>
            </w:tcBorders>
          </w:tcPr>
          <w:p w14:paraId="12BE4C13" w14:textId="77777777" w:rsidR="00BB0C15" w:rsidRDefault="00BB0C15" w:rsidP="00BB0C15">
            <w:pPr>
              <w:spacing w:before="180"/>
              <w:rPr>
                <w:rFonts w:eastAsia="Times New Roman" w:cs="Times New Roman"/>
                <w:szCs w:val="18"/>
                <w:highlight w:val="yellow"/>
                <w:lang w:eastAsia="en-AU"/>
              </w:rPr>
            </w:pPr>
          </w:p>
        </w:tc>
        <w:tc>
          <w:tcPr>
            <w:tcW w:w="2217" w:type="dxa"/>
          </w:tcPr>
          <w:p w14:paraId="29792F33" w14:textId="77777777" w:rsidR="00BB0C15" w:rsidRPr="006C2992"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18"/>
                <w:lang w:eastAsia="en-AU"/>
              </w:rPr>
            </w:pPr>
            <w:r w:rsidRPr="006C2992">
              <w:rPr>
                <w:rFonts w:eastAsia="Times New Roman" w:cs="Times New Roman"/>
                <w:b/>
                <w:bCs/>
                <w:szCs w:val="18"/>
                <w:lang w:eastAsia="en-AU"/>
              </w:rPr>
              <w:t>MM2</w:t>
            </w:r>
          </w:p>
        </w:tc>
        <w:tc>
          <w:tcPr>
            <w:tcW w:w="2219" w:type="dxa"/>
            <w:vAlign w:val="center"/>
          </w:tcPr>
          <w:p w14:paraId="29147725" w14:textId="080DDB52" w:rsidR="00BB0C15" w:rsidRPr="00BB0C15"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B0C15">
              <w:rPr>
                <w:rFonts w:eastAsia="Times New Roman" w:cs="Times New Roman"/>
                <w:szCs w:val="18"/>
                <w:lang w:eastAsia="en-AU"/>
              </w:rPr>
              <w:t>3</w:t>
            </w:r>
          </w:p>
        </w:tc>
        <w:tc>
          <w:tcPr>
            <w:tcW w:w="2218" w:type="dxa"/>
            <w:vAlign w:val="center"/>
          </w:tcPr>
          <w:p w14:paraId="112B8216" w14:textId="77777777" w:rsidR="00BB0C15" w:rsidRPr="00BB0C15"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p>
        </w:tc>
        <w:tc>
          <w:tcPr>
            <w:tcW w:w="2219" w:type="dxa"/>
            <w:tcBorders>
              <w:right w:val="nil"/>
            </w:tcBorders>
            <w:vAlign w:val="center"/>
          </w:tcPr>
          <w:p w14:paraId="4D2A4FF2" w14:textId="77777777" w:rsidR="00BB0C15" w:rsidRPr="00BB0C15"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p>
        </w:tc>
      </w:tr>
      <w:tr w:rsidR="00BB0C15" w14:paraId="2722688D" w14:textId="77777777" w:rsidTr="00BB0C15">
        <w:trPr>
          <w:trHeight w:val="624"/>
        </w:trPr>
        <w:tc>
          <w:tcPr>
            <w:cnfStyle w:val="001000000000" w:firstRow="0" w:lastRow="0" w:firstColumn="1" w:lastColumn="0" w:oddVBand="0" w:evenVBand="0" w:oddHBand="0" w:evenHBand="0" w:firstRowFirstColumn="0" w:firstRowLastColumn="0" w:lastRowFirstColumn="0" w:lastRowLastColumn="0"/>
            <w:tcW w:w="766" w:type="dxa"/>
            <w:vMerge/>
            <w:tcBorders>
              <w:left w:val="nil"/>
            </w:tcBorders>
          </w:tcPr>
          <w:p w14:paraId="0B755B4C" w14:textId="77777777" w:rsidR="00BB0C15" w:rsidRDefault="00BB0C15" w:rsidP="00BB0C15">
            <w:pPr>
              <w:spacing w:before="180"/>
              <w:rPr>
                <w:rFonts w:eastAsia="Times New Roman" w:cs="Times New Roman"/>
                <w:szCs w:val="18"/>
                <w:highlight w:val="yellow"/>
                <w:lang w:eastAsia="en-AU"/>
              </w:rPr>
            </w:pPr>
          </w:p>
        </w:tc>
        <w:tc>
          <w:tcPr>
            <w:tcW w:w="2217" w:type="dxa"/>
          </w:tcPr>
          <w:p w14:paraId="303C17DA" w14:textId="77777777" w:rsidR="00BB0C15" w:rsidRPr="006C2992"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18"/>
                <w:lang w:eastAsia="en-AU"/>
              </w:rPr>
            </w:pPr>
            <w:r w:rsidRPr="006C2992">
              <w:rPr>
                <w:rFonts w:eastAsia="Times New Roman" w:cs="Times New Roman"/>
                <w:b/>
                <w:bCs/>
                <w:szCs w:val="18"/>
                <w:lang w:eastAsia="en-AU"/>
              </w:rPr>
              <w:t>MM3</w:t>
            </w:r>
          </w:p>
        </w:tc>
        <w:tc>
          <w:tcPr>
            <w:tcW w:w="2219" w:type="dxa"/>
            <w:vAlign w:val="center"/>
          </w:tcPr>
          <w:p w14:paraId="0C6BC43D" w14:textId="77777777" w:rsidR="00BB0C15" w:rsidRPr="00BB0C15"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p>
        </w:tc>
        <w:tc>
          <w:tcPr>
            <w:tcW w:w="2218" w:type="dxa"/>
            <w:vAlign w:val="center"/>
          </w:tcPr>
          <w:p w14:paraId="1D541AEC" w14:textId="16A38945" w:rsidR="00BB0C15" w:rsidRPr="00BB0C15"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BB0C15">
              <w:rPr>
                <w:rFonts w:eastAsia="Times New Roman" w:cs="Times New Roman"/>
                <w:szCs w:val="18"/>
                <w:lang w:eastAsia="en-AU"/>
              </w:rPr>
              <w:t>2</w:t>
            </w:r>
          </w:p>
        </w:tc>
        <w:tc>
          <w:tcPr>
            <w:tcW w:w="2219" w:type="dxa"/>
            <w:tcBorders>
              <w:right w:val="nil"/>
            </w:tcBorders>
            <w:vAlign w:val="center"/>
          </w:tcPr>
          <w:p w14:paraId="3E99A381" w14:textId="77777777" w:rsidR="00BB0C15" w:rsidRPr="00BB0C15" w:rsidRDefault="00BB0C15" w:rsidP="00BB0C15">
            <w:pPr>
              <w:spacing w:before="18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p>
        </w:tc>
      </w:tr>
    </w:tbl>
    <w:p w14:paraId="07988003" w14:textId="1CBD74D1" w:rsidR="00EF1918" w:rsidRPr="003406F8" w:rsidRDefault="00DA1904" w:rsidP="003406F8">
      <w:pPr>
        <w:spacing w:before="0"/>
        <w:rPr>
          <w:rFonts w:eastAsia="Times New Roman" w:cs="Times New Roman"/>
          <w:i/>
          <w:iCs/>
          <w:szCs w:val="18"/>
          <w:lang w:eastAsia="en-AU"/>
        </w:rPr>
      </w:pPr>
      <w:r w:rsidRPr="003406F8">
        <w:rPr>
          <w:rFonts w:eastAsia="Times New Roman" w:cs="Times New Roman"/>
          <w:i/>
          <w:iCs/>
          <w:szCs w:val="18"/>
          <w:lang w:eastAsia="en-AU"/>
        </w:rPr>
        <w:t xml:space="preserve">*One outlier has </w:t>
      </w:r>
      <w:r w:rsidR="00E22648">
        <w:rPr>
          <w:rFonts w:eastAsia="Times New Roman" w:cs="Times New Roman"/>
          <w:i/>
          <w:iCs/>
          <w:szCs w:val="18"/>
          <w:lang w:eastAsia="en-AU"/>
        </w:rPr>
        <w:t xml:space="preserve">been excluded </w:t>
      </w:r>
      <w:r w:rsidR="00AC5BEA" w:rsidRPr="003406F8">
        <w:rPr>
          <w:rFonts w:eastAsia="Times New Roman" w:cs="Times New Roman"/>
          <w:i/>
          <w:iCs/>
          <w:szCs w:val="18"/>
          <w:lang w:eastAsia="en-AU"/>
        </w:rPr>
        <w:t xml:space="preserve">due to </w:t>
      </w:r>
      <w:r w:rsidR="00E22648">
        <w:rPr>
          <w:rFonts w:eastAsia="Times New Roman" w:cs="Times New Roman"/>
          <w:i/>
          <w:iCs/>
          <w:szCs w:val="18"/>
          <w:lang w:eastAsia="en-AU"/>
        </w:rPr>
        <w:t xml:space="preserve">reported data </w:t>
      </w:r>
      <w:r w:rsidR="00AC5BEA" w:rsidRPr="003406F8">
        <w:rPr>
          <w:rFonts w:eastAsia="Times New Roman" w:cs="Times New Roman"/>
          <w:i/>
          <w:iCs/>
          <w:szCs w:val="18"/>
          <w:lang w:eastAsia="en-AU"/>
        </w:rPr>
        <w:t xml:space="preserve">not aligning with </w:t>
      </w:r>
      <w:r w:rsidR="00A206BE" w:rsidRPr="003406F8">
        <w:rPr>
          <w:rFonts w:eastAsia="Times New Roman" w:cs="Times New Roman"/>
          <w:i/>
          <w:iCs/>
          <w:szCs w:val="18"/>
          <w:lang w:eastAsia="en-AU"/>
        </w:rPr>
        <w:t xml:space="preserve">ACPSEM reporting and </w:t>
      </w:r>
      <w:r w:rsidR="00BF7D5F" w:rsidRPr="003406F8">
        <w:rPr>
          <w:rFonts w:eastAsia="Times New Roman" w:cs="Times New Roman"/>
          <w:i/>
          <w:iCs/>
          <w:szCs w:val="18"/>
          <w:lang w:eastAsia="en-AU"/>
        </w:rPr>
        <w:t xml:space="preserve">where </w:t>
      </w:r>
      <w:r w:rsidR="00D404D2">
        <w:rPr>
          <w:rFonts w:eastAsia="Times New Roman" w:cs="Times New Roman"/>
          <w:i/>
          <w:iCs/>
          <w:szCs w:val="18"/>
          <w:lang w:eastAsia="en-AU"/>
        </w:rPr>
        <w:t>m</w:t>
      </w:r>
      <w:r w:rsidR="003406F8" w:rsidRPr="003406F8">
        <w:rPr>
          <w:rFonts w:eastAsia="Times New Roman" w:cs="Times New Roman"/>
          <w:i/>
          <w:iCs/>
          <w:szCs w:val="18"/>
          <w:lang w:eastAsia="en-AU"/>
        </w:rPr>
        <w:t xml:space="preserve">edical </w:t>
      </w:r>
      <w:r w:rsidR="00D404D2">
        <w:rPr>
          <w:rFonts w:eastAsia="Times New Roman" w:cs="Times New Roman"/>
          <w:i/>
          <w:iCs/>
          <w:szCs w:val="18"/>
          <w:lang w:eastAsia="en-AU"/>
        </w:rPr>
        <w:t>p</w:t>
      </w:r>
      <w:r w:rsidR="003406F8" w:rsidRPr="003406F8">
        <w:rPr>
          <w:rFonts w:eastAsia="Times New Roman" w:cs="Times New Roman"/>
          <w:i/>
          <w:iCs/>
          <w:szCs w:val="18"/>
          <w:lang w:eastAsia="en-AU"/>
        </w:rPr>
        <w:t xml:space="preserve">hysicist equipment is located. </w:t>
      </w:r>
    </w:p>
    <w:p w14:paraId="0BB8D75F" w14:textId="03EA6980" w:rsidR="00846ED1" w:rsidRDefault="00334F0A" w:rsidP="00C3332D">
      <w:pPr>
        <w:pStyle w:val="Footer"/>
      </w:pPr>
      <w:r>
        <w:t>S</w:t>
      </w:r>
      <w:r w:rsidRPr="00074AC0">
        <w:t xml:space="preserve">ource: </w:t>
      </w:r>
      <w:r>
        <w:t xml:space="preserve">KPMG analysis of </w:t>
      </w:r>
      <w:r w:rsidR="00C1554A">
        <w:t xml:space="preserve">Registrar </w:t>
      </w:r>
      <w:r>
        <w:t xml:space="preserve">survey respondents </w:t>
      </w:r>
    </w:p>
    <w:p w14:paraId="676D0996" w14:textId="29945CBF" w:rsidR="001A5920" w:rsidRDefault="00326CA9" w:rsidP="00C3332D">
      <w:pPr>
        <w:pStyle w:val="BodyText"/>
      </w:pPr>
      <w:r>
        <w:t xml:space="preserve">Survey results showed that </w:t>
      </w:r>
      <w:r w:rsidR="008757DE">
        <w:t xml:space="preserve">the most </w:t>
      </w:r>
      <w:r w:rsidR="008A1E35">
        <w:t>prominent</w:t>
      </w:r>
      <w:r w:rsidR="008757DE">
        <w:t xml:space="preserve"> influencing </w:t>
      </w:r>
      <w:r w:rsidR="008A1E35">
        <w:t xml:space="preserve">factor in </w:t>
      </w:r>
      <w:r>
        <w:t xml:space="preserve">the </w:t>
      </w:r>
      <w:r w:rsidR="008A1E35">
        <w:t xml:space="preserve">decision </w:t>
      </w:r>
      <w:r>
        <w:t xml:space="preserve">of </w:t>
      </w:r>
      <w:r w:rsidR="00A125E2">
        <w:t>surveyed</w:t>
      </w:r>
      <w:r>
        <w:t xml:space="preserve"> past trainee</w:t>
      </w:r>
      <w:r w:rsidR="00A125E2">
        <w:t>s</w:t>
      </w:r>
      <w:r>
        <w:t xml:space="preserve"> to move facilities </w:t>
      </w:r>
      <w:r w:rsidR="008A1E35">
        <w:t xml:space="preserve">was the lack of ongoing positions at the facility where they underwent TEAP. </w:t>
      </w:r>
      <w:r w:rsidR="00A94756">
        <w:t xml:space="preserve">However, amongst </w:t>
      </w:r>
      <w:r w:rsidR="00A125E2">
        <w:t xml:space="preserve">past trainee respondents from </w:t>
      </w:r>
      <w:r w:rsidR="00A94756">
        <w:t>MM2 and MM3 TEAP facilities</w:t>
      </w:r>
      <w:r w:rsidR="003D5311">
        <w:t>,</w:t>
      </w:r>
      <w:r w:rsidR="00A94756">
        <w:t xml:space="preserve"> the most prominent influencing factor was employment opportunities elsewhere. </w:t>
      </w:r>
      <w:r w:rsidR="001418FD">
        <w:fldChar w:fldCharType="begin" w:fldLock="1"/>
      </w:r>
      <w:r w:rsidR="001418FD">
        <w:instrText xml:space="preserve"> REF _Ref182816697 \h </w:instrText>
      </w:r>
      <w:r w:rsidR="001418FD">
        <w:fldChar w:fldCharType="separate"/>
      </w:r>
      <w:r w:rsidR="00D35A75">
        <w:t xml:space="preserve">Figure </w:t>
      </w:r>
      <w:r w:rsidR="00AA6EDE" w:rsidDel="00BA2814">
        <w:rPr>
          <w:noProof/>
        </w:rPr>
        <w:t>28</w:t>
      </w:r>
      <w:r w:rsidR="001418FD">
        <w:fldChar w:fldCharType="end"/>
      </w:r>
      <w:r w:rsidR="001418FD">
        <w:t xml:space="preserve"> </w:t>
      </w:r>
      <w:r w:rsidR="00A94756">
        <w:t xml:space="preserve">below provides the breakdown of factors </w:t>
      </w:r>
      <w:r w:rsidR="00171391">
        <w:t xml:space="preserve">influencing trainee facility movement. </w:t>
      </w:r>
      <w:bookmarkStart w:id="207" w:name="_Ref182569390"/>
      <w:bookmarkStart w:id="208" w:name="_Ref182569386"/>
    </w:p>
    <w:p w14:paraId="45F4B49A" w14:textId="551F4EAB" w:rsidR="00931D97" w:rsidRDefault="00931D97" w:rsidP="00931D97">
      <w:pPr>
        <w:pStyle w:val="Caption"/>
      </w:pPr>
      <w:bookmarkStart w:id="209" w:name="_Ref182816697"/>
      <w:r>
        <w:t xml:space="preserve">Figure </w:t>
      </w:r>
      <w:r>
        <w:fldChar w:fldCharType="begin"/>
      </w:r>
      <w:r>
        <w:instrText xml:space="preserve"> SEQ Figure \* ARABIC </w:instrText>
      </w:r>
      <w:r>
        <w:fldChar w:fldCharType="separate"/>
      </w:r>
      <w:r w:rsidR="005F7EBC">
        <w:rPr>
          <w:noProof/>
        </w:rPr>
        <w:t>28</w:t>
      </w:r>
      <w:r>
        <w:fldChar w:fldCharType="end"/>
      </w:r>
      <w:bookmarkEnd w:id="209"/>
      <w:r>
        <w:t xml:space="preserve">: </w:t>
      </w:r>
      <w:r w:rsidR="00E60D5D">
        <w:t>Responses of surveyed past Registrars to the question ‘</w:t>
      </w:r>
      <w:r w:rsidR="00C45BAB" w:rsidRPr="00C45BAB">
        <w:t>What influenced your decision to move facilities after graduating from TEAP?</w:t>
      </w:r>
      <w:r w:rsidR="00C45BAB">
        <w:t>’</w:t>
      </w:r>
      <w:r w:rsidR="00A700D6">
        <w:t xml:space="preserve"> (n=18)</w:t>
      </w:r>
    </w:p>
    <w:bookmarkEnd w:id="207"/>
    <w:bookmarkEnd w:id="208"/>
    <w:p w14:paraId="3000A4A0" w14:textId="7B4F048D" w:rsidR="00171391" w:rsidRDefault="00171391" w:rsidP="00FC1649">
      <w:pPr>
        <w:pStyle w:val="BodyText"/>
        <w:jc w:val="center"/>
      </w:pPr>
      <w:r>
        <w:rPr>
          <w:noProof/>
        </w:rPr>
        <w:drawing>
          <wp:inline distT="0" distB="0" distL="0" distR="0" wp14:anchorId="216E8039" wp14:editId="5E73BEC0">
            <wp:extent cx="5534953" cy="2633980"/>
            <wp:effectExtent l="0" t="0" r="0" b="0"/>
            <wp:docPr id="1383094170" name="Chart 1" descr="Figure 28 is a bar chart which shows Responses of surveyed past Registrars to the question &quot;What influenced your decision tomove facilities after graduating from TEAP&quot; (n=18)&#10;&#10;Other  - 2&#10;Family/personal reasons - 5&#10;Mor attractive lifestyle / affordability / accessability elsewhere  - 8&#10;More competative remuneration elsewhere - 4&#10;Lack of ongoing positions at the facility where I undertook training - 16&#10;Employment opportunities elsewhere - 11">
              <a:extLst xmlns:a="http://schemas.openxmlformats.org/drawingml/2006/main">
                <a:ext uri="{FF2B5EF4-FFF2-40B4-BE49-F238E27FC236}">
                  <a16:creationId xmlns:a16="http://schemas.microsoft.com/office/drawing/2014/main" id="{1AC4BB92-CA93-27BF-A6DC-9CB45B1C9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BF45943" w14:textId="50426E0E" w:rsidR="00171391" w:rsidRPr="00194457" w:rsidRDefault="00171391" w:rsidP="00FC0A0C">
      <w:pPr>
        <w:pStyle w:val="BodyText"/>
        <w:rPr>
          <w:i/>
        </w:rPr>
      </w:pPr>
      <w:r w:rsidRPr="00194457">
        <w:rPr>
          <w:i/>
        </w:rPr>
        <w:t>*</w:t>
      </w:r>
      <w:proofErr w:type="gramStart"/>
      <w:r w:rsidRPr="00194457">
        <w:rPr>
          <w:i/>
        </w:rPr>
        <w:t>some</w:t>
      </w:r>
      <w:proofErr w:type="gramEnd"/>
      <w:r w:rsidRPr="00194457">
        <w:rPr>
          <w:i/>
        </w:rPr>
        <w:t xml:space="preserve"> survey respondents </w:t>
      </w:r>
      <w:r w:rsidR="00BF705B" w:rsidRPr="00194457">
        <w:rPr>
          <w:i/>
        </w:rPr>
        <w:t>cited</w:t>
      </w:r>
      <w:r w:rsidRPr="00194457">
        <w:rPr>
          <w:i/>
        </w:rPr>
        <w:t xml:space="preserve"> multiple influencing factors in their </w:t>
      </w:r>
      <w:r w:rsidR="006900EA" w:rsidRPr="00194457">
        <w:rPr>
          <w:i/>
        </w:rPr>
        <w:t>decision</w:t>
      </w:r>
      <w:r w:rsidRPr="00194457">
        <w:rPr>
          <w:i/>
        </w:rPr>
        <w:t xml:space="preserve"> to move facilities. </w:t>
      </w:r>
    </w:p>
    <w:p w14:paraId="4C7A154E" w14:textId="352B2553" w:rsidR="006900EA" w:rsidRDefault="006900EA" w:rsidP="00C3332D">
      <w:pPr>
        <w:pStyle w:val="Footer"/>
      </w:pPr>
      <w:r>
        <w:t>S</w:t>
      </w:r>
      <w:r w:rsidRPr="00074AC0">
        <w:t xml:space="preserve">ource: </w:t>
      </w:r>
      <w:r>
        <w:t xml:space="preserve">KPMG analysis of </w:t>
      </w:r>
      <w:r w:rsidR="00C1554A">
        <w:t>Registrar</w:t>
      </w:r>
      <w:r>
        <w:t xml:space="preserve"> survey respondents </w:t>
      </w:r>
    </w:p>
    <w:p w14:paraId="143EC61D" w14:textId="0283FABE" w:rsidR="007E5824" w:rsidRPr="00DC27F5" w:rsidRDefault="008539C3" w:rsidP="007B7F80">
      <w:pPr>
        <w:pStyle w:val="BodyText"/>
        <w:rPr>
          <w:lang w:eastAsia="en-AU"/>
        </w:rPr>
      </w:pPr>
      <w:r>
        <w:rPr>
          <w:lang w:eastAsia="en-AU"/>
        </w:rPr>
        <w:t xml:space="preserve">A key consideration in improving workforce distribution, is the intention of trainees </w:t>
      </w:r>
      <w:r w:rsidR="00E06D77">
        <w:rPr>
          <w:lang w:eastAsia="en-AU"/>
        </w:rPr>
        <w:t>to undertake</w:t>
      </w:r>
      <w:r>
        <w:rPr>
          <w:lang w:eastAsia="en-AU"/>
        </w:rPr>
        <w:t xml:space="preserve"> a career in a regional, rural or remote area. </w:t>
      </w:r>
      <w:r w:rsidR="00AA6EDE">
        <w:rPr>
          <w:lang w:eastAsia="en-AU"/>
        </w:rPr>
        <w:fldChar w:fldCharType="begin" w:fldLock="1"/>
      </w:r>
      <w:r w:rsidR="00AA6EDE">
        <w:rPr>
          <w:lang w:eastAsia="en-AU"/>
        </w:rPr>
        <w:instrText xml:space="preserve"> REF _Ref184391199 \h </w:instrText>
      </w:r>
      <w:r w:rsidR="00AA6EDE">
        <w:rPr>
          <w:lang w:eastAsia="en-AU"/>
        </w:rPr>
      </w:r>
      <w:r w:rsidR="00AA6EDE">
        <w:rPr>
          <w:lang w:eastAsia="en-AU"/>
        </w:rPr>
        <w:fldChar w:fldCharType="separate"/>
      </w:r>
      <w:r w:rsidR="00AA6EDE">
        <w:t xml:space="preserve">Figure </w:t>
      </w:r>
      <w:r w:rsidR="00AA6EDE" w:rsidDel="00BA2814">
        <w:rPr>
          <w:noProof/>
        </w:rPr>
        <w:t>29</w:t>
      </w:r>
      <w:r w:rsidR="00AA6EDE">
        <w:rPr>
          <w:lang w:eastAsia="en-AU"/>
        </w:rPr>
        <w:fldChar w:fldCharType="end"/>
      </w:r>
      <w:r w:rsidR="001418FD">
        <w:rPr>
          <w:lang w:eastAsia="en-AU"/>
        </w:rPr>
        <w:t xml:space="preserve"> </w:t>
      </w:r>
      <w:r w:rsidR="0069127D">
        <w:rPr>
          <w:lang w:eastAsia="en-AU"/>
        </w:rPr>
        <w:t xml:space="preserve">below illustrates that </w:t>
      </w:r>
      <w:r w:rsidR="000954AF">
        <w:rPr>
          <w:lang w:eastAsia="en-AU"/>
        </w:rPr>
        <w:t>less tha</w:t>
      </w:r>
      <w:r w:rsidR="0069127D">
        <w:rPr>
          <w:lang w:eastAsia="en-AU"/>
        </w:rPr>
        <w:t>n</w:t>
      </w:r>
      <w:r w:rsidR="000954AF">
        <w:rPr>
          <w:lang w:eastAsia="en-AU"/>
        </w:rPr>
        <w:t xml:space="preserve"> one third of trainees</w:t>
      </w:r>
      <w:r w:rsidR="008E3054">
        <w:rPr>
          <w:lang w:eastAsia="en-AU"/>
        </w:rPr>
        <w:t xml:space="preserve"> </w:t>
      </w:r>
      <w:r w:rsidR="000954AF">
        <w:rPr>
          <w:lang w:eastAsia="en-AU"/>
        </w:rPr>
        <w:t xml:space="preserve">would consider a role in </w:t>
      </w:r>
      <w:r w:rsidR="003C68E3">
        <w:rPr>
          <w:lang w:eastAsia="en-AU"/>
        </w:rPr>
        <w:t>a regional, rural or remote area</w:t>
      </w:r>
      <w:r w:rsidR="00613B3C">
        <w:rPr>
          <w:lang w:eastAsia="en-AU"/>
        </w:rPr>
        <w:t>, with 32</w:t>
      </w:r>
      <w:r w:rsidR="00AD6EFB">
        <w:rPr>
          <w:lang w:eastAsia="en-AU"/>
        </w:rPr>
        <w:t>%</w:t>
      </w:r>
      <w:r w:rsidR="00613B3C">
        <w:rPr>
          <w:lang w:eastAsia="en-AU"/>
        </w:rPr>
        <w:t xml:space="preserve"> of respondents indicating that the</w:t>
      </w:r>
      <w:r w:rsidR="00716B32">
        <w:rPr>
          <w:lang w:eastAsia="en-AU"/>
        </w:rPr>
        <w:t>y</w:t>
      </w:r>
      <w:r w:rsidR="00613B3C">
        <w:rPr>
          <w:lang w:eastAsia="en-AU"/>
        </w:rPr>
        <w:t xml:space="preserve"> strongly or somewhat agree that they would consider a </w:t>
      </w:r>
      <w:r w:rsidR="005551DA">
        <w:rPr>
          <w:lang w:eastAsia="en-AU"/>
        </w:rPr>
        <w:t xml:space="preserve">career </w:t>
      </w:r>
      <w:r w:rsidR="00082196">
        <w:rPr>
          <w:lang w:eastAsia="en-AU"/>
        </w:rPr>
        <w:t>these areas</w:t>
      </w:r>
      <w:r w:rsidR="003C68E3">
        <w:rPr>
          <w:lang w:eastAsia="en-AU"/>
        </w:rPr>
        <w:t>.</w:t>
      </w:r>
    </w:p>
    <w:p w14:paraId="02AEF488" w14:textId="20E4C79C" w:rsidR="00931D97" w:rsidRDefault="00931D97" w:rsidP="00931D97">
      <w:pPr>
        <w:pStyle w:val="Caption"/>
        <w:rPr>
          <w:i/>
          <w:szCs w:val="24"/>
        </w:rPr>
      </w:pPr>
      <w:bookmarkStart w:id="210" w:name="_Ref182816735"/>
      <w:bookmarkStart w:id="211" w:name="_Ref184391199"/>
      <w:bookmarkStart w:id="212" w:name="_Ref182568832"/>
      <w:r>
        <w:t xml:space="preserve">Figure </w:t>
      </w:r>
      <w:r>
        <w:fldChar w:fldCharType="begin"/>
      </w:r>
      <w:r>
        <w:instrText xml:space="preserve"> SEQ Figure \* ARABIC </w:instrText>
      </w:r>
      <w:r>
        <w:fldChar w:fldCharType="separate"/>
      </w:r>
      <w:r w:rsidR="005F7EBC">
        <w:rPr>
          <w:noProof/>
        </w:rPr>
        <w:t>29</w:t>
      </w:r>
      <w:r>
        <w:fldChar w:fldCharType="end"/>
      </w:r>
      <w:bookmarkEnd w:id="210"/>
      <w:bookmarkEnd w:id="211"/>
      <w:r>
        <w:t xml:space="preserve">: </w:t>
      </w:r>
      <w:r w:rsidR="00C45BAB">
        <w:t>Responses of surveyed Registrars to the statement ‘</w:t>
      </w:r>
      <w:r w:rsidR="00C45BAB" w:rsidRPr="00C45BAB">
        <w:t>I am considering or would consider a career in regional, rural or remote communities</w:t>
      </w:r>
      <w:r w:rsidR="00C45BAB">
        <w:t>’</w:t>
      </w:r>
      <w:r w:rsidR="009C1F9E">
        <w:t xml:space="preserve"> (n=</w:t>
      </w:r>
      <w:r w:rsidR="00D22421">
        <w:t>25)</w:t>
      </w:r>
    </w:p>
    <w:bookmarkEnd w:id="212"/>
    <w:p w14:paraId="77E0754F" w14:textId="1932A9CC" w:rsidR="006900EA" w:rsidRDefault="0029382C" w:rsidP="00FC1649">
      <w:pPr>
        <w:pStyle w:val="BodyText"/>
        <w:jc w:val="center"/>
      </w:pPr>
      <w:r>
        <w:rPr>
          <w:noProof/>
        </w:rPr>
        <w:drawing>
          <wp:inline distT="0" distB="0" distL="0" distR="0" wp14:anchorId="47A8A68A" wp14:editId="0C4DE783">
            <wp:extent cx="3923030" cy="1951674"/>
            <wp:effectExtent l="0" t="0" r="0" b="0"/>
            <wp:docPr id="1642803347" name="Chart 1" descr="Figure 29 is a pie chart which shows Responses of surveyed registrars to the statement &quot;I am considering or would consider a career in regional, rural or remote communities&quot; (n=25)&#10;12% strongly agree&#10;20% somewhat agree&#10;12% neither agree nor disagree&#10;40% somewhat disagree&#10;16% strongly disagree">
              <a:extLst xmlns:a="http://schemas.openxmlformats.org/drawingml/2006/main">
                <a:ext uri="{FF2B5EF4-FFF2-40B4-BE49-F238E27FC236}">
                  <a16:creationId xmlns:a16="http://schemas.microsoft.com/office/drawing/2014/main" id="{4E8880D3-B0C2-44CA-AAB7-A5ADA9916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C2E2D3" w14:textId="77777777" w:rsidR="0029382C" w:rsidRDefault="0029382C" w:rsidP="00C3332D">
      <w:pPr>
        <w:pStyle w:val="Footer"/>
      </w:pPr>
      <w:r>
        <w:t>S</w:t>
      </w:r>
      <w:r w:rsidRPr="00074AC0">
        <w:t xml:space="preserve">ource: </w:t>
      </w:r>
      <w:r>
        <w:t xml:space="preserve">KPMG analysis of Registrar survey respondents </w:t>
      </w:r>
    </w:p>
    <w:p w14:paraId="38CDACD7" w14:textId="1A464939" w:rsidR="00B806C9" w:rsidRPr="00504CB4" w:rsidRDefault="002949CC" w:rsidP="004C6428">
      <w:pPr>
        <w:pStyle w:val="BodyText"/>
      </w:pPr>
      <w:r w:rsidRPr="009B6D3A">
        <w:rPr>
          <w:rFonts w:cs="Arial"/>
          <w:iCs/>
        </w:rPr>
        <w:t xml:space="preserve">This is further supported with </w:t>
      </w:r>
      <w:r w:rsidR="00CE0C36" w:rsidRPr="009B6D3A">
        <w:rPr>
          <w:rFonts w:cs="Arial"/>
          <w:iCs/>
        </w:rPr>
        <w:t>S</w:t>
      </w:r>
      <w:r w:rsidRPr="009B6D3A">
        <w:rPr>
          <w:rFonts w:cs="Arial"/>
          <w:iCs/>
        </w:rPr>
        <w:t xml:space="preserve">upervisor </w:t>
      </w:r>
      <w:r w:rsidR="00455948" w:rsidRPr="009B6D3A">
        <w:rPr>
          <w:rFonts w:cs="Arial"/>
          <w:iCs/>
        </w:rPr>
        <w:t>survey</w:t>
      </w:r>
      <w:r w:rsidRPr="009B6D3A">
        <w:rPr>
          <w:rFonts w:cs="Arial"/>
          <w:iCs/>
        </w:rPr>
        <w:t xml:space="preserve"> data indicating </w:t>
      </w:r>
      <w:r w:rsidR="0020528A" w:rsidRPr="009B6D3A">
        <w:rPr>
          <w:rFonts w:cs="Arial"/>
          <w:iCs/>
        </w:rPr>
        <w:t xml:space="preserve">the MPS Program has a minimal impact on </w:t>
      </w:r>
      <w:r w:rsidR="009B6D3A">
        <w:rPr>
          <w:rFonts w:cs="Arial"/>
          <w:iCs/>
        </w:rPr>
        <w:t>the</w:t>
      </w:r>
      <w:r w:rsidR="00C0505D">
        <w:rPr>
          <w:rFonts w:cs="Arial"/>
        </w:rPr>
        <w:t xml:space="preserve"> </w:t>
      </w:r>
      <w:r w:rsidR="00C0505D" w:rsidRPr="009B6D3A">
        <w:rPr>
          <w:rFonts w:cs="Arial"/>
          <w:iCs/>
        </w:rPr>
        <w:t>distribution of the medical ph</w:t>
      </w:r>
      <w:r w:rsidR="00C84B9B" w:rsidRPr="009B6D3A">
        <w:rPr>
          <w:rFonts w:cs="Arial"/>
          <w:iCs/>
        </w:rPr>
        <w:t xml:space="preserve">ysics workforce. </w:t>
      </w:r>
      <w:r w:rsidR="00AA6EDE">
        <w:rPr>
          <w:rFonts w:cs="Arial"/>
        </w:rPr>
        <w:fldChar w:fldCharType="begin" w:fldLock="1"/>
      </w:r>
      <w:r w:rsidR="00AA6EDE">
        <w:rPr>
          <w:rFonts w:cs="Arial"/>
          <w:iCs/>
        </w:rPr>
        <w:instrText xml:space="preserve"> REF _Ref184391210 \h </w:instrText>
      </w:r>
      <w:r w:rsidR="00AA6EDE">
        <w:rPr>
          <w:rFonts w:cs="Arial"/>
        </w:rPr>
      </w:r>
      <w:r w:rsidR="00AA6EDE">
        <w:rPr>
          <w:rFonts w:cs="Arial"/>
        </w:rPr>
        <w:fldChar w:fldCharType="separate"/>
      </w:r>
      <w:r w:rsidR="00AA6EDE">
        <w:t xml:space="preserve">Figure </w:t>
      </w:r>
      <w:r w:rsidR="00AA6EDE" w:rsidDel="00BA2814">
        <w:rPr>
          <w:noProof/>
        </w:rPr>
        <w:t>30</w:t>
      </w:r>
      <w:r w:rsidR="00AA6EDE">
        <w:rPr>
          <w:rFonts w:cs="Arial"/>
        </w:rPr>
        <w:fldChar w:fldCharType="end"/>
      </w:r>
      <w:r w:rsidR="00CE6EB5">
        <w:t xml:space="preserve"> below shows that </w:t>
      </w:r>
      <w:r w:rsidR="00532B3E">
        <w:t>35</w:t>
      </w:r>
      <w:r w:rsidR="00CE0C36">
        <w:t xml:space="preserve">% </w:t>
      </w:r>
      <w:r w:rsidR="00532B3E">
        <w:t xml:space="preserve">of </w:t>
      </w:r>
      <w:r w:rsidR="0088736A">
        <w:t xml:space="preserve">surveyed </w:t>
      </w:r>
      <w:r w:rsidR="00CE0C36">
        <w:t>S</w:t>
      </w:r>
      <w:r w:rsidR="00532B3E">
        <w:t>upervisors</w:t>
      </w:r>
      <w:r w:rsidR="009B6D3A" w:rsidRPr="009B6D3A">
        <w:rPr>
          <w:rFonts w:cs="Arial"/>
          <w:iCs/>
        </w:rPr>
        <w:t xml:space="preserve"> (19 respondents)</w:t>
      </w:r>
      <w:r w:rsidR="00532B3E">
        <w:t xml:space="preserve"> </w:t>
      </w:r>
      <w:r w:rsidR="005E0CA1">
        <w:t>strongly or somewhat agreed</w:t>
      </w:r>
      <w:r w:rsidR="00532B3E">
        <w:t xml:space="preserve"> that th</w:t>
      </w:r>
      <w:r w:rsidR="00532B3E" w:rsidRPr="009B6D3A">
        <w:rPr>
          <w:iCs/>
        </w:rPr>
        <w:t xml:space="preserve">e MPS Program is having a positive impact on the </w:t>
      </w:r>
      <w:r w:rsidR="005E0CA1" w:rsidRPr="009B6D3A">
        <w:rPr>
          <w:iCs/>
        </w:rPr>
        <w:t>distribution of the medical physics workforce</w:t>
      </w:r>
      <w:r w:rsidR="004902BE" w:rsidRPr="009B6D3A">
        <w:rPr>
          <w:iCs/>
        </w:rPr>
        <w:t>, particularly in regional, rural and remote communities</w:t>
      </w:r>
      <w:r w:rsidR="008B2885" w:rsidRPr="009B6D3A">
        <w:rPr>
          <w:iCs/>
        </w:rPr>
        <w:t xml:space="preserve"> (n=</w:t>
      </w:r>
      <w:r w:rsidR="00CB6E08" w:rsidRPr="009B6D3A">
        <w:rPr>
          <w:iCs/>
        </w:rPr>
        <w:t>54)</w:t>
      </w:r>
      <w:r w:rsidR="004902BE" w:rsidRPr="009B6D3A">
        <w:rPr>
          <w:iCs/>
        </w:rPr>
        <w:t>.</w:t>
      </w:r>
      <w:bookmarkStart w:id="213" w:name="_Ref182569477"/>
      <w:bookmarkStart w:id="214" w:name="_Ref184391210"/>
    </w:p>
    <w:p w14:paraId="2D2E782C" w14:textId="3C4832B2" w:rsidR="00C84B9B" w:rsidRDefault="00CE6EB5" w:rsidP="00C26201">
      <w:pPr>
        <w:pStyle w:val="Caption"/>
      </w:pPr>
      <w:r>
        <w:t xml:space="preserve">Figure </w:t>
      </w:r>
      <w:r>
        <w:fldChar w:fldCharType="begin"/>
      </w:r>
      <w:r>
        <w:instrText xml:space="preserve"> SEQ Figure \* ARABIC </w:instrText>
      </w:r>
      <w:r>
        <w:fldChar w:fldCharType="separate"/>
      </w:r>
      <w:r w:rsidR="005F7EBC">
        <w:rPr>
          <w:noProof/>
        </w:rPr>
        <w:t>30</w:t>
      </w:r>
      <w:r>
        <w:fldChar w:fldCharType="end"/>
      </w:r>
      <w:bookmarkEnd w:id="213"/>
      <w:bookmarkEnd w:id="214"/>
      <w:r w:rsidR="00542850">
        <w:t>:</w:t>
      </w:r>
      <w:r>
        <w:t xml:space="preserve"> </w:t>
      </w:r>
      <w:r w:rsidR="00C45BAB">
        <w:t xml:space="preserve">Responses of surveyed </w:t>
      </w:r>
      <w:r w:rsidR="00C26201">
        <w:t>Supervisors</w:t>
      </w:r>
      <w:r w:rsidR="00C45BAB">
        <w:t xml:space="preserve"> to the statement </w:t>
      </w:r>
      <w:r w:rsidR="00C26201">
        <w:t>‘</w:t>
      </w:r>
      <w:r w:rsidR="00C26201" w:rsidRPr="00C26201">
        <w:t xml:space="preserve">The program is positively impacting the distribution of the medical physicist workforce and </w:t>
      </w:r>
      <w:r w:rsidR="00C26201">
        <w:t>RPSs</w:t>
      </w:r>
      <w:r w:rsidR="00C26201" w:rsidRPr="00C26201">
        <w:t>, particularly in regional, rural or remote communities</w:t>
      </w:r>
      <w:r w:rsidR="00C26201">
        <w:t>’</w:t>
      </w:r>
      <w:r w:rsidR="00C26201" w:rsidRPr="00C26201">
        <w:t xml:space="preserve"> </w:t>
      </w:r>
      <w:r w:rsidR="00D22421">
        <w:t>(n=</w:t>
      </w:r>
      <w:r w:rsidR="00CB6E08">
        <w:t>54)</w:t>
      </w:r>
    </w:p>
    <w:p w14:paraId="20AEAA0D" w14:textId="4A4FC9F9" w:rsidR="00795D94" w:rsidRPr="00C3332D" w:rsidRDefault="00795D94" w:rsidP="00C3332D">
      <w:r>
        <w:rPr>
          <w:noProof/>
        </w:rPr>
        <w:drawing>
          <wp:inline distT="0" distB="0" distL="0" distR="0" wp14:anchorId="7204343D" wp14:editId="78EC9A07">
            <wp:extent cx="3284112" cy="1812925"/>
            <wp:effectExtent l="0" t="0" r="0" b="0"/>
            <wp:docPr id="257922044" name="Chart 1" descr="Figure 30 is a pie chart which shows Responses of surveyed Supervisors to the statement &quot;The program is positively impacting the distribution of the medical physicist workforce and RPS's, particulary in regional, rural or remote communities&quot; (n=54)&#10;17% strongly agree&#10;18% somehwhat agree&#10;43% neither agree nor disagree&#10;15% somewhat disagree&#10;7% strongly disagree">
              <a:extLst xmlns:a="http://schemas.openxmlformats.org/drawingml/2006/main">
                <a:ext uri="{FF2B5EF4-FFF2-40B4-BE49-F238E27FC236}">
                  <a16:creationId xmlns:a16="http://schemas.microsoft.com/office/drawing/2014/main" id="{508ECCA9-8A34-F633-FEEC-321BD4525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87E058F" w14:textId="5D136B19" w:rsidR="00CE6EB5" w:rsidRDefault="00CE6EB5" w:rsidP="00C3332D">
      <w:pPr>
        <w:pStyle w:val="Footer"/>
      </w:pPr>
      <w:r>
        <w:t>S</w:t>
      </w:r>
      <w:r w:rsidRPr="00074AC0">
        <w:t xml:space="preserve">ource: </w:t>
      </w:r>
      <w:r>
        <w:t xml:space="preserve">KPMG analysis of </w:t>
      </w:r>
      <w:r w:rsidR="009B6D3A">
        <w:t>S</w:t>
      </w:r>
      <w:r>
        <w:t xml:space="preserve">upervisor survey respondents </w:t>
      </w:r>
    </w:p>
    <w:p w14:paraId="027ED351" w14:textId="3FB631D2" w:rsidR="00445769" w:rsidRDefault="00FC0A0C" w:rsidP="004C6428">
      <w:pPr>
        <w:pStyle w:val="BodyText"/>
      </w:pPr>
      <w:r>
        <w:t xml:space="preserve">Consultations further highlighted the importance of workforce distribution having both workforce replacement and patient impacts, as demonstrated in the below case studies. </w:t>
      </w:r>
    </w:p>
    <w:p w14:paraId="277F706B" w14:textId="77777777" w:rsidR="004C6428" w:rsidRPr="004C6428" w:rsidRDefault="004C6428" w:rsidP="004C6428">
      <w:pPr>
        <w:pStyle w:val="BodyText"/>
      </w:pPr>
    </w:p>
    <w:p w14:paraId="633AA7ED" w14:textId="2FFFA3D3" w:rsidR="00445769" w:rsidRPr="00DC6578" w:rsidRDefault="00445769" w:rsidP="00445769">
      <w:pPr>
        <w:shd w:val="clear" w:color="auto" w:fill="97014E" w:themeFill="accent6" w:themeFillShade="80"/>
        <w:rPr>
          <w:rFonts w:cs="Arial"/>
          <w:b/>
          <w:bCs/>
        </w:rPr>
      </w:pPr>
      <w:r>
        <w:rPr>
          <w:rFonts w:cs="Arial"/>
          <w:b/>
          <w:bCs/>
          <w:noProof/>
        </w:rPr>
        <w:drawing>
          <wp:inline distT="0" distB="0" distL="0" distR="0" wp14:anchorId="01E6AD81" wp14:editId="099ADC06">
            <wp:extent cx="283464" cy="283464"/>
            <wp:effectExtent l="0" t="0" r="0" b="0"/>
            <wp:docPr id="394862699"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02812" name="Graphic 40">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92979" cy="292979"/>
                    </a:xfrm>
                    <a:prstGeom prst="rect">
                      <a:avLst/>
                    </a:prstGeom>
                  </pic:spPr>
                </pic:pic>
              </a:graphicData>
            </a:graphic>
          </wp:inline>
        </w:drawing>
      </w:r>
      <w:r>
        <w:rPr>
          <w:rFonts w:cs="Arial"/>
          <w:b/>
          <w:bCs/>
        </w:rPr>
        <w:t xml:space="preserve">  Case Study - T</w:t>
      </w:r>
      <w:r>
        <w:rPr>
          <w:b/>
          <w:bCs/>
        </w:rPr>
        <w:t>EAP contributes to DIMP workforce strength in SA</w:t>
      </w:r>
    </w:p>
    <w:p w14:paraId="3D11C29B" w14:textId="77777777" w:rsidR="00445769" w:rsidRDefault="00445769" w:rsidP="00445769">
      <w:pPr>
        <w:pStyle w:val="BodyText"/>
        <w:shd w:val="clear" w:color="auto" w:fill="FED6EB" w:themeFill="accent6" w:themeFillTint="33"/>
      </w:pPr>
      <w:r>
        <w:t xml:space="preserve">The critical role of TEAP in building ongoing workforce sustainability was highlighted by a stakeholder in SA, who reported a substantial increase in the number of DIMPs from the time </w:t>
      </w:r>
      <w:r w:rsidDel="00221AE9">
        <w:t xml:space="preserve">they </w:t>
      </w:r>
      <w:r>
        <w:t>undertook TEAP.</w:t>
      </w:r>
    </w:p>
    <w:p w14:paraId="6D639BC8" w14:textId="77777777" w:rsidR="00445769" w:rsidRDefault="00445769" w:rsidP="00445769">
      <w:pPr>
        <w:pStyle w:val="BodyText"/>
        <w:shd w:val="clear" w:color="auto" w:fill="FED6EB" w:themeFill="accent6" w:themeFillTint="33"/>
      </w:pPr>
      <w:r>
        <w:t>According to this stakeholder</w:t>
      </w:r>
      <w:r w:rsidDel="00221AE9">
        <w:t xml:space="preserve">, </w:t>
      </w:r>
      <w:r>
        <w:t xml:space="preserve">there were only five DIMPs in their state while they were undertaking DIMP radiology TEAP, with the majority in nuclear medicine. The limited availability of experienced DIMPs was exacerbated 18 months into their study when one senior medical physicist retired and another moved interstate, leaving no qualified radiology DIMPs to supervise or sign-off on competencies. This posed significant challenges to the individual’s progression through TEAP, with the individual travelling interstate </w:t>
      </w:r>
      <w:proofErr w:type="gramStart"/>
      <w:r>
        <w:t>in order to</w:t>
      </w:r>
      <w:proofErr w:type="gramEnd"/>
      <w:r>
        <w:t xml:space="preserve"> receive supervision and connect with radiology colleagues who had the competencies required for certification. Upon</w:t>
      </w:r>
      <w:r w:rsidDel="009C6EE3">
        <w:t xml:space="preserve"> </w:t>
      </w:r>
      <w:r>
        <w:t xml:space="preserve">certification, the individual was the only radiology DIMP and was required to support the state, including the training of new medical physicists. </w:t>
      </w:r>
    </w:p>
    <w:p w14:paraId="16996968" w14:textId="5F999B75" w:rsidR="00445769" w:rsidRDefault="00445769" w:rsidP="00445769">
      <w:pPr>
        <w:pStyle w:val="BodyText"/>
        <w:shd w:val="clear" w:color="auto" w:fill="FED6EB" w:themeFill="accent6" w:themeFillTint="33"/>
      </w:pPr>
      <w:r>
        <w:t>The individual spoke to the substantial impact of TEAP on the SA DIMP workforce; in the span of seven years, the state now has 5 fully qualified radiology DIMPs and one Registrar.</w:t>
      </w:r>
    </w:p>
    <w:p w14:paraId="6E060E0B" w14:textId="77777777" w:rsidR="00CE3ED9" w:rsidRDefault="00CE3ED9" w:rsidP="00FC0A0C">
      <w:pPr>
        <w:pStyle w:val="BodyText"/>
        <w:rPr>
          <w:i/>
          <w:iCs/>
        </w:rPr>
      </w:pPr>
    </w:p>
    <w:p w14:paraId="08453EE8" w14:textId="09E5CF52" w:rsidR="00770BA2" w:rsidRPr="00DC6578" w:rsidRDefault="00FB4C32" w:rsidP="00770BA2">
      <w:pPr>
        <w:shd w:val="clear" w:color="auto" w:fill="97014E" w:themeFill="accent6" w:themeFillShade="80"/>
        <w:rPr>
          <w:rFonts w:cs="Arial"/>
          <w:b/>
          <w:bCs/>
        </w:rPr>
      </w:pPr>
      <w:r>
        <w:rPr>
          <w:rFonts w:cs="Arial"/>
          <w:b/>
          <w:bCs/>
          <w:noProof/>
        </w:rPr>
        <w:drawing>
          <wp:inline distT="0" distB="0" distL="0" distR="0" wp14:anchorId="4D0A61A9" wp14:editId="22516969">
            <wp:extent cx="283464" cy="283464"/>
            <wp:effectExtent l="0" t="0" r="0" b="0"/>
            <wp:docPr id="401661385"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64907" name="Graphic 40">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92979" cy="292979"/>
                    </a:xfrm>
                    <a:prstGeom prst="rect">
                      <a:avLst/>
                    </a:prstGeom>
                  </pic:spPr>
                </pic:pic>
              </a:graphicData>
            </a:graphic>
          </wp:inline>
        </w:drawing>
      </w:r>
      <w:r>
        <w:rPr>
          <w:rFonts w:cs="Arial"/>
          <w:b/>
          <w:bCs/>
        </w:rPr>
        <w:t xml:space="preserve"> </w:t>
      </w:r>
      <w:r w:rsidR="00770BA2">
        <w:rPr>
          <w:rFonts w:cs="Arial"/>
          <w:b/>
          <w:bCs/>
        </w:rPr>
        <w:t xml:space="preserve">Case Study - </w:t>
      </w:r>
      <w:r w:rsidR="00770BA2">
        <w:rPr>
          <w:b/>
          <w:bCs/>
        </w:rPr>
        <w:t>TEAP enables</w:t>
      </w:r>
      <w:r w:rsidR="00770BA2" w:rsidRPr="00FC5A29">
        <w:rPr>
          <w:b/>
          <w:bCs/>
        </w:rPr>
        <w:t xml:space="preserve"> equipment commissioning</w:t>
      </w:r>
      <w:r w:rsidR="00770BA2">
        <w:rPr>
          <w:b/>
        </w:rPr>
        <w:t xml:space="preserve"> </w:t>
      </w:r>
      <w:r w:rsidR="00770BA2">
        <w:rPr>
          <w:b/>
          <w:bCs/>
        </w:rPr>
        <w:t>in WA</w:t>
      </w:r>
    </w:p>
    <w:p w14:paraId="2F98E794" w14:textId="3FE58A24" w:rsidR="00445769" w:rsidRDefault="00770BA2" w:rsidP="00770BA2">
      <w:pPr>
        <w:pStyle w:val="BodyText"/>
        <w:shd w:val="clear" w:color="auto" w:fill="FED6EB" w:themeFill="accent6" w:themeFillTint="33"/>
        <w:rPr>
          <w:i/>
          <w:iCs/>
        </w:rPr>
      </w:pPr>
      <w:r>
        <w:t>A consultation with a WA facility illustrated the positive impact that the MPS Program is having for patients. The Commonwealth funding for Registrars has successfully enabled growth in the number of QMPs within WA. With the facility now having access to a higher number of medical physicists, they were able to commission e</w:t>
      </w:r>
      <w:r w:rsidRPr="003E0B80">
        <w:t>lectron beam radiation therapy</w:t>
      </w:r>
      <w:r>
        <w:t>. The facility has now treated six patients who would have previously been required to travel to Melbourne to receive this therapy, thereby alleviating the social and financial burden of these patients.</w:t>
      </w:r>
    </w:p>
    <w:p w14:paraId="180D8105" w14:textId="71D9A880" w:rsidR="0033059E" w:rsidRPr="00AE349D" w:rsidRDefault="0033059E" w:rsidP="00AE349D">
      <w:pPr>
        <w:pStyle w:val="Heading3"/>
      </w:pPr>
      <w:bookmarkStart w:id="215" w:name="_Toc216711602"/>
      <w:r w:rsidRPr="00AE349D">
        <w:t>Quality</w:t>
      </w:r>
      <w:r w:rsidR="00B73EE9" w:rsidRPr="00AE349D">
        <w:t xml:space="preserve"> of Services</w:t>
      </w:r>
      <w:bookmarkEnd w:id="215"/>
    </w:p>
    <w:p w14:paraId="0380B776" w14:textId="1A57A71E" w:rsidR="00FB4C32" w:rsidRDefault="00520254" w:rsidP="00520254">
      <w:pPr>
        <w:pStyle w:val="BodyText"/>
      </w:pPr>
      <w:r w:rsidRPr="00E413D3">
        <w:t>Anecdotally, stakeholders reported an increase in the quality of services provided by medical physicists since the introduction of a national accreditation system within Australia in 2008</w:t>
      </w:r>
      <w:r w:rsidR="005A6CFD">
        <w:t>.</w:t>
      </w:r>
      <w:r w:rsidR="001D1A3C">
        <w:rPr>
          <w:rFonts w:ascii="ZWAdobeF" w:hAnsi="ZWAdobeF" w:cs="ZWAdobeF"/>
          <w:sz w:val="2"/>
          <w:szCs w:val="2"/>
        </w:rPr>
        <w:t>60F</w:t>
      </w:r>
      <w:r w:rsidR="005F7EBC">
        <w:rPr>
          <w:rFonts w:ascii="ZWAdobeF" w:hAnsi="ZWAdobeF" w:cs="ZWAdobeF"/>
          <w:sz w:val="2"/>
          <w:szCs w:val="2"/>
        </w:rPr>
        <w:t>73F</w:t>
      </w:r>
      <w:r w:rsidRPr="00E413D3">
        <w:rPr>
          <w:vertAlign w:val="superscript"/>
        </w:rPr>
        <w:footnoteReference w:id="75"/>
      </w:r>
      <w:r w:rsidRPr="00AC3AA0">
        <w:t xml:space="preserve"> Survey responses showed that 9</w:t>
      </w:r>
      <w:r w:rsidR="00CB6E08">
        <w:t>1</w:t>
      </w:r>
      <w:r w:rsidRPr="00AC3AA0">
        <w:t xml:space="preserve">% </w:t>
      </w:r>
      <w:r w:rsidR="007E7AB4">
        <w:t xml:space="preserve">(53 respondents) </w:t>
      </w:r>
      <w:r w:rsidRPr="00AC3AA0">
        <w:t>of trainees</w:t>
      </w:r>
      <w:r w:rsidR="00CB6E08">
        <w:t xml:space="preserve"> (n=58)</w:t>
      </w:r>
      <w:r w:rsidRPr="00AC3AA0">
        <w:t xml:space="preserve"> and 76% </w:t>
      </w:r>
      <w:r w:rsidR="003B53CE">
        <w:t>(41 respondents)</w:t>
      </w:r>
      <w:r w:rsidRPr="00AC3AA0">
        <w:t xml:space="preserve"> of </w:t>
      </w:r>
      <w:r w:rsidR="009B6D3A">
        <w:t>S</w:t>
      </w:r>
      <w:r w:rsidRPr="00AC3AA0">
        <w:t xml:space="preserve">upervisors </w:t>
      </w:r>
      <w:r w:rsidR="00970F08">
        <w:t xml:space="preserve">(n=54) </w:t>
      </w:r>
      <w:r w:rsidRPr="00AC3AA0">
        <w:t>believe that TEAP is positively impacting the quality of services provided.</w:t>
      </w:r>
      <w:r>
        <w:t xml:space="preserve"> </w:t>
      </w:r>
      <w:r w:rsidR="00E45E6F">
        <w:t xml:space="preserve">Additionally, survey </w:t>
      </w:r>
      <w:r w:rsidR="003C3CB2">
        <w:t xml:space="preserve">respondents spoke to the </w:t>
      </w:r>
      <w:r w:rsidR="00E45D50">
        <w:t xml:space="preserve">increased safety TEAP brings to the workforce and patients. </w:t>
      </w:r>
    </w:p>
    <w:p w14:paraId="180016CD" w14:textId="1B37A96E" w:rsidR="0020466D" w:rsidRPr="00741448" w:rsidRDefault="0020466D" w:rsidP="0020466D">
      <w:pPr>
        <w:pStyle w:val="BodyText"/>
        <w:shd w:val="clear" w:color="auto" w:fill="CAF1FF" w:themeFill="accent4" w:themeFillTint="33"/>
        <w:rPr>
          <w:i/>
          <w:iCs/>
        </w:rPr>
      </w:pPr>
      <w:r w:rsidRPr="00741448">
        <w:rPr>
          <w:i/>
          <w:iCs/>
          <w:noProof/>
        </w:rPr>
        <w:drawing>
          <wp:anchor distT="0" distB="0" distL="114300" distR="114300" simplePos="0" relativeHeight="251687936" behindDoc="0" locked="0" layoutInCell="1" allowOverlap="1" wp14:anchorId="3F59133E" wp14:editId="5743FC13">
            <wp:simplePos x="0" y="0"/>
            <wp:positionH relativeFrom="column">
              <wp:posOffset>3810</wp:posOffset>
            </wp:positionH>
            <wp:positionV relativeFrom="paragraph">
              <wp:posOffset>-4445</wp:posOffset>
            </wp:positionV>
            <wp:extent cx="438785" cy="446405"/>
            <wp:effectExtent l="0" t="0" r="0" b="0"/>
            <wp:wrapSquare wrapText="bothSides"/>
            <wp:docPr id="1195872296" name="Graphic 1195872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5"/>
                        </a:ext>
                      </a:extLst>
                    </a:blip>
                    <a:stretch>
                      <a:fillRect/>
                    </a:stretch>
                  </pic:blipFill>
                  <pic:spPr>
                    <a:xfrm>
                      <a:off x="0" y="0"/>
                      <a:ext cx="438785" cy="446405"/>
                    </a:xfrm>
                    <a:prstGeom prst="rect">
                      <a:avLst/>
                    </a:prstGeom>
                  </pic:spPr>
                </pic:pic>
              </a:graphicData>
            </a:graphic>
          </wp:anchor>
        </w:drawing>
      </w:r>
      <w:r w:rsidRPr="00741448">
        <w:rPr>
          <w:i/>
          <w:iCs/>
        </w:rPr>
        <w:t>“TEAP certification provides a safer and better educated workforce, which translated to safer patient care.”</w:t>
      </w:r>
    </w:p>
    <w:p w14:paraId="567771E4" w14:textId="77777777" w:rsidR="0020466D" w:rsidRPr="001B2509" w:rsidRDefault="0020466D" w:rsidP="0020466D">
      <w:pPr>
        <w:pStyle w:val="Quotestyle"/>
        <w:ind w:left="0"/>
        <w:rPr>
          <w:rStyle w:val="Strong"/>
        </w:rPr>
      </w:pPr>
      <w:r w:rsidRPr="001B2509">
        <w:rPr>
          <w:rStyle w:val="Strong"/>
        </w:rPr>
        <w:t>Surveyed Supervisor</w:t>
      </w:r>
    </w:p>
    <w:p w14:paraId="67F17C39" w14:textId="77777777" w:rsidR="00FB4C32" w:rsidRPr="00C21691" w:rsidRDefault="00FB4C32" w:rsidP="00520254">
      <w:pPr>
        <w:pStyle w:val="BodyText"/>
        <w:rPr>
          <w:i/>
          <w:iCs/>
        </w:rPr>
      </w:pPr>
    </w:p>
    <w:p w14:paraId="2BAF9802" w14:textId="0AB4C132" w:rsidR="0020466D" w:rsidRPr="00C21691" w:rsidRDefault="0020466D" w:rsidP="00E05C4A">
      <w:pPr>
        <w:pStyle w:val="BodyText"/>
        <w:shd w:val="clear" w:color="auto" w:fill="CAF1FF" w:themeFill="accent4" w:themeFillTint="33"/>
        <w:rPr>
          <w:i/>
          <w:iCs/>
        </w:rPr>
      </w:pPr>
      <w:r w:rsidRPr="00C21691">
        <w:rPr>
          <w:i/>
          <w:iCs/>
          <w:noProof/>
        </w:rPr>
        <w:drawing>
          <wp:anchor distT="0" distB="0" distL="114300" distR="114300" simplePos="0" relativeHeight="251689984" behindDoc="0" locked="0" layoutInCell="1" allowOverlap="1" wp14:anchorId="35A48BE6" wp14:editId="0497C861">
            <wp:simplePos x="0" y="0"/>
            <wp:positionH relativeFrom="column">
              <wp:posOffset>3810</wp:posOffset>
            </wp:positionH>
            <wp:positionV relativeFrom="paragraph">
              <wp:posOffset>-4445</wp:posOffset>
            </wp:positionV>
            <wp:extent cx="438785" cy="446405"/>
            <wp:effectExtent l="0" t="0" r="0" b="0"/>
            <wp:wrapSquare wrapText="bothSides"/>
            <wp:docPr id="1007653412" name="Graphic 1007653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1">
                      <a:extLst>
                        <a:ext uri="{96DAC541-7B7A-43D3-8B79-37D633B846F1}">
                          <asvg:svgBlip xmlns:asvg="http://schemas.microsoft.com/office/drawing/2016/SVG/main" r:embed="rId35"/>
                        </a:ext>
                      </a:extLst>
                    </a:blip>
                    <a:stretch>
                      <a:fillRect/>
                    </a:stretch>
                  </pic:blipFill>
                  <pic:spPr>
                    <a:xfrm>
                      <a:off x="0" y="0"/>
                      <a:ext cx="438785" cy="446405"/>
                    </a:xfrm>
                    <a:prstGeom prst="rect">
                      <a:avLst/>
                    </a:prstGeom>
                  </pic:spPr>
                </pic:pic>
              </a:graphicData>
            </a:graphic>
          </wp:anchor>
        </w:drawing>
      </w:r>
      <w:r w:rsidR="00E05C4A" w:rsidRPr="00C21691">
        <w:rPr>
          <w:i/>
          <w:iCs/>
        </w:rPr>
        <w:t>“As illustrated by some of the accident over the years, mistreatment can happen rather easily, and the consequences can be dramatic. The TEAP is essential to make sure that ever Registrar acquires the tools required to guarantee the safety of the patients. Having a common program allows every Registrar to reach a minimum threshold. This threshold is designed by people in the profession who have the expertise to determine what is required for the safety of the patients.”</w:t>
      </w:r>
    </w:p>
    <w:p w14:paraId="0A673D3A" w14:textId="77777777" w:rsidR="0020466D" w:rsidRPr="001B2509" w:rsidRDefault="0020466D" w:rsidP="00E05C4A">
      <w:pPr>
        <w:pStyle w:val="Quotestyle"/>
        <w:ind w:left="0"/>
        <w:rPr>
          <w:rStyle w:val="Strong"/>
        </w:rPr>
      </w:pPr>
      <w:r w:rsidRPr="001B2509">
        <w:rPr>
          <w:rStyle w:val="Strong"/>
        </w:rPr>
        <w:t>Surveyed Supervisor</w:t>
      </w:r>
    </w:p>
    <w:p w14:paraId="327C9BFF" w14:textId="77777777" w:rsidR="0020466D" w:rsidRDefault="0020466D" w:rsidP="00520254">
      <w:pPr>
        <w:pStyle w:val="BodyText"/>
      </w:pPr>
    </w:p>
    <w:p w14:paraId="2D087A99" w14:textId="5432464D" w:rsidR="00520254" w:rsidRPr="00E413D3" w:rsidRDefault="00520254" w:rsidP="00520254">
      <w:pPr>
        <w:pStyle w:val="BodyText"/>
      </w:pPr>
      <w:r w:rsidRPr="00E413D3">
        <w:t>However, the following shortcomings have been highlighted during consultations with various stakeholders:</w:t>
      </w:r>
    </w:p>
    <w:p w14:paraId="3953FD06" w14:textId="59E0F6E5" w:rsidR="00520254" w:rsidRPr="00E413D3" w:rsidRDefault="00520254" w:rsidP="00584EC6">
      <w:pPr>
        <w:pStyle w:val="BodyText"/>
        <w:numPr>
          <w:ilvl w:val="0"/>
          <w:numId w:val="41"/>
        </w:numPr>
      </w:pPr>
      <w:r w:rsidRPr="00DC27F5">
        <w:rPr>
          <w:b/>
        </w:rPr>
        <w:t xml:space="preserve">The new curriculum provides Trainees with a minimal level of competency. </w:t>
      </w:r>
      <w:r w:rsidRPr="00E413D3">
        <w:t xml:space="preserve">Stakeholders commonly attribute this to the curriculum sacrificing depth of knowledge </w:t>
      </w:r>
      <w:proofErr w:type="gramStart"/>
      <w:r w:rsidRPr="00E413D3">
        <w:t>in order to</w:t>
      </w:r>
      <w:proofErr w:type="gramEnd"/>
      <w:r w:rsidRPr="00E413D3">
        <w:t xml:space="preserve"> cover the curriculum within a three-year time frame (see </w:t>
      </w:r>
      <w:r w:rsidR="00557DB7">
        <w:t>subparagraph</w:t>
      </w:r>
      <w:r w:rsidR="000513CA">
        <w:t xml:space="preserve"> </w:t>
      </w:r>
      <w:r w:rsidR="000513CA" w:rsidRPr="000513CA">
        <w:rPr>
          <w:i/>
          <w:iCs/>
        </w:rPr>
        <w:fldChar w:fldCharType="begin" w:fldLock="1"/>
      </w:r>
      <w:r w:rsidR="000513CA" w:rsidRPr="000513CA">
        <w:rPr>
          <w:i/>
          <w:iCs/>
        </w:rPr>
        <w:instrText xml:space="preserve"> REF _Ref181963173 \h </w:instrText>
      </w:r>
      <w:r w:rsidR="000513CA">
        <w:rPr>
          <w:i/>
          <w:iCs/>
        </w:rPr>
        <w:instrText xml:space="preserve"> \* MERGEFORMAT </w:instrText>
      </w:r>
      <w:r w:rsidR="000513CA" w:rsidRPr="000513CA">
        <w:rPr>
          <w:i/>
          <w:iCs/>
        </w:rPr>
      </w:r>
      <w:r w:rsidR="000513CA" w:rsidRPr="000513CA">
        <w:rPr>
          <w:i/>
          <w:iCs/>
        </w:rPr>
        <w:fldChar w:fldCharType="separate"/>
      </w:r>
      <w:r w:rsidR="00D35A75" w:rsidRPr="00D35A75">
        <w:rPr>
          <w:i/>
          <w:iCs/>
        </w:rPr>
        <w:t>Effectiveness of TEAP design</w:t>
      </w:r>
      <w:r w:rsidR="000513CA" w:rsidRPr="000513CA">
        <w:rPr>
          <w:i/>
          <w:iCs/>
        </w:rPr>
        <w:fldChar w:fldCharType="end"/>
      </w:r>
      <w:r w:rsidR="00557DB7">
        <w:t>)</w:t>
      </w:r>
      <w:r w:rsidRPr="00E413D3">
        <w:t xml:space="preserve">. </w:t>
      </w:r>
    </w:p>
    <w:p w14:paraId="661EA6EB" w14:textId="7B3747BC" w:rsidR="00520254" w:rsidRPr="00E413D3" w:rsidRDefault="00520254" w:rsidP="00584EC6">
      <w:pPr>
        <w:pStyle w:val="BodyText"/>
        <w:numPr>
          <w:ilvl w:val="0"/>
          <w:numId w:val="41"/>
        </w:numPr>
      </w:pPr>
      <w:r w:rsidRPr="00DC27F5">
        <w:rPr>
          <w:b/>
        </w:rPr>
        <w:t xml:space="preserve">Limited focus on professional development opportunities. </w:t>
      </w:r>
      <w:r w:rsidRPr="00E413D3">
        <w:t xml:space="preserve">The role of a medical physicists </w:t>
      </w:r>
      <w:proofErr w:type="gramStart"/>
      <w:r w:rsidRPr="00E413D3">
        <w:t>include</w:t>
      </w:r>
      <w:proofErr w:type="gramEnd"/>
      <w:r w:rsidRPr="00E413D3">
        <w:t xml:space="preserve"> communicating with patients and colleagues, however stakeholders noted that these soft skills are not covered by the curriculum and are instead expected to be developed throughout the Registrar’s career. These soft skills were cited during consultations as a key skill gap of some Registrars. There were some examples of private providers filling this knowledge gap by employing </w:t>
      </w:r>
      <w:proofErr w:type="gramStart"/>
      <w:r w:rsidRPr="00E413D3">
        <w:t>Masters</w:t>
      </w:r>
      <w:proofErr w:type="gramEnd"/>
      <w:r w:rsidRPr="00E413D3">
        <w:t xml:space="preserve"> students as ‘scientific officers’ prior to enrolling in the ROMP TEAP.</w:t>
      </w:r>
    </w:p>
    <w:p w14:paraId="36B5A733" w14:textId="7EE0F6CA" w:rsidR="000054F8" w:rsidRPr="00520254" w:rsidRDefault="00411406" w:rsidP="00584EC6">
      <w:pPr>
        <w:pStyle w:val="BodyText"/>
        <w:numPr>
          <w:ilvl w:val="0"/>
          <w:numId w:val="41"/>
        </w:numPr>
      </w:pPr>
      <w:r>
        <w:rPr>
          <w:b/>
        </w:rPr>
        <w:t>Challenges to standardisation of q</w:t>
      </w:r>
      <w:r w:rsidR="00520254" w:rsidRPr="00DC27F5">
        <w:rPr>
          <w:b/>
        </w:rPr>
        <w:t xml:space="preserve">uality of </w:t>
      </w:r>
      <w:r w:rsidR="00214618" w:rsidRPr="00DC27F5">
        <w:rPr>
          <w:b/>
        </w:rPr>
        <w:t>training.</w:t>
      </w:r>
      <w:r w:rsidR="00520254" w:rsidRPr="00E413D3">
        <w:t xml:space="preserve"> As discussed in </w:t>
      </w:r>
      <w:r w:rsidR="00520254" w:rsidRPr="007A460D">
        <w:t xml:space="preserve">Section </w:t>
      </w:r>
      <w:r w:rsidR="007A460D" w:rsidRPr="007A460D">
        <w:fldChar w:fldCharType="begin" w:fldLock="1"/>
      </w:r>
      <w:r w:rsidR="007A460D" w:rsidRPr="007A460D">
        <w:instrText xml:space="preserve"> REF _Ref181946606 \r \h </w:instrText>
      </w:r>
      <w:r w:rsidR="007A460D">
        <w:instrText xml:space="preserve"> \* MERGEFORMAT </w:instrText>
      </w:r>
      <w:r w:rsidR="007A460D" w:rsidRPr="007A460D">
        <w:fldChar w:fldCharType="separate"/>
      </w:r>
      <w:r w:rsidR="00D35A75">
        <w:t>3.1</w:t>
      </w:r>
      <w:r w:rsidR="007A460D" w:rsidRPr="007A460D">
        <w:fldChar w:fldCharType="end"/>
      </w:r>
      <w:r w:rsidR="00520254" w:rsidRPr="007A460D">
        <w:t>,</w:t>
      </w:r>
      <w:r w:rsidR="00520254" w:rsidRPr="00E413D3">
        <w:t xml:space="preserve"> Supervisors play a pivotal role in a Registrar’s training which includes establishing the Registrar’s training plan assessing their competency. As such, depth and quality of training </w:t>
      </w:r>
      <w:proofErr w:type="gramStart"/>
      <w:r w:rsidR="00520254" w:rsidRPr="00E413D3">
        <w:t>varies</w:t>
      </w:r>
      <w:proofErr w:type="gramEnd"/>
      <w:r w:rsidR="00520254" w:rsidRPr="00E413D3">
        <w:t xml:space="preserve"> for each Registrar. Additionally, the training received by Registrars varies according to the remoteness of their facility, with regional facilities having more limited access to equipment when compared with facilities in metropolitan areas. However, this can be partly offset by </w:t>
      </w:r>
      <w:r w:rsidR="00621A74">
        <w:t>ACPSEM strategies to monitor skills and competencies</w:t>
      </w:r>
      <w:r w:rsidR="000231B9">
        <w:t xml:space="preserve"> of training and supervision (see Section </w:t>
      </w:r>
      <w:r w:rsidR="000231B9">
        <w:fldChar w:fldCharType="begin" w:fldLock="1"/>
      </w:r>
      <w:r w:rsidR="000231B9">
        <w:instrText xml:space="preserve"> REF _Ref182582028 \r \h </w:instrText>
      </w:r>
      <w:r w:rsidR="000231B9">
        <w:fldChar w:fldCharType="separate"/>
      </w:r>
      <w:r w:rsidR="000231B9">
        <w:rPr>
          <w:cs/>
        </w:rPr>
        <w:t>‎</w:t>
      </w:r>
      <w:r w:rsidR="000231B9">
        <w:t>3.1.1</w:t>
      </w:r>
      <w:r w:rsidR="000231B9">
        <w:fldChar w:fldCharType="end"/>
      </w:r>
      <w:r w:rsidR="000231B9">
        <w:t xml:space="preserve">) and </w:t>
      </w:r>
      <w:r w:rsidR="00520254" w:rsidRPr="00E413D3">
        <w:t xml:space="preserve">facility collaboration and partnership (see </w:t>
      </w:r>
      <w:r w:rsidR="00520254" w:rsidRPr="007A460D">
        <w:t xml:space="preserve">Section </w:t>
      </w:r>
      <w:r w:rsidR="007A460D" w:rsidRPr="007A460D">
        <w:fldChar w:fldCharType="begin" w:fldLock="1"/>
      </w:r>
      <w:r w:rsidR="007A460D" w:rsidRPr="007A460D">
        <w:instrText xml:space="preserve"> REF _Ref181946606 \r \h </w:instrText>
      </w:r>
      <w:r w:rsidR="007A460D">
        <w:instrText xml:space="preserve"> \* MERGEFORMAT </w:instrText>
      </w:r>
      <w:r w:rsidR="007A460D" w:rsidRPr="007A460D">
        <w:fldChar w:fldCharType="separate"/>
      </w:r>
      <w:r w:rsidR="00D35A75">
        <w:t>3.1</w:t>
      </w:r>
      <w:r w:rsidR="007A460D" w:rsidRPr="007A460D">
        <w:fldChar w:fldCharType="end"/>
      </w:r>
      <w:r w:rsidR="00735844">
        <w:t>.5</w:t>
      </w:r>
      <w:r w:rsidR="00E007FF">
        <w:t xml:space="preserve">). </w:t>
      </w:r>
      <w:r w:rsidR="00520254" w:rsidRPr="00E413D3">
        <w:t xml:space="preserve">These factors create varying proficiency levels across </w:t>
      </w:r>
      <w:r w:rsidR="00032918">
        <w:t>TEAP graduates</w:t>
      </w:r>
      <w:r w:rsidR="00520254" w:rsidRPr="00E413D3">
        <w:t xml:space="preserve">. </w:t>
      </w:r>
    </w:p>
    <w:p w14:paraId="7247D8C8" w14:textId="77777777" w:rsidR="00384D37" w:rsidRPr="001B2509" w:rsidRDefault="00384D37" w:rsidP="001B2509">
      <w:bookmarkStart w:id="216" w:name="_Toc177566829"/>
      <w:bookmarkStart w:id="217" w:name="_Toc178240809"/>
      <w:bookmarkEnd w:id="173"/>
    </w:p>
    <w:p w14:paraId="32F85FD4" w14:textId="77777777" w:rsidR="007E2B9F" w:rsidRDefault="007E2B9F">
      <w:pPr>
        <w:spacing w:before="0" w:after="160" w:line="259" w:lineRule="auto"/>
        <w:sectPr w:rsidR="007E2B9F" w:rsidSect="00773E5E">
          <w:headerReference w:type="default" r:id="rId63"/>
          <w:pgSz w:w="11906" w:h="16838"/>
          <w:pgMar w:top="1701" w:right="1134" w:bottom="1134" w:left="1134" w:header="709" w:footer="454" w:gutter="0"/>
          <w:cols w:space="708"/>
          <w:docGrid w:linePitch="360"/>
        </w:sectPr>
      </w:pPr>
    </w:p>
    <w:p w14:paraId="01E093AD" w14:textId="6A7443DE" w:rsidR="00384D37" w:rsidRPr="00384D37" w:rsidRDefault="00A91D81" w:rsidP="00DF3DFD">
      <w:pPr>
        <w:pStyle w:val="Heading1"/>
      </w:pPr>
      <w:bookmarkStart w:id="218" w:name="_Toc184396572"/>
      <w:bookmarkStart w:id="219" w:name="_Toc216711603"/>
      <w:bookmarkStart w:id="220" w:name="_Toc216792000"/>
      <w:r>
        <w:t>Conclusion &amp; recommendations</w:t>
      </w:r>
      <w:bookmarkEnd w:id="218"/>
      <w:bookmarkEnd w:id="219"/>
      <w:bookmarkEnd w:id="220"/>
    </w:p>
    <w:p w14:paraId="1322B7E9" w14:textId="77E4EAD7" w:rsidR="00394CE2" w:rsidRDefault="00DC10C3">
      <w:pPr>
        <w:spacing w:before="0" w:after="160" w:line="259" w:lineRule="auto"/>
        <w:rPr>
          <w:rFonts w:cs="Arial"/>
        </w:rPr>
      </w:pPr>
      <w:proofErr w:type="gramStart"/>
      <w:r w:rsidRPr="00194457">
        <w:rPr>
          <w:rFonts w:cs="Arial"/>
        </w:rPr>
        <w:t>A number of</w:t>
      </w:r>
      <w:proofErr w:type="gramEnd"/>
      <w:r w:rsidRPr="00194457">
        <w:rPr>
          <w:rFonts w:cs="Arial"/>
        </w:rPr>
        <w:t xml:space="preserve"> recommendations were identified through the course of this evaluation</w:t>
      </w:r>
      <w:r w:rsidR="001B1062">
        <w:rPr>
          <w:rFonts w:cs="Arial"/>
        </w:rPr>
        <w:t>. These recommendations are intended</w:t>
      </w:r>
      <w:r w:rsidR="00437C6A" w:rsidRPr="00194457">
        <w:rPr>
          <w:rFonts w:cs="Arial"/>
        </w:rPr>
        <w:t xml:space="preserve"> to </w:t>
      </w:r>
      <w:r w:rsidR="001B1062">
        <w:rPr>
          <w:rFonts w:cs="Arial"/>
        </w:rPr>
        <w:t xml:space="preserve">improve </w:t>
      </w:r>
      <w:r w:rsidR="00437C6A" w:rsidRPr="00194457">
        <w:rPr>
          <w:rFonts w:cs="Arial"/>
        </w:rPr>
        <w:t xml:space="preserve">the </w:t>
      </w:r>
      <w:r w:rsidR="00394CE2" w:rsidRPr="00194457">
        <w:rPr>
          <w:rFonts w:cs="Arial"/>
        </w:rPr>
        <w:t>implementation, delivery</w:t>
      </w:r>
      <w:r w:rsidR="00C74573">
        <w:rPr>
          <w:rFonts w:cs="Arial"/>
        </w:rPr>
        <w:t>,</w:t>
      </w:r>
      <w:r w:rsidR="00394CE2" w:rsidRPr="00194457">
        <w:rPr>
          <w:rFonts w:cs="Arial"/>
        </w:rPr>
        <w:t xml:space="preserve"> and effectiveness of the MPS Program, and over time, better t</w:t>
      </w:r>
      <w:r w:rsidR="003D28E2">
        <w:rPr>
          <w:rFonts w:cs="Arial"/>
        </w:rPr>
        <w:t>r</w:t>
      </w:r>
      <w:r w:rsidR="00394CE2" w:rsidRPr="00194457">
        <w:rPr>
          <w:rFonts w:cs="Arial"/>
        </w:rPr>
        <w:t xml:space="preserve">ack the contribution of the </w:t>
      </w:r>
      <w:r w:rsidR="004E098C">
        <w:rPr>
          <w:rFonts w:cs="Arial"/>
        </w:rPr>
        <w:t>MPS P</w:t>
      </w:r>
      <w:r w:rsidR="00394CE2" w:rsidRPr="00194457">
        <w:rPr>
          <w:rFonts w:cs="Arial"/>
        </w:rPr>
        <w:t xml:space="preserve">rogram in supporting the </w:t>
      </w:r>
      <w:r w:rsidR="009D2891">
        <w:rPr>
          <w:rFonts w:cs="Arial"/>
        </w:rPr>
        <w:t>m</w:t>
      </w:r>
      <w:r w:rsidR="00394CE2" w:rsidRPr="00194457">
        <w:rPr>
          <w:rFonts w:cs="Arial"/>
        </w:rPr>
        <w:t xml:space="preserve">edical </w:t>
      </w:r>
      <w:r w:rsidR="009D2891">
        <w:rPr>
          <w:rFonts w:cs="Arial"/>
        </w:rPr>
        <w:t>p</w:t>
      </w:r>
      <w:r w:rsidR="00394CE2" w:rsidRPr="00194457">
        <w:rPr>
          <w:rFonts w:cs="Arial"/>
        </w:rPr>
        <w:t xml:space="preserve">hysicist workforce. </w:t>
      </w:r>
    </w:p>
    <w:p w14:paraId="760C2C4D" w14:textId="665FE7F7" w:rsidR="007E2B9F" w:rsidRDefault="009D2212">
      <w:pPr>
        <w:spacing w:before="0" w:after="160" w:line="259" w:lineRule="auto"/>
        <w:rPr>
          <w:rFonts w:cs="Arial"/>
        </w:rPr>
      </w:pPr>
      <w:r>
        <w:rPr>
          <w:rFonts w:cs="Arial"/>
        </w:rPr>
        <w:fldChar w:fldCharType="begin" w:fldLock="1"/>
      </w:r>
      <w:r>
        <w:rPr>
          <w:rFonts w:cs="Arial"/>
        </w:rPr>
        <w:instrText xml:space="preserve"> REF _Ref184368254 \h  \* MERGEFORMAT </w:instrText>
      </w:r>
      <w:r>
        <w:rPr>
          <w:rFonts w:cs="Arial"/>
        </w:rPr>
      </w:r>
      <w:r>
        <w:rPr>
          <w:rFonts w:cs="Arial"/>
        </w:rPr>
        <w:fldChar w:fldCharType="separate"/>
      </w:r>
      <w:r w:rsidRPr="009D2212">
        <w:rPr>
          <w:rFonts w:cs="Arial"/>
        </w:rPr>
        <w:t>Table 2</w:t>
      </w:r>
      <w:r>
        <w:rPr>
          <w:rFonts w:cs="Arial"/>
        </w:rPr>
        <w:fldChar w:fldCharType="end"/>
      </w:r>
      <w:r w:rsidR="00E95A3B">
        <w:rPr>
          <w:rFonts w:cs="Arial"/>
        </w:rPr>
        <w:t xml:space="preserve"> </w:t>
      </w:r>
      <w:r w:rsidR="00394CE2">
        <w:rPr>
          <w:rFonts w:cs="Arial"/>
        </w:rPr>
        <w:t xml:space="preserve">outlines </w:t>
      </w:r>
      <w:r w:rsidR="00F93E71">
        <w:rPr>
          <w:rFonts w:cs="Arial"/>
        </w:rPr>
        <w:t>eight recommendations with reference to the applicable KEQ, the relevant findings</w:t>
      </w:r>
      <w:r w:rsidR="00A91C55">
        <w:rPr>
          <w:rFonts w:cs="Arial"/>
        </w:rPr>
        <w:t>,</w:t>
      </w:r>
      <w:r w:rsidR="00F93E71">
        <w:rPr>
          <w:rFonts w:cs="Arial"/>
        </w:rPr>
        <w:t xml:space="preserve"> and the implications of those findings. </w:t>
      </w:r>
      <w:r w:rsidR="003D28E2">
        <w:rPr>
          <w:rFonts w:cs="Arial"/>
        </w:rPr>
        <w:t xml:space="preserve">The recommendations made are to further support the quality of service and distribution of the </w:t>
      </w:r>
      <w:r w:rsidR="009D2891">
        <w:rPr>
          <w:rFonts w:cs="Arial"/>
        </w:rPr>
        <w:t>m</w:t>
      </w:r>
      <w:r w:rsidR="003D28E2">
        <w:rPr>
          <w:rFonts w:cs="Arial"/>
        </w:rPr>
        <w:t xml:space="preserve">edical </w:t>
      </w:r>
      <w:r w:rsidR="009D2891">
        <w:rPr>
          <w:rFonts w:cs="Arial"/>
        </w:rPr>
        <w:t>p</w:t>
      </w:r>
      <w:r w:rsidR="003D28E2">
        <w:rPr>
          <w:rFonts w:cs="Arial"/>
        </w:rPr>
        <w:t xml:space="preserve">hysicist workforce, along with </w:t>
      </w:r>
      <w:r w:rsidR="007E2B9F">
        <w:rPr>
          <w:rFonts w:cs="Arial"/>
        </w:rPr>
        <w:t xml:space="preserve">ensuring </w:t>
      </w:r>
      <w:r w:rsidR="003D28E2">
        <w:rPr>
          <w:rFonts w:cs="Arial"/>
        </w:rPr>
        <w:t xml:space="preserve">the ongoing </w:t>
      </w:r>
      <w:r w:rsidR="007E2B9F">
        <w:rPr>
          <w:rFonts w:cs="Arial"/>
        </w:rPr>
        <w:t>appropriateness and</w:t>
      </w:r>
      <w:r w:rsidR="003D28E2">
        <w:rPr>
          <w:rFonts w:cs="Arial"/>
        </w:rPr>
        <w:t xml:space="preserve"> viability of</w:t>
      </w:r>
      <w:r w:rsidR="00F93E71" w:rsidRPr="00F93E71">
        <w:rPr>
          <w:rFonts w:cs="Arial"/>
        </w:rPr>
        <w:t xml:space="preserve"> </w:t>
      </w:r>
      <w:r w:rsidR="007E2B9F">
        <w:rPr>
          <w:rFonts w:cs="Arial"/>
        </w:rPr>
        <w:t xml:space="preserve">the MPS Program and its ability to demonstrate value to decision makers. </w:t>
      </w:r>
    </w:p>
    <w:bookmarkStart w:id="221" w:name="_Ref184385183"/>
    <w:p w14:paraId="77640FC4" w14:textId="282FE083" w:rsidR="00866ED3" w:rsidRPr="00882819" w:rsidRDefault="00F718B0" w:rsidP="00866ED3">
      <w:pPr>
        <w:pStyle w:val="Caption"/>
        <w:rPr>
          <w:rFonts w:eastAsiaTheme="minorHAnsi"/>
        </w:rPr>
      </w:pPr>
      <w:r>
        <w:fldChar w:fldCharType="begin" w:fldLock="1"/>
      </w:r>
      <w:r>
        <w:instrText xml:space="preserve"> REF _Ref184387447 \h </w:instrText>
      </w:r>
      <w:r>
        <w:fldChar w:fldCharType="separate"/>
      </w:r>
      <w:r>
        <w:t xml:space="preserve">Table </w:t>
      </w:r>
      <w:r>
        <w:rPr>
          <w:noProof/>
        </w:rPr>
        <w:t>2</w:t>
      </w:r>
      <w:r>
        <w:t>: Recommendations from the evaluation of the MPS Program</w:t>
      </w:r>
      <w:r>
        <w:fldChar w:fldCharType="end"/>
      </w:r>
      <w:bookmarkEnd w:id="221"/>
    </w:p>
    <w:tbl>
      <w:tblPr>
        <w:tblStyle w:val="GridTable1Light-Accent1"/>
        <w:tblW w:w="0" w:type="auto"/>
        <w:tblLook w:val="04A0" w:firstRow="1" w:lastRow="0" w:firstColumn="1" w:lastColumn="0" w:noHBand="0" w:noVBand="1"/>
      </w:tblPr>
      <w:tblGrid>
        <w:gridCol w:w="1985"/>
        <w:gridCol w:w="3969"/>
        <w:gridCol w:w="3544"/>
        <w:gridCol w:w="4505"/>
      </w:tblGrid>
      <w:tr w:rsidR="00866ED3" w:rsidRPr="00172A97" w14:paraId="591895BD" w14:textId="77777777" w:rsidTr="001B2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tcBorders>
            <w:shd w:val="clear" w:color="auto" w:fill="F1F4FE"/>
          </w:tcPr>
          <w:p w14:paraId="54BDCAD6" w14:textId="77777777" w:rsidR="00866ED3" w:rsidRPr="001B2509" w:rsidRDefault="00866ED3" w:rsidP="001B2509">
            <w:r w:rsidRPr="001B2509">
              <w:t>KEQ</w:t>
            </w:r>
          </w:p>
        </w:tc>
        <w:tc>
          <w:tcPr>
            <w:tcW w:w="0" w:type="dxa"/>
            <w:tcBorders>
              <w:top w:val="nil"/>
            </w:tcBorders>
          </w:tcPr>
          <w:p w14:paraId="101B5EAB" w14:textId="77777777" w:rsidR="00866ED3" w:rsidRPr="001B2509" w:rsidRDefault="00866ED3" w:rsidP="001B2509">
            <w:pPr>
              <w:cnfStyle w:val="100000000000" w:firstRow="1" w:lastRow="0" w:firstColumn="0" w:lastColumn="0" w:oddVBand="0" w:evenVBand="0" w:oddHBand="0" w:evenHBand="0" w:firstRowFirstColumn="0" w:firstRowLastColumn="0" w:lastRowFirstColumn="0" w:lastRowLastColumn="0"/>
            </w:pPr>
            <w:r w:rsidRPr="001B2509">
              <w:t>Relevant findings</w:t>
            </w:r>
          </w:p>
        </w:tc>
        <w:tc>
          <w:tcPr>
            <w:tcW w:w="0" w:type="dxa"/>
            <w:tcBorders>
              <w:top w:val="nil"/>
            </w:tcBorders>
          </w:tcPr>
          <w:p w14:paraId="050B8152" w14:textId="77777777" w:rsidR="00866ED3" w:rsidRPr="001B2509" w:rsidRDefault="00866ED3" w:rsidP="001B2509">
            <w:pPr>
              <w:cnfStyle w:val="100000000000" w:firstRow="1" w:lastRow="0" w:firstColumn="0" w:lastColumn="0" w:oddVBand="0" w:evenVBand="0" w:oddHBand="0" w:evenHBand="0" w:firstRowFirstColumn="0" w:firstRowLastColumn="0" w:lastRowFirstColumn="0" w:lastRowLastColumn="0"/>
            </w:pPr>
            <w:r w:rsidRPr="001B2509">
              <w:t>Implications</w:t>
            </w:r>
          </w:p>
        </w:tc>
        <w:tc>
          <w:tcPr>
            <w:tcW w:w="0" w:type="dxa"/>
            <w:tcBorders>
              <w:top w:val="nil"/>
              <w:right w:val="nil"/>
            </w:tcBorders>
          </w:tcPr>
          <w:p w14:paraId="256CC6EF" w14:textId="77777777" w:rsidR="00866ED3" w:rsidRPr="001B2509" w:rsidRDefault="00866ED3" w:rsidP="001B2509">
            <w:pPr>
              <w:cnfStyle w:val="100000000000" w:firstRow="1" w:lastRow="0" w:firstColumn="0" w:lastColumn="0" w:oddVBand="0" w:evenVBand="0" w:oddHBand="0" w:evenHBand="0" w:firstRowFirstColumn="0" w:firstRowLastColumn="0" w:lastRowFirstColumn="0" w:lastRowLastColumn="0"/>
            </w:pPr>
            <w:r w:rsidRPr="001B2509">
              <w:t>Recommendations</w:t>
            </w:r>
          </w:p>
        </w:tc>
      </w:tr>
      <w:tr w:rsidR="00866ED3" w14:paraId="081B1A6B"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shd w:val="clear" w:color="auto" w:fill="F1F4FE"/>
          </w:tcPr>
          <w:p w14:paraId="1F35687A" w14:textId="4FC4CC71" w:rsidR="00866ED3" w:rsidRPr="00DC5F7B" w:rsidRDefault="00866ED3">
            <w:pPr>
              <w:pStyle w:val="BodyText"/>
            </w:pPr>
            <w:r w:rsidRPr="00E944E9">
              <w:t>KEQ1:</w:t>
            </w:r>
          </w:p>
          <w:p w14:paraId="5EF5CA9D" w14:textId="77777777" w:rsidR="00866ED3" w:rsidRPr="009B2D03" w:rsidRDefault="00866ED3">
            <w:pPr>
              <w:pStyle w:val="BodyText"/>
              <w:rPr>
                <w:b w:val="0"/>
                <w:i/>
              </w:rPr>
            </w:pPr>
            <w:r w:rsidRPr="009B2D03">
              <w:rPr>
                <w:b w:val="0"/>
                <w:i/>
              </w:rPr>
              <w:t>Has the MPS Program been implemented as intended?</w:t>
            </w:r>
          </w:p>
        </w:tc>
        <w:tc>
          <w:tcPr>
            <w:tcW w:w="0" w:type="dxa"/>
            <w:tcBorders>
              <w:bottom w:val="single" w:sz="4" w:space="0" w:color="6BA0FF" w:themeColor="accent1" w:themeTint="66"/>
            </w:tcBorders>
          </w:tcPr>
          <w:p w14:paraId="166ACF04" w14:textId="77777777" w:rsidR="00866ED3" w:rsidRPr="00194457" w:rsidRDefault="00866ED3" w:rsidP="00194457">
            <w:pPr>
              <w:pStyle w:val="BodyText"/>
              <w:cnfStyle w:val="000000000000" w:firstRow="0" w:lastRow="0" w:firstColumn="0" w:lastColumn="0" w:oddVBand="0" w:evenVBand="0" w:oddHBand="0" w:evenHBand="0" w:firstRowFirstColumn="0" w:firstRowLastColumn="0" w:lastRowFirstColumn="0" w:lastRowLastColumn="0"/>
              <w:rPr>
                <w:b/>
              </w:rPr>
            </w:pPr>
            <w:r>
              <w:rPr>
                <w:b/>
                <w:bCs/>
              </w:rPr>
              <w:t>Variability in training delivery</w:t>
            </w:r>
          </w:p>
          <w:p w14:paraId="1A948819" w14:textId="77777777" w:rsidR="00866ED3" w:rsidRPr="001B2509"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While ACPSEM provides some supporting materials, some facilities and/or jurisd</w:t>
            </w:r>
            <w:r w:rsidRPr="001B2509">
              <w:t xml:space="preserve">ictions fund the development of their own supports and resources in response to program gaps. </w:t>
            </w:r>
          </w:p>
          <w:p w14:paraId="4F35F109" w14:textId="77777777" w:rsidR="00866ED3" w:rsidRPr="001B2509"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rsidRPr="001B2509">
              <w:t>There is an onus on facilities and Supervisors to develop training resources and provide support outside of what is provided by ACPSEM.</w:t>
            </w:r>
          </w:p>
          <w:p w14:paraId="636CCAD2"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rsidRPr="001B2509">
              <w:t>Supervisors have considerable influence over the depth and quality of training and Reg</w:t>
            </w:r>
            <w:r>
              <w:t>istrar experience.</w:t>
            </w:r>
          </w:p>
          <w:p w14:paraId="5FADD159" w14:textId="77777777" w:rsidR="00866ED3" w:rsidRDefault="00866ED3" w:rsidP="00584EC6">
            <w:pPr>
              <w:pStyle w:val="BodyText"/>
              <w:numPr>
                <w:ilvl w:val="0"/>
                <w:numId w:val="51"/>
              </w:numPr>
              <w:cnfStyle w:val="000000000000" w:firstRow="0" w:lastRow="0" w:firstColumn="0" w:lastColumn="0" w:oddVBand="0" w:evenVBand="0" w:oddHBand="0" w:evenHBand="0" w:firstRowFirstColumn="0" w:firstRowLastColumn="0" w:lastRowFirstColumn="0" w:lastRowLastColumn="0"/>
            </w:pPr>
            <w:r>
              <w:t>Protected time for Supervisors and Registrars is determined at the facility level.</w:t>
            </w:r>
          </w:p>
        </w:tc>
        <w:tc>
          <w:tcPr>
            <w:tcW w:w="0" w:type="dxa"/>
            <w:tcBorders>
              <w:bottom w:val="single" w:sz="4" w:space="0" w:color="6BA0FF" w:themeColor="accent1" w:themeTint="66"/>
            </w:tcBorders>
          </w:tcPr>
          <w:p w14:paraId="2A45353A" w14:textId="77777777" w:rsidR="00866ED3" w:rsidRPr="00194457" w:rsidRDefault="00866ED3" w:rsidP="00194457">
            <w:pPr>
              <w:pStyle w:val="BodyText"/>
              <w:cnfStyle w:val="000000000000" w:firstRow="0" w:lastRow="0" w:firstColumn="0" w:lastColumn="0" w:oddVBand="0" w:evenVBand="0" w:oddHBand="0" w:evenHBand="0" w:firstRowFirstColumn="0" w:firstRowLastColumn="0" w:lastRowFirstColumn="0" w:lastRowLastColumn="0"/>
              <w:rPr>
                <w:b/>
              </w:rPr>
            </w:pPr>
            <w:r>
              <w:rPr>
                <w:b/>
                <w:bCs/>
              </w:rPr>
              <w:t>Variability in TEAP experiences and outcomes</w:t>
            </w:r>
          </w:p>
          <w:p w14:paraId="3C17A925"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TEAP experiences for Registrars and Supervisors, and the level of support and resources received, vary across both jurisdictions and facilities.</w:t>
            </w:r>
          </w:p>
          <w:p w14:paraId="72C0B752"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The standardisation of training may be impacted, with the quality of Registrar training and training outcomes varying across jurisdictions.</w:t>
            </w:r>
          </w:p>
          <w:p w14:paraId="6645BE8C"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There is some duplication of effort across jurisdictions and facilities, creating inefficiencies. </w:t>
            </w:r>
          </w:p>
        </w:tc>
        <w:tc>
          <w:tcPr>
            <w:tcW w:w="0" w:type="dxa"/>
            <w:tcBorders>
              <w:bottom w:val="single" w:sz="4" w:space="0" w:color="6BA0FF" w:themeColor="accent1" w:themeTint="66"/>
              <w:right w:val="nil"/>
            </w:tcBorders>
          </w:tcPr>
          <w:p w14:paraId="1CABE125"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Pr>
                <w:b/>
                <w:bCs/>
              </w:rPr>
              <w:t>Consistency of TEAP experience</w:t>
            </w:r>
          </w:p>
          <w:p w14:paraId="08E90B95"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pPr>
            <w:r>
              <w:t>The Department should consult with ACPSEM and jurisdictions to review the delivery of the TEAP across jurisdictions and facilities, with a view to improve consistency of the TEAP experience for both Registrars and Supervisors. The review should focus on:</w:t>
            </w:r>
          </w:p>
          <w:p w14:paraId="6F6DFD03"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Identifying gaps and duplicative effort in support, guidance materials and resources across facilities and </w:t>
            </w:r>
            <w:proofErr w:type="gramStart"/>
            <w:r>
              <w:t>jurisdictions;</w:t>
            </w:r>
            <w:proofErr w:type="gramEnd"/>
            <w:r>
              <w:t xml:space="preserve"> </w:t>
            </w:r>
          </w:p>
          <w:p w14:paraId="69904A88"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The equitable distribution of these supports; and </w:t>
            </w:r>
          </w:p>
          <w:p w14:paraId="5F8839B7" w14:textId="4BE3F67F"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V</w:t>
            </w:r>
            <w:r w:rsidRPr="00EB3D52">
              <w:t>ariations in the delivery of training across facilities and jurisdictions</w:t>
            </w:r>
            <w:r>
              <w:t>, with a view to work with ACPSEM to incorporate additional supports pending the review outcome</w:t>
            </w:r>
            <w:r w:rsidRPr="00EB3D52">
              <w:t>.</w:t>
            </w:r>
          </w:p>
        </w:tc>
      </w:tr>
      <w:tr w:rsidR="003E3573" w14:paraId="60D51372" w14:textId="77777777" w:rsidTr="00E264AF">
        <w:trPr>
          <w:cantSplit/>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il"/>
            </w:tcBorders>
            <w:shd w:val="clear" w:color="auto" w:fill="F1F4FE"/>
          </w:tcPr>
          <w:p w14:paraId="12D134CB" w14:textId="0374521D" w:rsidR="00866ED3" w:rsidRPr="00DC5F7B" w:rsidRDefault="00866ED3">
            <w:pPr>
              <w:pStyle w:val="BodyText"/>
            </w:pPr>
            <w:r w:rsidRPr="00DC5F7B">
              <w:t>KEQ2:</w:t>
            </w:r>
          </w:p>
          <w:p w14:paraId="68583859" w14:textId="7EB5C847" w:rsidR="00866ED3" w:rsidRPr="001B2509" w:rsidRDefault="00866ED3" w:rsidP="001B2509">
            <w:pPr>
              <w:pStyle w:val="BodyText"/>
              <w:rPr>
                <w:i/>
              </w:rPr>
            </w:pPr>
            <w:r w:rsidRPr="009B2D03">
              <w:rPr>
                <w:b w:val="0"/>
                <w:i/>
              </w:rPr>
              <w:t>Is the MPS Program still the right response?</w:t>
            </w:r>
          </w:p>
        </w:tc>
        <w:tc>
          <w:tcPr>
            <w:tcW w:w="3969" w:type="dxa"/>
            <w:tcBorders>
              <w:bottom w:val="single" w:sz="4" w:space="0" w:color="1E49E2" w:themeColor="accent2"/>
            </w:tcBorders>
          </w:tcPr>
          <w:p w14:paraId="1B769CDB" w14:textId="77777777" w:rsidR="00866ED3" w:rsidRPr="00194457" w:rsidRDefault="00866ED3" w:rsidP="00194457">
            <w:pPr>
              <w:pStyle w:val="BodyText"/>
              <w:cnfStyle w:val="000000000000" w:firstRow="0" w:lastRow="0" w:firstColumn="0" w:lastColumn="0" w:oddVBand="0" w:evenVBand="0" w:oddHBand="0" w:evenHBand="0" w:firstRowFirstColumn="0" w:firstRowLastColumn="0" w:lastRowFirstColumn="0" w:lastRowLastColumn="0"/>
              <w:rPr>
                <w:b/>
              </w:rPr>
            </w:pPr>
            <w:r>
              <w:rPr>
                <w:b/>
                <w:bCs/>
              </w:rPr>
              <w:t>Workforce value and future needs</w:t>
            </w:r>
          </w:p>
          <w:p w14:paraId="306C2DF7"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Medical physicists are critical to ensuring safe, quality and effective patient diagnosis and treatment in areas of radiotherapy, nuclear medicine, and diagnostic radiology. </w:t>
            </w:r>
          </w:p>
          <w:p w14:paraId="2A453F2D" w14:textId="48F8D461" w:rsidR="00866ED3" w:rsidRDefault="00866ED3" w:rsidP="00E264AF">
            <w:pPr>
              <w:pStyle w:val="ListBullet"/>
              <w:cnfStyle w:val="000000000000" w:firstRow="0" w:lastRow="0" w:firstColumn="0" w:lastColumn="0" w:oddVBand="0" w:evenVBand="0" w:oddHBand="0" w:evenHBand="0" w:firstRowFirstColumn="0" w:firstRowLastColumn="0" w:lastRowFirstColumn="0" w:lastRowLastColumn="0"/>
            </w:pPr>
            <w:r>
              <w:t xml:space="preserve">As demand for medical physicist and RPS services is projected to rise, the workforce faces challenges of meeting demand, workforce distribution, and responding to advancements in </w:t>
            </w:r>
            <w:proofErr w:type="spellStart"/>
            <w:r>
              <w:t>technoogies</w:t>
            </w:r>
            <w:proofErr w:type="spellEnd"/>
            <w:r>
              <w:t xml:space="preserve"> and practices.</w:t>
            </w:r>
          </w:p>
        </w:tc>
        <w:tc>
          <w:tcPr>
            <w:tcW w:w="3544" w:type="dxa"/>
            <w:tcBorders>
              <w:bottom w:val="single" w:sz="4" w:space="0" w:color="1E49E2" w:themeColor="accent2"/>
            </w:tcBorders>
          </w:tcPr>
          <w:p w14:paraId="3D955BCB" w14:textId="77777777" w:rsidR="00866ED3" w:rsidRPr="00194457" w:rsidRDefault="00866ED3" w:rsidP="00194457">
            <w:pPr>
              <w:pStyle w:val="BodyText"/>
              <w:cnfStyle w:val="000000000000" w:firstRow="0" w:lastRow="0" w:firstColumn="0" w:lastColumn="0" w:oddVBand="0" w:evenVBand="0" w:oddHBand="0" w:evenHBand="0" w:firstRowFirstColumn="0" w:firstRowLastColumn="0" w:lastRowFirstColumn="0" w:lastRowLastColumn="0"/>
              <w:rPr>
                <w:b/>
              </w:rPr>
            </w:pPr>
            <w:r>
              <w:rPr>
                <w:b/>
                <w:bCs/>
              </w:rPr>
              <w:t>Appropriateness of MPS Program</w:t>
            </w:r>
          </w:p>
          <w:p w14:paraId="310E5083" w14:textId="68B94209" w:rsidR="009F7004" w:rsidRPr="009F7004"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The MPS Program provides a foundation for the development of a capable and competent medical physicist and RPS workforce to meet the health needs of Australians. </w:t>
            </w:r>
          </w:p>
          <w:p w14:paraId="228CE337" w14:textId="1FB72BFA" w:rsidR="009F7004" w:rsidRPr="00194457"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rsidRPr="00194457">
              <w:t>The MPS Program intends to improve distribution of the medical physicist workforce and respond to workforce challenges through the harmonisation of training and workforce development.</w:t>
            </w:r>
          </w:p>
          <w:p w14:paraId="707C8F37" w14:textId="316D1B07" w:rsidR="00866ED3" w:rsidRDefault="009F7004" w:rsidP="001B2509">
            <w:pPr>
              <w:pStyle w:val="ListBullet"/>
              <w:cnfStyle w:val="000000000000" w:firstRow="0" w:lastRow="0" w:firstColumn="0" w:lastColumn="0" w:oddVBand="0" w:evenVBand="0" w:oddHBand="0" w:evenHBand="0" w:firstRowFirstColumn="0" w:firstRowLastColumn="0" w:lastRowFirstColumn="0" w:lastRowLastColumn="0"/>
            </w:pPr>
            <w:r w:rsidRPr="009F7004">
              <w:t xml:space="preserve">The Australian Government, acting through the Department, is the appropriate body to administer a program that provides funding and support to the medical physicist workforce. </w:t>
            </w:r>
          </w:p>
        </w:tc>
        <w:tc>
          <w:tcPr>
            <w:tcW w:w="4505" w:type="dxa"/>
            <w:tcBorders>
              <w:bottom w:val="single" w:sz="4" w:space="0" w:color="1E49E2" w:themeColor="accent2"/>
              <w:right w:val="nil"/>
            </w:tcBorders>
          </w:tcPr>
          <w:p w14:paraId="758F118F"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Pr>
                <w:b/>
                <w:bCs/>
              </w:rPr>
              <w:t>Continuation of funding</w:t>
            </w:r>
          </w:p>
          <w:p w14:paraId="3C9FFDB6" w14:textId="7DF386B1" w:rsidR="00866ED3" w:rsidRDefault="00866ED3" w:rsidP="001B2509">
            <w:pPr>
              <w:pStyle w:val="BodyText"/>
              <w:cnfStyle w:val="000000000000" w:firstRow="0" w:lastRow="0" w:firstColumn="0" w:lastColumn="0" w:oddVBand="0" w:evenVBand="0" w:oddHBand="0" w:evenHBand="0" w:firstRowFirstColumn="0" w:firstRowLastColumn="0" w:lastRowFirstColumn="0" w:lastRowLastColumn="0"/>
            </w:pPr>
            <w:r w:rsidRPr="00C96CB3">
              <w:t>The Department should continue MPS Program funding beyond 2024-25</w:t>
            </w:r>
            <w:r>
              <w:t>, th</w:t>
            </w:r>
            <w:r w:rsidRPr="00C96CB3">
              <w:t>rough dedicated funding streams, with the Medical Phy</w:t>
            </w:r>
            <w:r>
              <w:t>sicist Trainee Support stream dedicated to the provision of grants to facilities employing TEAP Registrars.</w:t>
            </w:r>
          </w:p>
        </w:tc>
      </w:tr>
      <w:tr w:rsidR="00866ED3" w14:paraId="5AAC12F3" w14:textId="77777777" w:rsidTr="00E264AF">
        <w:tc>
          <w:tcPr>
            <w:cnfStyle w:val="001000000000" w:firstRow="0" w:lastRow="0" w:firstColumn="1" w:lastColumn="0" w:oddVBand="0" w:evenVBand="0" w:oddHBand="0" w:evenHBand="0" w:firstRowFirstColumn="0" w:firstRowLastColumn="0" w:lastRowFirstColumn="0" w:lastRowLastColumn="0"/>
            <w:tcW w:w="0" w:type="dxa"/>
            <w:vMerge/>
            <w:tcBorders>
              <w:left w:val="nil"/>
            </w:tcBorders>
            <w:shd w:val="clear" w:color="auto" w:fill="F1F4FE"/>
          </w:tcPr>
          <w:p w14:paraId="6957DE91" w14:textId="77777777" w:rsidR="00866ED3" w:rsidRPr="00172A97" w:rsidRDefault="00866ED3">
            <w:pPr>
              <w:pStyle w:val="BodyText"/>
              <w:rPr>
                <w:b w:val="0"/>
                <w:bCs w:val="0"/>
              </w:rPr>
            </w:pPr>
          </w:p>
        </w:tc>
        <w:tc>
          <w:tcPr>
            <w:tcW w:w="0" w:type="dxa"/>
            <w:tcBorders>
              <w:top w:val="single" w:sz="4" w:space="0" w:color="1E49E2" w:themeColor="accent2"/>
            </w:tcBorders>
          </w:tcPr>
          <w:p w14:paraId="6B025EED" w14:textId="77777777" w:rsidR="00866ED3" w:rsidRPr="00EE01D0" w:rsidRDefault="00866ED3">
            <w:pPr>
              <w:pStyle w:val="BodyText"/>
              <w:cnfStyle w:val="000000000000" w:firstRow="0" w:lastRow="0" w:firstColumn="0" w:lastColumn="0" w:oddVBand="0" w:evenVBand="0" w:oddHBand="0" w:evenHBand="0" w:firstRowFirstColumn="0" w:firstRowLastColumn="0" w:lastRowFirstColumn="0" w:lastRowLastColumn="0"/>
              <w:rPr>
                <w:b/>
              </w:rPr>
            </w:pPr>
            <w:r w:rsidRPr="00EE01D0">
              <w:rPr>
                <w:b/>
                <w:bCs/>
              </w:rPr>
              <w:t>Workforce</w:t>
            </w:r>
            <w:r>
              <w:rPr>
                <w:b/>
                <w:bCs/>
              </w:rPr>
              <w:t xml:space="preserve"> </w:t>
            </w:r>
            <w:r w:rsidRPr="00EE01D0">
              <w:rPr>
                <w:b/>
                <w:bCs/>
              </w:rPr>
              <w:t>immaturity</w:t>
            </w:r>
            <w:r>
              <w:rPr>
                <w:b/>
                <w:bCs/>
              </w:rPr>
              <w:t xml:space="preserve"> and growth challenges</w:t>
            </w:r>
          </w:p>
          <w:p w14:paraId="5500ACC6"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There is limited data available on the number of medical physicists currently practicing in Australia. </w:t>
            </w:r>
          </w:p>
          <w:p w14:paraId="15F0F961"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Limitations in workforce data and modelling, including a lack of nationally accepted roles and responsibilities, make it challenging to determine the workforce shortage or need.</w:t>
            </w:r>
          </w:p>
          <w:p w14:paraId="589BC2B9"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There are gaps in retaining mid-career medical physicists once they have completed TEAP.</w:t>
            </w:r>
          </w:p>
        </w:tc>
        <w:tc>
          <w:tcPr>
            <w:tcW w:w="0" w:type="dxa"/>
            <w:tcBorders>
              <w:top w:val="single" w:sz="4" w:space="0" w:color="1E49E2" w:themeColor="accent2"/>
            </w:tcBorders>
          </w:tcPr>
          <w:p w14:paraId="6A8A0DCB" w14:textId="77777777" w:rsidR="00866ED3" w:rsidRPr="00BD29B0"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Pr>
                <w:b/>
                <w:bCs/>
              </w:rPr>
              <w:t>Challenges to workforce planning</w:t>
            </w:r>
          </w:p>
          <w:p w14:paraId="4D4015BD"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rsidRPr="00FC0CB6">
              <w:t>Given the importance of the medical physics workforce, the development of future health workforce strategies, at both the Commonwealth and State and Territory level, should specifically include medical physics as a key health profession.</w:t>
            </w:r>
          </w:p>
          <w:p w14:paraId="2E8ECA34" w14:textId="77777777" w:rsidR="00866ED3" w:rsidRDefault="00866ED3" w:rsidP="00584EC6">
            <w:pPr>
              <w:pStyle w:val="BodyText"/>
              <w:numPr>
                <w:ilvl w:val="0"/>
                <w:numId w:val="53"/>
              </w:numPr>
              <w:cnfStyle w:val="000000000000" w:firstRow="0" w:lastRow="0" w:firstColumn="0" w:lastColumn="0" w:oddVBand="0" w:evenVBand="0" w:oddHBand="0" w:evenHBand="0" w:firstRowFirstColumn="0" w:firstRowLastColumn="0" w:lastRowFirstColumn="0" w:lastRowLastColumn="0"/>
            </w:pPr>
            <w:r>
              <w:t>Determ</w:t>
            </w:r>
            <w:r w:rsidRPr="001B2509">
              <w:rPr>
                <w:rStyle w:val="ListBulletChar"/>
              </w:rPr>
              <w:t>ination of current workforce makeup and future workforce p</w:t>
            </w:r>
            <w:r>
              <w:t>lanning is difficult.</w:t>
            </w:r>
          </w:p>
        </w:tc>
        <w:tc>
          <w:tcPr>
            <w:tcW w:w="0" w:type="dxa"/>
            <w:tcBorders>
              <w:top w:val="single" w:sz="4" w:space="0" w:color="1E49E2" w:themeColor="accent2"/>
              <w:right w:val="nil"/>
            </w:tcBorders>
          </w:tcPr>
          <w:p w14:paraId="36EFFEDD"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Pr>
                <w:b/>
                <w:bCs/>
              </w:rPr>
              <w:t>Workforce planning and recognition</w:t>
            </w:r>
          </w:p>
          <w:p w14:paraId="30113330"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rPr>
                <w:bCs/>
                <w:iCs/>
              </w:rPr>
            </w:pPr>
            <w:r w:rsidRPr="00194457">
              <w:t xml:space="preserve">A definition of workforce shortage that is applicable to medical physics and aligns to other Commonwealth definitions should be developed. </w:t>
            </w:r>
          </w:p>
          <w:p w14:paraId="70F2008E" w14:textId="77777777" w:rsidR="00B41727" w:rsidRDefault="00866ED3" w:rsidP="00B41727">
            <w:pPr>
              <w:pStyle w:val="BodyText"/>
              <w:spacing w:before="60" w:after="60"/>
              <w:cnfStyle w:val="000000000000" w:firstRow="0" w:lastRow="0" w:firstColumn="0" w:lastColumn="0" w:oddVBand="0" w:evenVBand="0" w:oddHBand="0" w:evenHBand="0" w:firstRowFirstColumn="0" w:firstRowLastColumn="0" w:lastRowFirstColumn="0" w:lastRowLastColumn="0"/>
              <w:rPr>
                <w:bCs/>
                <w:iCs/>
              </w:rPr>
            </w:pPr>
            <w:r>
              <w:rPr>
                <w:bCs/>
                <w:iCs/>
              </w:rPr>
              <w:t xml:space="preserve">Noting the ongoing work from various stakeholders regarding the potential of formal registration and protected title of ‘Medical Physicists’ under the NRAS; </w:t>
            </w:r>
            <w:r w:rsidR="00B41727">
              <w:rPr>
                <w:bCs/>
                <w:iCs/>
              </w:rPr>
              <w:t xml:space="preserve">should this occur, the Department should consider the medical </w:t>
            </w:r>
            <w:proofErr w:type="gramStart"/>
            <w:r w:rsidR="00B41727">
              <w:rPr>
                <w:bCs/>
                <w:iCs/>
              </w:rPr>
              <w:t>physicists</w:t>
            </w:r>
            <w:proofErr w:type="gramEnd"/>
            <w:r w:rsidR="00B41727">
              <w:rPr>
                <w:bCs/>
                <w:iCs/>
              </w:rPr>
              <w:t xml:space="preserve"> workforce in the context of: </w:t>
            </w:r>
          </w:p>
          <w:p w14:paraId="0F0C4744" w14:textId="77777777" w:rsidR="00B41727" w:rsidRPr="004A15FD" w:rsidRDefault="00B41727" w:rsidP="00584EC6">
            <w:pPr>
              <w:pStyle w:val="BodyText"/>
              <w:numPr>
                <w:ilvl w:val="0"/>
                <w:numId w:val="72"/>
              </w:numPr>
              <w:spacing w:before="60" w:after="60"/>
              <w:cnfStyle w:val="000000000000" w:firstRow="0" w:lastRow="0" w:firstColumn="0" w:lastColumn="0" w:oddVBand="0" w:evenVBand="0" w:oddHBand="0" w:evenHBand="0" w:firstRowFirstColumn="0" w:firstRowLastColumn="0" w:lastRowFirstColumn="0" w:lastRowLastColumn="0"/>
              <w:rPr>
                <w:b/>
              </w:rPr>
            </w:pPr>
            <w:r w:rsidRPr="00B4611D">
              <w:rPr>
                <w:bCs/>
                <w:iCs/>
              </w:rPr>
              <w:t>Work</w:t>
            </w:r>
            <w:r w:rsidRPr="001B2509">
              <w:rPr>
                <w:rStyle w:val="ListBulletChar"/>
              </w:rPr>
              <w:t>force data collected as part of the National Health Workforce Dataset (NHW</w:t>
            </w:r>
            <w:r w:rsidRPr="00B4611D">
              <w:rPr>
                <w:bCs/>
                <w:iCs/>
              </w:rPr>
              <w:t>DS).</w:t>
            </w:r>
          </w:p>
          <w:p w14:paraId="11E6B4A0" w14:textId="44529552" w:rsidR="00866ED3" w:rsidRPr="00B4611D" w:rsidRDefault="00B41727" w:rsidP="00556D0D">
            <w:pPr>
              <w:pStyle w:val="BodyText"/>
              <w:cnfStyle w:val="000000000000" w:firstRow="0" w:lastRow="0" w:firstColumn="0" w:lastColumn="0" w:oddVBand="0" w:evenVBand="0" w:oddHBand="0" w:evenHBand="0" w:firstRowFirstColumn="0" w:firstRowLastColumn="0" w:lastRowFirstColumn="0" w:lastRowLastColumn="0"/>
              <w:rPr>
                <w:b/>
              </w:rPr>
            </w:pPr>
            <w:r w:rsidRPr="004A15FD">
              <w:rPr>
                <w:iCs/>
              </w:rPr>
              <w:t>In addition, if registration under NRAS is not achieved, the Department should consider</w:t>
            </w:r>
            <w:r>
              <w:rPr>
                <w:iCs/>
              </w:rPr>
              <w:t xml:space="preserve"> the medical physics workforce as part of th</w:t>
            </w:r>
            <w:r>
              <w:rPr>
                <w:bCs/>
                <w:iCs/>
              </w:rPr>
              <w:t>e Department’s Health workforce planning and strategy frameworks.</w:t>
            </w:r>
          </w:p>
        </w:tc>
      </w:tr>
      <w:tr w:rsidR="00866ED3" w14:paraId="4F2FB05F" w14:textId="77777777" w:rsidTr="00556D0D">
        <w:trPr>
          <w:cantSplit/>
        </w:trPr>
        <w:tc>
          <w:tcPr>
            <w:cnfStyle w:val="001000000000" w:firstRow="0" w:lastRow="0" w:firstColumn="1" w:lastColumn="0" w:oddVBand="0" w:evenVBand="0" w:oddHBand="0" w:evenHBand="0" w:firstRowFirstColumn="0" w:firstRowLastColumn="0" w:lastRowFirstColumn="0" w:lastRowLastColumn="0"/>
            <w:tcW w:w="0" w:type="dxa"/>
            <w:tcBorders>
              <w:left w:val="nil"/>
            </w:tcBorders>
            <w:shd w:val="clear" w:color="auto" w:fill="F1F4FE"/>
          </w:tcPr>
          <w:p w14:paraId="165FD04B" w14:textId="37606C42" w:rsidR="00866ED3" w:rsidRPr="00B4611D" w:rsidRDefault="00866ED3">
            <w:pPr>
              <w:pStyle w:val="BodyText"/>
            </w:pPr>
            <w:r w:rsidRPr="00B4611D">
              <w:t>KEQ3:</w:t>
            </w:r>
          </w:p>
          <w:p w14:paraId="74C682D1" w14:textId="77777777" w:rsidR="00866ED3" w:rsidRPr="00B4611D" w:rsidRDefault="00866ED3">
            <w:pPr>
              <w:pStyle w:val="BodyText"/>
              <w:rPr>
                <w:b w:val="0"/>
                <w:i/>
              </w:rPr>
            </w:pPr>
            <w:r w:rsidRPr="00B4611D">
              <w:rPr>
                <w:b w:val="0"/>
                <w:i/>
              </w:rPr>
              <w:t>How efficient is the MPS Program?</w:t>
            </w:r>
          </w:p>
        </w:tc>
        <w:tc>
          <w:tcPr>
            <w:tcW w:w="0" w:type="dxa"/>
          </w:tcPr>
          <w:p w14:paraId="7E958741"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Pr>
                <w:b/>
                <w:bCs/>
              </w:rPr>
              <w:t>Reporting limitations</w:t>
            </w:r>
          </w:p>
          <w:p w14:paraId="4972C837"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rsidRPr="002C03B7">
              <w:t>Reporting detail and structure for financial and census data limits the identification of trends, cross-period comparisons and ability to assess financial efficiency.</w:t>
            </w:r>
          </w:p>
          <w:p w14:paraId="5377CCB5"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There is a lack of f</w:t>
            </w:r>
            <w:r w:rsidRPr="00C067EC">
              <w:t xml:space="preserve">inancial </w:t>
            </w:r>
            <w:r>
              <w:t>and benchmarking data required to accurately assess financial efficiency of the MPS Program.</w:t>
            </w:r>
          </w:p>
        </w:tc>
        <w:tc>
          <w:tcPr>
            <w:tcW w:w="0" w:type="dxa"/>
          </w:tcPr>
          <w:p w14:paraId="35F516B8"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Pr>
                <w:b/>
                <w:bCs/>
              </w:rPr>
              <w:t>Limitations to assessing financial efficiency</w:t>
            </w:r>
          </w:p>
          <w:p w14:paraId="167557F4"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pPr>
            <w:r w:rsidRPr="00164909">
              <w:t xml:space="preserve">The ability to demonstrate the </w:t>
            </w:r>
            <w:r>
              <w:t>financial efficiency</w:t>
            </w:r>
            <w:r w:rsidRPr="00164909">
              <w:t xml:space="preserve"> and value of money of the MPS Program to decision makers is limited.</w:t>
            </w:r>
          </w:p>
        </w:tc>
        <w:tc>
          <w:tcPr>
            <w:tcW w:w="0" w:type="dxa"/>
            <w:tcBorders>
              <w:right w:val="nil"/>
            </w:tcBorders>
          </w:tcPr>
          <w:p w14:paraId="2EBBED94"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Pr>
                <w:b/>
                <w:bCs/>
              </w:rPr>
              <w:t>Review of reporting arrangements</w:t>
            </w:r>
          </w:p>
          <w:p w14:paraId="7A961A9B"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pPr>
            <w:r>
              <w:t>The Department should review financial and non-financial reporting arrangements with a view to:</w:t>
            </w:r>
          </w:p>
          <w:p w14:paraId="6B87B653"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Simplify and streamline funded activities, outputs and </w:t>
            </w:r>
            <w:proofErr w:type="gramStart"/>
            <w:r>
              <w:t>reporting;</w:t>
            </w:r>
            <w:proofErr w:type="gramEnd"/>
            <w:r>
              <w:t xml:space="preserve"> </w:t>
            </w:r>
          </w:p>
          <w:p w14:paraId="506A7E78"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Improve granularity of financial data; and</w:t>
            </w:r>
          </w:p>
          <w:p w14:paraId="2082A63A"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Enable benchmarking with similar specialty programs.</w:t>
            </w:r>
          </w:p>
        </w:tc>
      </w:tr>
      <w:tr w:rsidR="00866ED3" w14:paraId="0683DB3A"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bottom w:val="nil"/>
            </w:tcBorders>
            <w:shd w:val="clear" w:color="auto" w:fill="F1F4FE"/>
          </w:tcPr>
          <w:p w14:paraId="738E1A47" w14:textId="0925E810" w:rsidR="00866ED3" w:rsidRPr="004E09ED" w:rsidRDefault="00866ED3">
            <w:pPr>
              <w:pStyle w:val="BodyText"/>
            </w:pPr>
            <w:r w:rsidRPr="004E09ED">
              <w:t>KEQ4:</w:t>
            </w:r>
          </w:p>
          <w:p w14:paraId="2D9319F8" w14:textId="77777777" w:rsidR="00866ED3" w:rsidRPr="00172A97" w:rsidRDefault="00866ED3">
            <w:pPr>
              <w:pStyle w:val="BodyText"/>
              <w:rPr>
                <w:b w:val="0"/>
                <w:bCs w:val="0"/>
              </w:rPr>
            </w:pPr>
            <w:r w:rsidRPr="004E09ED">
              <w:rPr>
                <w:b w:val="0"/>
                <w:i/>
              </w:rPr>
              <w:t>How sustainable is the MPS Program over the long term, and what evidence supports its continued viability to justify ongoing funding support?</w:t>
            </w:r>
          </w:p>
        </w:tc>
        <w:tc>
          <w:tcPr>
            <w:tcW w:w="0" w:type="dxa"/>
            <w:tcBorders>
              <w:bottom w:val="single" w:sz="4" w:space="0" w:color="6BA0FF" w:themeColor="accent1" w:themeTint="66"/>
            </w:tcBorders>
          </w:tcPr>
          <w:p w14:paraId="7F580273" w14:textId="77777777" w:rsidR="00866ED3" w:rsidRPr="00194457" w:rsidRDefault="00866ED3" w:rsidP="00194457">
            <w:pPr>
              <w:cnfStyle w:val="000000000000" w:firstRow="0" w:lastRow="0" w:firstColumn="0" w:lastColumn="0" w:oddVBand="0" w:evenVBand="0" w:oddHBand="0" w:evenHBand="0" w:firstRowFirstColumn="0" w:firstRowLastColumn="0" w:lastRowFirstColumn="0" w:lastRowLastColumn="0"/>
              <w:rPr>
                <w:b/>
              </w:rPr>
            </w:pPr>
            <w:r>
              <w:rPr>
                <w:b/>
                <w:bCs/>
              </w:rPr>
              <w:t>Funding model</w:t>
            </w:r>
          </w:p>
          <w:p w14:paraId="6E63014B"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rsidRPr="00194457">
              <w:t xml:space="preserve">While funding amounts for both streams increased under the 2022 grant agreement, the underlying model has remained unchanged since the 2018 agreement. </w:t>
            </w:r>
          </w:p>
          <w:p w14:paraId="67357C7A" w14:textId="77777777" w:rsidR="00866ED3" w:rsidRPr="00194457"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rsidRPr="00194457">
              <w:t>Base funding and regional loading amounts under the funding model for facility provided grants has remained consistent despite the rising costs of Registrars.</w:t>
            </w:r>
          </w:p>
          <w:p w14:paraId="09F53342"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The </w:t>
            </w:r>
            <w:r w:rsidRPr="00435614">
              <w:t>MPS Program funding is ACPSEM largest revenue stream.</w:t>
            </w:r>
          </w:p>
          <w:p w14:paraId="1EBC23C6"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Pr>
                <w:b/>
                <w:bCs/>
              </w:rPr>
              <w:t xml:space="preserve">Jurisdictional input </w:t>
            </w:r>
          </w:p>
          <w:p w14:paraId="32B530A2"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pPr>
            <w:r w:rsidRPr="00194457">
              <w:t xml:space="preserve">Jurisdictions use and prioritise the </w:t>
            </w:r>
            <w:r>
              <w:t>m</w:t>
            </w:r>
            <w:r w:rsidRPr="00194457">
              <w:t xml:space="preserve">edical </w:t>
            </w:r>
            <w:r>
              <w:t>p</w:t>
            </w:r>
            <w:r w:rsidRPr="00194457">
              <w:t>hysicist workforce differently, providing varying levels of funding.</w:t>
            </w:r>
          </w:p>
        </w:tc>
        <w:tc>
          <w:tcPr>
            <w:tcW w:w="0" w:type="dxa"/>
            <w:tcBorders>
              <w:bottom w:val="single" w:sz="4" w:space="0" w:color="6BA0FF" w:themeColor="accent1" w:themeTint="66"/>
            </w:tcBorders>
          </w:tcPr>
          <w:p w14:paraId="6C177830" w14:textId="77777777" w:rsidR="00866ED3" w:rsidRPr="00194457" w:rsidRDefault="00866ED3" w:rsidP="00194457">
            <w:pPr>
              <w:pStyle w:val="BodyText"/>
              <w:cnfStyle w:val="000000000000" w:firstRow="0" w:lastRow="0" w:firstColumn="0" w:lastColumn="0" w:oddVBand="0" w:evenVBand="0" w:oddHBand="0" w:evenHBand="0" w:firstRowFirstColumn="0" w:firstRowLastColumn="0" w:lastRowFirstColumn="0" w:lastRowLastColumn="0"/>
              <w:rPr>
                <w:b/>
              </w:rPr>
            </w:pPr>
            <w:r>
              <w:rPr>
                <w:b/>
                <w:bCs/>
              </w:rPr>
              <w:t>National alignment</w:t>
            </w:r>
          </w:p>
          <w:p w14:paraId="5B6AB243" w14:textId="77777777" w:rsidR="00866ED3" w:rsidRDefault="00866ED3" w:rsidP="00584EC6">
            <w:pPr>
              <w:pStyle w:val="BodyText"/>
              <w:numPr>
                <w:ilvl w:val="0"/>
                <w:numId w:val="67"/>
              </w:numPr>
              <w:cnfStyle w:val="000000000000" w:firstRow="0" w:lastRow="0" w:firstColumn="0" w:lastColumn="0" w:oddVBand="0" w:evenVBand="0" w:oddHBand="0" w:evenHBand="0" w:firstRowFirstColumn="0" w:firstRowLastColumn="0" w:lastRowFirstColumn="0" w:lastRowLastColumn="0"/>
            </w:pPr>
            <w:r>
              <w:t>Co</w:t>
            </w:r>
            <w:r w:rsidRPr="001B2509">
              <w:rPr>
                <w:rStyle w:val="ListBulletChar"/>
              </w:rPr>
              <w:t>llaboration amongst states and territories is required to recognise the need and utilisation of the medical physicists and RPS wor</w:t>
            </w:r>
            <w:r>
              <w:t xml:space="preserve">kforces and allow for alignment of priorities amongst jurisdictions. </w:t>
            </w:r>
          </w:p>
          <w:p w14:paraId="274592AD" w14:textId="7960C68B" w:rsidR="00866ED3" w:rsidRPr="00194457" w:rsidRDefault="00866ED3">
            <w:pPr>
              <w:pStyle w:val="BodyText"/>
              <w:cnfStyle w:val="000000000000" w:firstRow="0" w:lastRow="0" w:firstColumn="0" w:lastColumn="0" w:oddVBand="0" w:evenVBand="0" w:oddHBand="0" w:evenHBand="0" w:firstRowFirstColumn="0" w:firstRowLastColumn="0" w:lastRowFirstColumn="0" w:lastRowLastColumn="0"/>
              <w:rPr>
                <w:b/>
              </w:rPr>
            </w:pPr>
            <w:r>
              <w:rPr>
                <w:b/>
                <w:bCs/>
              </w:rPr>
              <w:t>Funding model</w:t>
            </w:r>
          </w:p>
          <w:p w14:paraId="3318C4A0" w14:textId="77777777" w:rsidR="00866ED3" w:rsidRPr="0099734F"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Further clarity is required to ensure workforce needs are being met and funding amounts are appropriate. </w:t>
            </w:r>
            <w:r>
              <w:rPr>
                <w:b/>
                <w:bCs/>
              </w:rPr>
              <w:t xml:space="preserve"> </w:t>
            </w:r>
          </w:p>
          <w:p w14:paraId="583BF66E"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rsidRPr="004746FF">
              <w:t xml:space="preserve">A change in the financial strategy of ACPSEM is required to ensure long-term self-sufficiency.  </w:t>
            </w:r>
          </w:p>
        </w:tc>
        <w:tc>
          <w:tcPr>
            <w:tcW w:w="0" w:type="dxa"/>
            <w:tcBorders>
              <w:bottom w:val="single" w:sz="4" w:space="0" w:color="6BA0FF" w:themeColor="accent1" w:themeTint="66"/>
              <w:right w:val="nil"/>
            </w:tcBorders>
          </w:tcPr>
          <w:p w14:paraId="0F69BEAB"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Pr>
                <w:b/>
                <w:bCs/>
              </w:rPr>
              <w:t>Review of funding model</w:t>
            </w:r>
          </w:p>
          <w:p w14:paraId="66C45E64"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pPr>
            <w:r>
              <w:t xml:space="preserve">The Department should undertake a deep dive review into the funding model of the MPS Program. This review should include: </w:t>
            </w:r>
          </w:p>
          <w:p w14:paraId="16660BFB"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Align</w:t>
            </w:r>
            <w:r w:rsidRPr="001B2509">
              <w:rPr>
                <w:rStyle w:val="ListBulletChar"/>
              </w:rPr>
              <w:t>ment with similar speciality programs which include</w:t>
            </w:r>
            <w:r w:rsidRPr="001B2509">
              <w:t xml:space="preserve">s collaboration with states and </w:t>
            </w:r>
            <w:proofErr w:type="gramStart"/>
            <w:r w:rsidRPr="001B2509">
              <w:t>territo</w:t>
            </w:r>
            <w:r>
              <w:t>ries;</w:t>
            </w:r>
            <w:proofErr w:type="gramEnd"/>
            <w:r>
              <w:t xml:space="preserve"> </w:t>
            </w:r>
          </w:p>
          <w:p w14:paraId="63E65401"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Further clarity around guidelines, criteria, funding amounts, Consumer Price Index adjustments and alignment to pay levels to ensure that program funding is being used to address workforce needs and ensure appropriate funding amounts; and </w:t>
            </w:r>
          </w:p>
          <w:p w14:paraId="16319091" w14:textId="77777777" w:rsidR="00866ED3" w:rsidRDefault="00866ED3" w:rsidP="00584EC6">
            <w:pPr>
              <w:pStyle w:val="BodyText"/>
              <w:numPr>
                <w:ilvl w:val="0"/>
                <w:numId w:val="66"/>
              </w:numPr>
              <w:cnfStyle w:val="000000000000" w:firstRow="0" w:lastRow="0" w:firstColumn="0" w:lastColumn="0" w:oddVBand="0" w:evenVBand="0" w:oddHBand="0" w:evenHBand="0" w:firstRowFirstColumn="0" w:firstRowLastColumn="0" w:lastRowFirstColumn="0" w:lastRowLastColumn="0"/>
            </w:pPr>
            <w:r>
              <w:t>In collaboration with ACPSEM, a review of ACPSEM’s revenue streams and financial strategy.</w:t>
            </w:r>
          </w:p>
        </w:tc>
      </w:tr>
      <w:tr w:rsidR="00866ED3" w14:paraId="172D4E7E" w14:textId="77777777" w:rsidTr="00E264AF">
        <w:tc>
          <w:tcPr>
            <w:cnfStyle w:val="001000000000" w:firstRow="0" w:lastRow="0" w:firstColumn="1" w:lastColumn="0" w:oddVBand="0" w:evenVBand="0" w:oddHBand="0" w:evenHBand="0" w:firstRowFirstColumn="0" w:firstRowLastColumn="0" w:lastRowFirstColumn="0" w:lastRowLastColumn="0"/>
            <w:tcW w:w="0" w:type="dxa"/>
            <w:vMerge w:val="restart"/>
            <w:tcBorders>
              <w:left w:val="nil"/>
            </w:tcBorders>
            <w:shd w:val="clear" w:color="auto" w:fill="F1F4FE"/>
          </w:tcPr>
          <w:p w14:paraId="0B7DFDAA" w14:textId="0E445740" w:rsidR="00866ED3" w:rsidRPr="0099734F" w:rsidRDefault="00866ED3">
            <w:pPr>
              <w:pStyle w:val="BodyText"/>
            </w:pPr>
            <w:r w:rsidRPr="0099734F">
              <w:t>KEQ5:</w:t>
            </w:r>
          </w:p>
          <w:p w14:paraId="7B792212" w14:textId="77777777" w:rsidR="00866ED3" w:rsidRPr="0099734F" w:rsidRDefault="00866ED3">
            <w:pPr>
              <w:pStyle w:val="BodyText"/>
              <w:rPr>
                <w:b w:val="0"/>
              </w:rPr>
            </w:pPr>
            <w:r w:rsidRPr="0099734F">
              <w:rPr>
                <w:b w:val="0"/>
                <w:i/>
              </w:rPr>
              <w:t>How effective is the MPS Program in meeting its intended objectives?</w:t>
            </w:r>
          </w:p>
        </w:tc>
        <w:tc>
          <w:tcPr>
            <w:tcW w:w="0" w:type="dxa"/>
            <w:tcBorders>
              <w:bottom w:val="single" w:sz="4" w:space="0" w:color="1E49E2" w:themeColor="accent2"/>
            </w:tcBorders>
          </w:tcPr>
          <w:p w14:paraId="711CF908" w14:textId="77777777" w:rsidR="00866ED3" w:rsidRPr="00194457" w:rsidRDefault="00866ED3" w:rsidP="00194457">
            <w:pPr>
              <w:cnfStyle w:val="000000000000" w:firstRow="0" w:lastRow="0" w:firstColumn="0" w:lastColumn="0" w:oddVBand="0" w:evenVBand="0" w:oddHBand="0" w:evenHBand="0" w:firstRowFirstColumn="0" w:firstRowLastColumn="0" w:lastRowFirstColumn="0" w:lastRowLastColumn="0"/>
              <w:rPr>
                <w:b/>
              </w:rPr>
            </w:pPr>
            <w:r>
              <w:rPr>
                <w:b/>
                <w:bCs/>
              </w:rPr>
              <w:t>Workforce distribution</w:t>
            </w:r>
          </w:p>
          <w:p w14:paraId="05770AE3" w14:textId="0A4AA943" w:rsidR="00866ED3" w:rsidRPr="001B2509" w:rsidRDefault="00866ED3" w:rsidP="00584EC6">
            <w:pPr>
              <w:pStyle w:val="BodyText"/>
              <w:numPr>
                <w:ilvl w:val="0"/>
                <w:numId w:val="68"/>
              </w:numPr>
              <w:cnfStyle w:val="000000000000" w:firstRow="0" w:lastRow="0" w:firstColumn="0" w:lastColumn="0" w:oddVBand="0" w:evenVBand="0" w:oddHBand="0" w:evenHBand="0" w:firstRowFirstColumn="0" w:firstRowLastColumn="0" w:lastRowFirstColumn="0" w:lastRowLastColumn="0"/>
            </w:pPr>
            <w:r w:rsidRPr="00785F72">
              <w:t xml:space="preserve">Current workforce distribution impacts of the </w:t>
            </w:r>
            <w:r w:rsidR="004E098C">
              <w:t>MPS P</w:t>
            </w:r>
            <w:r w:rsidRPr="00785F72">
              <w:t xml:space="preserve">rogram are minimal in MMM 2-7 areas. </w:t>
            </w:r>
          </w:p>
        </w:tc>
        <w:tc>
          <w:tcPr>
            <w:tcW w:w="0" w:type="dxa"/>
            <w:tcBorders>
              <w:bottom w:val="single" w:sz="4" w:space="0" w:color="1E49E2" w:themeColor="accent2"/>
            </w:tcBorders>
          </w:tcPr>
          <w:p w14:paraId="42E965EE" w14:textId="77777777" w:rsidR="00866ED3" w:rsidRPr="00194457" w:rsidRDefault="00866ED3" w:rsidP="00194457">
            <w:pPr>
              <w:cnfStyle w:val="000000000000" w:firstRow="0" w:lastRow="0" w:firstColumn="0" w:lastColumn="0" w:oddVBand="0" w:evenVBand="0" w:oddHBand="0" w:evenHBand="0" w:firstRowFirstColumn="0" w:firstRowLastColumn="0" w:lastRowFirstColumn="0" w:lastRowLastColumn="0"/>
              <w:rPr>
                <w:b/>
              </w:rPr>
            </w:pPr>
            <w:r>
              <w:rPr>
                <w:b/>
                <w:bCs/>
              </w:rPr>
              <w:t>Challenges to workforce distribution</w:t>
            </w:r>
          </w:p>
          <w:p w14:paraId="0EF82F89"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rPr>
                <w:b/>
                <w:bCs/>
              </w:rPr>
            </w:pPr>
            <w:r w:rsidRPr="00785F72">
              <w:t xml:space="preserve">A shift in the workforce’s perceptions and willingness to work in regional and remote Australia is required. </w:t>
            </w:r>
          </w:p>
        </w:tc>
        <w:tc>
          <w:tcPr>
            <w:tcW w:w="0" w:type="dxa"/>
            <w:tcBorders>
              <w:bottom w:val="single" w:sz="4" w:space="0" w:color="1E49E2" w:themeColor="accent2"/>
              <w:right w:val="nil"/>
            </w:tcBorders>
          </w:tcPr>
          <w:p w14:paraId="6244469A"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sidRPr="00194457">
              <w:rPr>
                <w:b/>
              </w:rPr>
              <w:t xml:space="preserve">Review of </w:t>
            </w:r>
            <w:r>
              <w:rPr>
                <w:b/>
                <w:bCs/>
              </w:rPr>
              <w:t>funding model</w:t>
            </w:r>
          </w:p>
          <w:p w14:paraId="705565BF" w14:textId="6ED3F6E2" w:rsidR="00866ED3"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sidRPr="00194457">
              <w:t>The</w:t>
            </w:r>
            <w:r>
              <w:t xml:space="preserve"> Department should consider the inclusion</w:t>
            </w:r>
            <w:r w:rsidRPr="00194457">
              <w:t xml:space="preserve"> of financial and non-financial incentives </w:t>
            </w:r>
            <w:r>
              <w:t xml:space="preserve">within the funding model </w:t>
            </w:r>
            <w:r w:rsidRPr="00194457">
              <w:t xml:space="preserve">to further support the </w:t>
            </w:r>
            <w:r>
              <w:t>m</w:t>
            </w:r>
            <w:r w:rsidRPr="00194457">
              <w:t xml:space="preserve">edical </w:t>
            </w:r>
            <w:r>
              <w:t>p</w:t>
            </w:r>
            <w:r w:rsidRPr="00194457">
              <w:t xml:space="preserve">hysicist workforce distribution within MMM 2-7 areas.  </w:t>
            </w:r>
          </w:p>
        </w:tc>
      </w:tr>
      <w:tr w:rsidR="003E3573" w14:paraId="1BF56C06" w14:textId="77777777" w:rsidTr="00E264AF">
        <w:tc>
          <w:tcPr>
            <w:cnfStyle w:val="001000000000" w:firstRow="0" w:lastRow="0" w:firstColumn="1" w:lastColumn="0" w:oddVBand="0" w:evenVBand="0" w:oddHBand="0" w:evenHBand="0" w:firstRowFirstColumn="0" w:firstRowLastColumn="0" w:lastRowFirstColumn="0" w:lastRowLastColumn="0"/>
            <w:tcW w:w="1985" w:type="dxa"/>
            <w:vMerge/>
            <w:tcBorders>
              <w:left w:val="nil"/>
            </w:tcBorders>
            <w:shd w:val="clear" w:color="auto" w:fill="F1F4FE"/>
          </w:tcPr>
          <w:p w14:paraId="40290639" w14:textId="77777777" w:rsidR="00866ED3" w:rsidRPr="00E944E9" w:rsidRDefault="00866ED3">
            <w:pPr>
              <w:pStyle w:val="BodyText"/>
            </w:pPr>
          </w:p>
        </w:tc>
        <w:tc>
          <w:tcPr>
            <w:tcW w:w="3969" w:type="dxa"/>
            <w:tcBorders>
              <w:top w:val="single" w:sz="4" w:space="0" w:color="1E49E2" w:themeColor="accent2"/>
              <w:bottom w:val="single" w:sz="4" w:space="0" w:color="1E49E2" w:themeColor="accent2"/>
            </w:tcBorders>
          </w:tcPr>
          <w:p w14:paraId="00E0995E" w14:textId="77777777" w:rsidR="00866ED3" w:rsidRPr="00EE01D0" w:rsidRDefault="00866ED3">
            <w:pPr>
              <w:cnfStyle w:val="000000000000" w:firstRow="0" w:lastRow="0" w:firstColumn="0" w:lastColumn="0" w:oddVBand="0" w:evenVBand="0" w:oddHBand="0" w:evenHBand="0" w:firstRowFirstColumn="0" w:firstRowLastColumn="0" w:lastRowFirstColumn="0" w:lastRowLastColumn="0"/>
              <w:rPr>
                <w:b/>
                <w:bCs/>
              </w:rPr>
            </w:pPr>
            <w:r>
              <w:rPr>
                <w:b/>
                <w:bCs/>
              </w:rPr>
              <w:t>Program Reporting</w:t>
            </w:r>
          </w:p>
          <w:p w14:paraId="43686AC3"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Current activity work plans (AWPs) and performance reporting lists multiple sub-activities and does not have clear alignment and detailed impact on program outcomes.</w:t>
            </w:r>
          </w:p>
          <w:p w14:paraId="17D49CDA"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Existing reporting arrangements are </w:t>
            </w:r>
            <w:proofErr w:type="gramStart"/>
            <w:r>
              <w:t>output-focused</w:t>
            </w:r>
            <w:proofErr w:type="gramEnd"/>
            <w:r>
              <w:t>.</w:t>
            </w:r>
          </w:p>
          <w:p w14:paraId="52920640" w14:textId="77777777" w:rsidR="00866ED3" w:rsidRPr="00194457" w:rsidRDefault="00866ED3" w:rsidP="00194457">
            <w:pPr>
              <w:pStyle w:val="BodyText"/>
              <w:cnfStyle w:val="000000000000" w:firstRow="0" w:lastRow="0" w:firstColumn="0" w:lastColumn="0" w:oddVBand="0" w:evenVBand="0" w:oddHBand="0" w:evenHBand="0" w:firstRowFirstColumn="0" w:firstRowLastColumn="0" w:lastRowFirstColumn="0" w:lastRowLastColumn="0"/>
              <w:rPr>
                <w:b/>
              </w:rPr>
            </w:pPr>
            <w:r>
              <w:rPr>
                <w:b/>
                <w:bCs/>
              </w:rPr>
              <w:t>Program activities</w:t>
            </w:r>
          </w:p>
          <w:p w14:paraId="4706A1C9"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rPr>
                <w:b/>
                <w:bCs/>
              </w:rPr>
            </w:pPr>
            <w:r w:rsidRPr="00194457">
              <w:t xml:space="preserve">The Department affords flexibility to ACPSEM to deliver the MPS Program as they seem fit, allowing them to respond to the changing needs of the workforce. </w:t>
            </w:r>
          </w:p>
        </w:tc>
        <w:tc>
          <w:tcPr>
            <w:tcW w:w="3544" w:type="dxa"/>
            <w:tcBorders>
              <w:top w:val="single" w:sz="4" w:space="0" w:color="1E49E2" w:themeColor="accent2"/>
              <w:bottom w:val="single" w:sz="4" w:space="0" w:color="1E49E2" w:themeColor="accent2"/>
            </w:tcBorders>
          </w:tcPr>
          <w:p w14:paraId="6479825F" w14:textId="77777777" w:rsidR="00866ED3" w:rsidRPr="00EE01D0" w:rsidRDefault="00866ED3">
            <w:pPr>
              <w:cnfStyle w:val="000000000000" w:firstRow="0" w:lastRow="0" w:firstColumn="0" w:lastColumn="0" w:oddVBand="0" w:evenVBand="0" w:oddHBand="0" w:evenHBand="0" w:firstRowFirstColumn="0" w:firstRowLastColumn="0" w:lastRowFirstColumn="0" w:lastRowLastColumn="0"/>
              <w:rPr>
                <w:b/>
                <w:bCs/>
              </w:rPr>
            </w:pPr>
            <w:r>
              <w:rPr>
                <w:b/>
                <w:bCs/>
              </w:rPr>
              <w:t>MPS Program impact</w:t>
            </w:r>
          </w:p>
          <w:p w14:paraId="1048965A" w14:textId="1B35214A" w:rsidR="00866ED3" w:rsidRPr="001B2509"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Funded activities are not having the desired impact on intended program outcomes. </w:t>
            </w:r>
          </w:p>
        </w:tc>
        <w:tc>
          <w:tcPr>
            <w:tcW w:w="4505" w:type="dxa"/>
            <w:tcBorders>
              <w:top w:val="single" w:sz="4" w:space="0" w:color="1E49E2" w:themeColor="accent2"/>
              <w:bottom w:val="single" w:sz="4" w:space="0" w:color="1E49E2" w:themeColor="accent2"/>
              <w:right w:val="nil"/>
            </w:tcBorders>
          </w:tcPr>
          <w:p w14:paraId="4BBCBAC2"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rPr>
                <w:b/>
                <w:bCs/>
              </w:rPr>
            </w:pPr>
            <w:r>
              <w:rPr>
                <w:b/>
                <w:bCs/>
              </w:rPr>
              <w:t>Review of funded activities</w:t>
            </w:r>
          </w:p>
          <w:p w14:paraId="225589EE" w14:textId="77777777" w:rsidR="00866ED3" w:rsidRDefault="00866ED3">
            <w:pPr>
              <w:pStyle w:val="BodyText"/>
              <w:cnfStyle w:val="000000000000" w:firstRow="0" w:lastRow="0" w:firstColumn="0" w:lastColumn="0" w:oddVBand="0" w:evenVBand="0" w:oddHBand="0" w:evenHBand="0" w:firstRowFirstColumn="0" w:firstRowLastColumn="0" w:lastRowFirstColumn="0" w:lastRowLastColumn="0"/>
            </w:pPr>
            <w:r>
              <w:t xml:space="preserve">The Department should review current funded activities and how they are reported with consideration to: </w:t>
            </w:r>
          </w:p>
          <w:p w14:paraId="4699470D"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The appropriateness of continued flexibility in funded </w:t>
            </w:r>
            <w:proofErr w:type="gramStart"/>
            <w:r>
              <w:t>activities;</w:t>
            </w:r>
            <w:proofErr w:type="gramEnd"/>
            <w:r>
              <w:t xml:space="preserve"> </w:t>
            </w:r>
          </w:p>
          <w:p w14:paraId="0147A487"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The link between activities funded through the program and the resulting impact on Program outcomes; and </w:t>
            </w:r>
          </w:p>
          <w:p w14:paraId="347F8A9D" w14:textId="77777777" w:rsidR="00866ED3" w:rsidRPr="00DC5F7B" w:rsidRDefault="00866ED3" w:rsidP="001B2509">
            <w:pPr>
              <w:pStyle w:val="ListBullet"/>
              <w:cnfStyle w:val="000000000000" w:firstRow="0" w:lastRow="0" w:firstColumn="0" w:lastColumn="0" w:oddVBand="0" w:evenVBand="0" w:oddHBand="0" w:evenHBand="0" w:firstRowFirstColumn="0" w:firstRowLastColumn="0" w:lastRowFirstColumn="0" w:lastRowLastColumn="0"/>
              <w:rPr>
                <w:b/>
                <w:bCs/>
              </w:rPr>
            </w:pPr>
            <w:r>
              <w:t xml:space="preserve">The ability to demonstrate funded activity contribution to program outcomes over the funded period. </w:t>
            </w:r>
          </w:p>
        </w:tc>
      </w:tr>
      <w:tr w:rsidR="003E3573" w14:paraId="4D4AFACE" w14:textId="77777777" w:rsidTr="00E264AF">
        <w:tc>
          <w:tcPr>
            <w:cnfStyle w:val="001000000000" w:firstRow="0" w:lastRow="0" w:firstColumn="1" w:lastColumn="0" w:oddVBand="0" w:evenVBand="0" w:oddHBand="0" w:evenHBand="0" w:firstRowFirstColumn="0" w:firstRowLastColumn="0" w:lastRowFirstColumn="0" w:lastRowLastColumn="0"/>
            <w:tcW w:w="1985" w:type="dxa"/>
            <w:vMerge/>
            <w:tcBorders>
              <w:left w:val="nil"/>
              <w:bottom w:val="single" w:sz="4" w:space="0" w:color="1E49E2" w:themeColor="accent2"/>
            </w:tcBorders>
            <w:shd w:val="clear" w:color="auto" w:fill="F1F4FE"/>
          </w:tcPr>
          <w:p w14:paraId="313DEFFE" w14:textId="77777777" w:rsidR="00866ED3" w:rsidRPr="00E944E9" w:rsidRDefault="00866ED3">
            <w:pPr>
              <w:pStyle w:val="BodyText"/>
            </w:pPr>
          </w:p>
        </w:tc>
        <w:tc>
          <w:tcPr>
            <w:tcW w:w="3969" w:type="dxa"/>
            <w:tcBorders>
              <w:top w:val="single" w:sz="4" w:space="0" w:color="1E49E2" w:themeColor="accent2"/>
              <w:bottom w:val="single" w:sz="4" w:space="0" w:color="1E49E2" w:themeColor="accent2"/>
            </w:tcBorders>
          </w:tcPr>
          <w:p w14:paraId="302CC23F" w14:textId="77777777" w:rsidR="00866ED3" w:rsidRPr="00E264AF" w:rsidRDefault="00866ED3" w:rsidP="00E264AF">
            <w:pPr>
              <w:cnfStyle w:val="000000000000" w:firstRow="0" w:lastRow="0" w:firstColumn="0" w:lastColumn="0" w:oddVBand="0" w:evenVBand="0" w:oddHBand="0" w:evenHBand="0" w:firstRowFirstColumn="0" w:firstRowLastColumn="0" w:lastRowFirstColumn="0" w:lastRowLastColumn="0"/>
              <w:rPr>
                <w:rStyle w:val="Strong"/>
              </w:rPr>
            </w:pPr>
            <w:r w:rsidRPr="00E264AF">
              <w:rPr>
                <w:rStyle w:val="Strong"/>
              </w:rPr>
              <w:t xml:space="preserve">Program outcomes </w:t>
            </w:r>
          </w:p>
          <w:p w14:paraId="5C0DC727" w14:textId="4E88A023" w:rsidR="00866ED3" w:rsidRPr="00E264AF" w:rsidRDefault="00866ED3" w:rsidP="00E264AF">
            <w:pPr>
              <w:cnfStyle w:val="000000000000" w:firstRow="0" w:lastRow="0" w:firstColumn="0" w:lastColumn="0" w:oddVBand="0" w:evenVBand="0" w:oddHBand="0" w:evenHBand="0" w:firstRowFirstColumn="0" w:firstRowLastColumn="0" w:lastRowFirstColumn="0" w:lastRowLastColumn="0"/>
              <w:rPr>
                <w:rStyle w:val="Strong"/>
                <w:b w:val="0"/>
                <w:bCs w:val="0"/>
              </w:rPr>
            </w:pPr>
            <w:r w:rsidRPr="00E264AF">
              <w:t xml:space="preserve">Evidence observed against MPS Program short- and medium-term outcomes was limited, however </w:t>
            </w:r>
            <w:proofErr w:type="gramStart"/>
            <w:r w:rsidRPr="00E264AF">
              <w:t>the majority of</w:t>
            </w:r>
            <w:proofErr w:type="gramEnd"/>
            <w:r w:rsidRPr="00E264AF">
              <w:t xml:space="preserve"> outcomes had emerging findings</w:t>
            </w:r>
            <w:r w:rsidR="00DD2D74" w:rsidRPr="00E264AF">
              <w:t>.</w:t>
            </w:r>
          </w:p>
        </w:tc>
        <w:tc>
          <w:tcPr>
            <w:tcW w:w="3544" w:type="dxa"/>
            <w:tcBorders>
              <w:top w:val="single" w:sz="4" w:space="0" w:color="1E49E2" w:themeColor="accent2"/>
              <w:bottom w:val="single" w:sz="4" w:space="0" w:color="1E49E2" w:themeColor="accent2"/>
            </w:tcBorders>
          </w:tcPr>
          <w:p w14:paraId="179E0B05" w14:textId="77777777" w:rsidR="00866ED3" w:rsidRPr="00E264AF" w:rsidRDefault="00866ED3" w:rsidP="00E264AF">
            <w:pPr>
              <w:cnfStyle w:val="000000000000" w:firstRow="0" w:lastRow="0" w:firstColumn="0" w:lastColumn="0" w:oddVBand="0" w:evenVBand="0" w:oddHBand="0" w:evenHBand="0" w:firstRowFirstColumn="0" w:firstRowLastColumn="0" w:lastRowFirstColumn="0" w:lastRowLastColumn="0"/>
              <w:rPr>
                <w:rStyle w:val="Strong"/>
              </w:rPr>
            </w:pPr>
            <w:r w:rsidRPr="00E264AF">
              <w:rPr>
                <w:rStyle w:val="Strong"/>
              </w:rPr>
              <w:t>MPS Program impact</w:t>
            </w:r>
          </w:p>
          <w:p w14:paraId="25198F37"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rPr>
                <w:b/>
                <w:bCs/>
              </w:rPr>
            </w:pPr>
            <w:r w:rsidRPr="000C4550">
              <w:t xml:space="preserve">The ability to demonstrate the impact and value </w:t>
            </w:r>
            <w:r>
              <w:t>for</w:t>
            </w:r>
            <w:r w:rsidRPr="000C4550">
              <w:t xml:space="preserve"> money of the MPS Program to decision makers is limited.</w:t>
            </w:r>
          </w:p>
        </w:tc>
        <w:tc>
          <w:tcPr>
            <w:tcW w:w="4505" w:type="dxa"/>
            <w:tcBorders>
              <w:top w:val="single" w:sz="4" w:space="0" w:color="1E49E2" w:themeColor="accent2"/>
              <w:bottom w:val="single" w:sz="4" w:space="0" w:color="1E49E2" w:themeColor="accent2"/>
              <w:right w:val="nil"/>
            </w:tcBorders>
          </w:tcPr>
          <w:p w14:paraId="609806FF" w14:textId="77777777" w:rsidR="00866ED3" w:rsidRPr="00E264AF" w:rsidRDefault="00866ED3" w:rsidP="00E264AF">
            <w:pPr>
              <w:cnfStyle w:val="000000000000" w:firstRow="0" w:lastRow="0" w:firstColumn="0" w:lastColumn="0" w:oddVBand="0" w:evenVBand="0" w:oddHBand="0" w:evenHBand="0" w:firstRowFirstColumn="0" w:firstRowLastColumn="0" w:lastRowFirstColumn="0" w:lastRowLastColumn="0"/>
              <w:rPr>
                <w:rStyle w:val="Strong"/>
              </w:rPr>
            </w:pPr>
            <w:r w:rsidRPr="00E264AF">
              <w:rPr>
                <w:rStyle w:val="Strong"/>
              </w:rPr>
              <w:t>Ongoing monitoring and evaluation of Program Logic</w:t>
            </w:r>
          </w:p>
          <w:p w14:paraId="4351528F" w14:textId="77777777" w:rsidR="00866ED3" w:rsidRDefault="00866ED3" w:rsidP="00194457">
            <w:pPr>
              <w:pStyle w:val="BodyText"/>
              <w:spacing w:before="80" w:after="80"/>
              <w:cnfStyle w:val="000000000000" w:firstRow="0" w:lastRow="0" w:firstColumn="0" w:lastColumn="0" w:oddVBand="0" w:evenVBand="0" w:oddHBand="0" w:evenHBand="0" w:firstRowFirstColumn="0" w:firstRowLastColumn="0" w:lastRowFirstColumn="0" w:lastRowLastColumn="0"/>
            </w:pPr>
            <w:r>
              <w:t xml:space="preserve">The Department should undertake ongoing monitoring and evaluation activities of the Program Logic. Monitoring and evaluation activities should consider the following: </w:t>
            </w:r>
          </w:p>
          <w:p w14:paraId="21D8FD56"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Updating the Program Logic in line with the above recommendations </w:t>
            </w:r>
            <w:proofErr w:type="gramStart"/>
            <w:r>
              <w:t>made;</w:t>
            </w:r>
            <w:proofErr w:type="gramEnd"/>
            <w:r>
              <w:t xml:space="preserve"> </w:t>
            </w:r>
          </w:p>
          <w:p w14:paraId="1C7B875D"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Any future funding model and funded activities reviews </w:t>
            </w:r>
            <w:proofErr w:type="gramStart"/>
            <w:r>
              <w:t>undertaken;</w:t>
            </w:r>
            <w:proofErr w:type="gramEnd"/>
            <w:r>
              <w:t xml:space="preserve"> </w:t>
            </w:r>
          </w:p>
          <w:p w14:paraId="4A04BA53"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Targeted reviews of specific activities, such as the </w:t>
            </w:r>
            <w:proofErr w:type="gramStart"/>
            <w:r>
              <w:t>RIFP;</w:t>
            </w:r>
            <w:proofErr w:type="gramEnd"/>
            <w:r>
              <w:t xml:space="preserve"> </w:t>
            </w:r>
          </w:p>
          <w:p w14:paraId="156E6EE1" w14:textId="6834088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pPr>
            <w:r>
              <w:t xml:space="preserve">The identification of critical outcome pathways for future focus of monitoring and evaluation efforts; and </w:t>
            </w:r>
          </w:p>
          <w:p w14:paraId="48A06B8E" w14:textId="77777777" w:rsidR="00866ED3" w:rsidRDefault="00866ED3" w:rsidP="001B2509">
            <w:pPr>
              <w:pStyle w:val="ListBullet"/>
              <w:cnfStyle w:val="000000000000" w:firstRow="0" w:lastRow="0" w:firstColumn="0" w:lastColumn="0" w:oddVBand="0" w:evenVBand="0" w:oddHBand="0" w:evenHBand="0" w:firstRowFirstColumn="0" w:firstRowLastColumn="0" w:lastRowFirstColumn="0" w:lastRowLastColumn="0"/>
              <w:rPr>
                <w:b/>
                <w:bCs/>
              </w:rPr>
            </w:pPr>
            <w:r>
              <w:t>Collaboration from ACPSEM and other key stakeholders to ensure a shared understanding of the workforce needs and intended program outcomes.</w:t>
            </w:r>
          </w:p>
        </w:tc>
      </w:tr>
    </w:tbl>
    <w:p w14:paraId="516B7D7A" w14:textId="5B521DC4" w:rsidR="007E2B9F" w:rsidRPr="00344770" w:rsidRDefault="00344770" w:rsidP="00194457">
      <w:pPr>
        <w:pStyle w:val="Caption"/>
        <w:spacing w:before="0" w:after="0"/>
        <w:rPr>
          <w:szCs w:val="24"/>
        </w:rPr>
        <w:sectPr w:rsidR="007E2B9F" w:rsidRPr="00344770" w:rsidSect="00E95A3B">
          <w:headerReference w:type="default" r:id="rId64"/>
          <w:pgSz w:w="16838" w:h="11906" w:orient="landscape"/>
          <w:pgMar w:top="1134" w:right="1701" w:bottom="1134" w:left="1134" w:header="709" w:footer="454" w:gutter="0"/>
          <w:cols w:space="708"/>
          <w:docGrid w:linePitch="360"/>
        </w:sectPr>
      </w:pPr>
      <w:r w:rsidRPr="00344770">
        <w:rPr>
          <w:szCs w:val="24"/>
        </w:rPr>
        <w:t>Source: KPMG, 2024.</w:t>
      </w:r>
    </w:p>
    <w:p w14:paraId="19DA003C" w14:textId="59D64F40" w:rsidR="00894EF4" w:rsidRDefault="00894EF4" w:rsidP="005D2865">
      <w:pPr>
        <w:pStyle w:val="Heading1"/>
      </w:pPr>
      <w:bookmarkStart w:id="222" w:name="_Ref184119244"/>
      <w:bookmarkStart w:id="223" w:name="_Toc184396573"/>
      <w:bookmarkStart w:id="224" w:name="_Toc216711604"/>
      <w:bookmarkStart w:id="225" w:name="_Toc216792001"/>
      <w:bookmarkEnd w:id="216"/>
      <w:r w:rsidRPr="008D0928">
        <w:t>A</w:t>
      </w:r>
      <w:r>
        <w:t>ppendix</w:t>
      </w:r>
      <w:r w:rsidRPr="008D0928">
        <w:t xml:space="preserve"> </w:t>
      </w:r>
      <w:r w:rsidR="005218C0">
        <w:t>A</w:t>
      </w:r>
      <w:r w:rsidRPr="008D0928">
        <w:t xml:space="preserve">: Evaluation </w:t>
      </w:r>
      <w:r w:rsidR="002A0C2F">
        <w:t>approach</w:t>
      </w:r>
      <w:bookmarkEnd w:id="222"/>
      <w:bookmarkEnd w:id="223"/>
      <w:bookmarkEnd w:id="224"/>
      <w:bookmarkEnd w:id="225"/>
    </w:p>
    <w:p w14:paraId="46D4AD95" w14:textId="33C1E64C" w:rsidR="00BE5D8C" w:rsidRPr="00C75894" w:rsidRDefault="00CB0E04" w:rsidP="00BE5D8C">
      <w:pPr>
        <w:pStyle w:val="BodyText"/>
      </w:pPr>
      <w:r>
        <w:t>A</w:t>
      </w:r>
      <w:r w:rsidR="00BE5D8C" w:rsidRPr="00C75894">
        <w:t xml:space="preserve"> mixed-methods data </w:t>
      </w:r>
      <w:r>
        <w:t>approach was adopted</w:t>
      </w:r>
      <w:r w:rsidR="00BE5D8C" w:rsidRPr="00C75894">
        <w:t>, which involve</w:t>
      </w:r>
      <w:r w:rsidR="00E650C3">
        <w:t>d</w:t>
      </w:r>
      <w:r w:rsidR="00BE5D8C" w:rsidRPr="00C75894">
        <w:t xml:space="preserve"> the systematic integration of quantitative and qualitative data sources to provide findings across the process and outcomes evaluation domains of inquiry. This approach provide</w:t>
      </w:r>
      <w:r w:rsidR="00146808">
        <w:t>d</w:t>
      </w:r>
      <w:r w:rsidR="00BE5D8C" w:rsidRPr="00C75894">
        <w:t xml:space="preserve"> sufficient evidence for all KEQs and enable</w:t>
      </w:r>
      <w:r w:rsidR="00146808">
        <w:t>d</w:t>
      </w:r>
      <w:r w:rsidR="00BE5D8C" w:rsidRPr="00C75894">
        <w:t xml:space="preserve"> the Department to triangulate the evidence capture</w:t>
      </w:r>
      <w:r w:rsidR="00191612">
        <w:t>d</w:t>
      </w:r>
      <w:r w:rsidR="00BE5D8C" w:rsidRPr="00C75894">
        <w:t xml:space="preserve"> through various data collection activities to ensure credibility and validity of findings.  </w:t>
      </w:r>
    </w:p>
    <w:p w14:paraId="6814070A" w14:textId="3DDD11B1" w:rsidR="00BE5D8C" w:rsidRPr="00C75894" w:rsidRDefault="00BE5D8C" w:rsidP="00BE5D8C">
      <w:pPr>
        <w:pStyle w:val="BodyText"/>
      </w:pPr>
      <w:r w:rsidRPr="00C75894">
        <w:t xml:space="preserve">Quantitative and qualitative data collection </w:t>
      </w:r>
      <w:r w:rsidR="00146808">
        <w:t xml:space="preserve">occurred </w:t>
      </w:r>
      <w:r w:rsidRPr="00C75894">
        <w:t>in a staged approach</w:t>
      </w:r>
      <w:r w:rsidR="00E57884">
        <w:t xml:space="preserve"> to ensure </w:t>
      </w:r>
      <w:r w:rsidR="00572804">
        <w:t>that</w:t>
      </w:r>
      <w:r w:rsidRPr="00C75894">
        <w:t xml:space="preserve"> findings and insights gathered in each stage cumulatively inform</w:t>
      </w:r>
      <w:r w:rsidR="00572804">
        <w:t xml:space="preserve">ed </w:t>
      </w:r>
      <w:r w:rsidRPr="00C75894">
        <w:t xml:space="preserve">the next stage. For example, desktop and literature scan activities </w:t>
      </w:r>
      <w:r w:rsidR="00572804">
        <w:t xml:space="preserve">were </w:t>
      </w:r>
      <w:r w:rsidRPr="00C75894">
        <w:t xml:space="preserve">used to support the development of stakeholder consultation guides and survey questions.   </w:t>
      </w:r>
    </w:p>
    <w:p w14:paraId="635F09A2" w14:textId="77777777" w:rsidR="00BE5D8C" w:rsidRPr="00C75894" w:rsidRDefault="00BE5D8C" w:rsidP="005D2865">
      <w:pPr>
        <w:pStyle w:val="Heading2"/>
      </w:pPr>
      <w:bookmarkStart w:id="226" w:name="_Toc169276029"/>
      <w:bookmarkStart w:id="227" w:name="_Toc184396574"/>
      <w:bookmarkStart w:id="228" w:name="_Toc216711605"/>
      <w:bookmarkStart w:id="229" w:name="_Toc216792002"/>
      <w:r w:rsidRPr="00C75894">
        <w:t>Quantitative data</w:t>
      </w:r>
      <w:bookmarkEnd w:id="226"/>
      <w:bookmarkEnd w:id="227"/>
      <w:bookmarkEnd w:id="228"/>
      <w:bookmarkEnd w:id="229"/>
    </w:p>
    <w:p w14:paraId="5001877C" w14:textId="512BCD33" w:rsidR="00BE5D8C" w:rsidRPr="00C75894" w:rsidRDefault="00BE5D8C" w:rsidP="00BE5D8C">
      <w:pPr>
        <w:pStyle w:val="BodyText"/>
      </w:pPr>
      <w:r w:rsidRPr="00C75894">
        <w:t xml:space="preserve">The key quantitative data sources that </w:t>
      </w:r>
      <w:r w:rsidR="00270DA0">
        <w:t>were</w:t>
      </w:r>
      <w:r w:rsidRPr="00C75894">
        <w:t xml:space="preserve"> used for the evaluation are outlined below. </w:t>
      </w:r>
    </w:p>
    <w:p w14:paraId="491C9E89" w14:textId="435B408B" w:rsidR="00BE5D8C" w:rsidRPr="00C75894" w:rsidRDefault="00BE5D8C" w:rsidP="00584EC6">
      <w:pPr>
        <w:pStyle w:val="BodyText"/>
        <w:numPr>
          <w:ilvl w:val="0"/>
          <w:numId w:val="73"/>
        </w:numPr>
      </w:pPr>
      <w:r w:rsidRPr="00C75894">
        <w:rPr>
          <w:b/>
          <w:bCs/>
        </w:rPr>
        <w:t>Performance, financial and annual reports from government-funded services</w:t>
      </w:r>
      <w:r w:rsidR="00D84B72">
        <w:rPr>
          <w:b/>
          <w:bCs/>
        </w:rPr>
        <w:t>:</w:t>
      </w:r>
      <w:r w:rsidR="00D84B72">
        <w:t xml:space="preserve"> t</w:t>
      </w:r>
      <w:r w:rsidRPr="00C75894">
        <w:t>his source includes KPI, and financial acquittal data currently collected by the Department as part of the grant process.</w:t>
      </w:r>
      <w:r w:rsidR="00D84B72">
        <w:t xml:space="preserve"> </w:t>
      </w:r>
      <w:r w:rsidRPr="00C75894">
        <w:t xml:space="preserve">Considerations: Information currently collected by the Department </w:t>
      </w:r>
      <w:r w:rsidR="006F6237">
        <w:t>is</w:t>
      </w:r>
      <w:r w:rsidRPr="00C75894">
        <w:t xml:space="preserve"> limited in granularity and </w:t>
      </w:r>
      <w:r w:rsidR="008D31AD">
        <w:t xml:space="preserve">is </w:t>
      </w:r>
      <w:r w:rsidRPr="00C75894">
        <w:t>focus</w:t>
      </w:r>
      <w:r w:rsidR="008D31AD">
        <w:t>ed</w:t>
      </w:r>
      <w:r w:rsidRPr="00C75894">
        <w:t xml:space="preserve"> on outputs rather than outcomes. </w:t>
      </w:r>
    </w:p>
    <w:p w14:paraId="069F8C75" w14:textId="687A6909" w:rsidR="00D84B72" w:rsidRPr="00C75894" w:rsidRDefault="00BE5D8C" w:rsidP="00584EC6">
      <w:pPr>
        <w:pStyle w:val="BodyText"/>
        <w:numPr>
          <w:ilvl w:val="0"/>
          <w:numId w:val="74"/>
        </w:numPr>
      </w:pPr>
      <w:r w:rsidRPr="00C75894">
        <w:rPr>
          <w:b/>
          <w:bCs/>
        </w:rPr>
        <w:t>Outcomes data (through surveys)</w:t>
      </w:r>
      <w:r w:rsidR="00D84B72">
        <w:t>: s</w:t>
      </w:r>
      <w:r w:rsidRPr="00C75894">
        <w:t xml:space="preserve">urveys </w:t>
      </w:r>
      <w:r w:rsidR="00D26F66">
        <w:t>were used</w:t>
      </w:r>
      <w:r w:rsidRPr="00C75894">
        <w:t xml:space="preserve"> to </w:t>
      </w:r>
      <w:r w:rsidR="00D26F66">
        <w:t>collect</w:t>
      </w:r>
      <w:r w:rsidR="00D26F66" w:rsidRPr="00C75894">
        <w:t xml:space="preserve"> </w:t>
      </w:r>
      <w:r w:rsidRPr="00C75894">
        <w:t xml:space="preserve">key insights and perspectives from </w:t>
      </w:r>
      <w:r w:rsidR="003F4200">
        <w:t xml:space="preserve">Registrars </w:t>
      </w:r>
      <w:r w:rsidR="0010274C">
        <w:t>and</w:t>
      </w:r>
      <w:r w:rsidRPr="00C75894">
        <w:t xml:space="preserve"> </w:t>
      </w:r>
      <w:r w:rsidR="009B6D3A">
        <w:t>S</w:t>
      </w:r>
      <w:r w:rsidRPr="00C75894">
        <w:t>upervisors</w:t>
      </w:r>
      <w:r w:rsidR="0010274C">
        <w:t>.</w:t>
      </w:r>
      <w:r w:rsidRPr="00C75894">
        <w:t xml:space="preserve"> The survey </w:t>
      </w:r>
      <w:r w:rsidR="00626E5F">
        <w:t>provided</w:t>
      </w:r>
      <w:r w:rsidRPr="00C75894">
        <w:t xml:space="preserve"> valuable input into the implementation, appropriateness</w:t>
      </w:r>
      <w:r w:rsidR="00662BF0">
        <w:t>,</w:t>
      </w:r>
      <w:r w:rsidRPr="00C75894">
        <w:t xml:space="preserve"> and effectiveness evaluation areas. The survey data collected capture both qualitative and quantitative insights including, but not limited to, data pertaining to stakeholder perceptions</w:t>
      </w:r>
      <w:r w:rsidR="00550139">
        <w:t xml:space="preserve"> of the design, delivery and outcomes of TEAP</w:t>
      </w:r>
      <w:r w:rsidRPr="00C75894">
        <w:t xml:space="preserve">. </w:t>
      </w:r>
    </w:p>
    <w:p w14:paraId="15F2CB23" w14:textId="1E5357C4" w:rsidR="00D84B72" w:rsidRPr="00C75894" w:rsidRDefault="00BE5D8C" w:rsidP="00584EC6">
      <w:pPr>
        <w:pStyle w:val="BodyText"/>
        <w:numPr>
          <w:ilvl w:val="0"/>
          <w:numId w:val="74"/>
        </w:numPr>
      </w:pPr>
      <w:r w:rsidRPr="00D84B72">
        <w:rPr>
          <w:b/>
          <w:bCs/>
        </w:rPr>
        <w:t>Cost data (including funding</w:t>
      </w:r>
      <w:r w:rsidR="00B90FEA" w:rsidRPr="00D84B72">
        <w:rPr>
          <w:b/>
          <w:bCs/>
        </w:rPr>
        <w:t>,</w:t>
      </w:r>
      <w:r w:rsidRPr="00D84B72">
        <w:rPr>
          <w:b/>
          <w:bCs/>
        </w:rPr>
        <w:t xml:space="preserve"> e.g. grant, in-kind, admin)</w:t>
      </w:r>
      <w:r w:rsidR="00D84B72">
        <w:t>: t</w:t>
      </w:r>
      <w:r w:rsidRPr="00C75894">
        <w:t xml:space="preserve">his data source included information regarding the total funding provided to ACPSEM, any additional in-kind support provided as part of </w:t>
      </w:r>
      <w:r w:rsidR="00273FF7">
        <w:t xml:space="preserve">the </w:t>
      </w:r>
      <w:r w:rsidRPr="00C75894">
        <w:t>funding agreement</w:t>
      </w:r>
      <w:r w:rsidR="00273FF7">
        <w:t>,</w:t>
      </w:r>
      <w:r w:rsidRPr="00C75894">
        <w:t xml:space="preserve"> and </w:t>
      </w:r>
      <w:proofErr w:type="spellStart"/>
      <w:r w:rsidRPr="00C75894">
        <w:t>DoHAC</w:t>
      </w:r>
      <w:proofErr w:type="spellEnd"/>
      <w:r w:rsidRPr="00C75894">
        <w:t xml:space="preserve"> administration costs for administering the program.</w:t>
      </w:r>
    </w:p>
    <w:p w14:paraId="468CC83F" w14:textId="41F3A520" w:rsidR="00BE5D8C" w:rsidRPr="00C75894" w:rsidRDefault="00BE5D8C" w:rsidP="00584EC6">
      <w:pPr>
        <w:pStyle w:val="BodyText"/>
        <w:numPr>
          <w:ilvl w:val="0"/>
          <w:numId w:val="74"/>
        </w:numPr>
      </w:pPr>
      <w:r w:rsidRPr="00D84B72">
        <w:rPr>
          <w:b/>
          <w:bCs/>
        </w:rPr>
        <w:t>ACPSEM datasets</w:t>
      </w:r>
      <w:r w:rsidR="00D84B72">
        <w:t>: t</w:t>
      </w:r>
      <w:r w:rsidRPr="00C75894">
        <w:t xml:space="preserve">his source includes a range of data routinely collected by ACPSEM on </w:t>
      </w:r>
      <w:r w:rsidR="00F853C7">
        <w:t>Registrars</w:t>
      </w:r>
      <w:r w:rsidRPr="00C75894">
        <w:t xml:space="preserve">, graduates and </w:t>
      </w:r>
      <w:r w:rsidR="009B6D3A">
        <w:t>S</w:t>
      </w:r>
      <w:r w:rsidRPr="00C75894">
        <w:t>upervisors.</w:t>
      </w:r>
    </w:p>
    <w:p w14:paraId="21EAE790" w14:textId="51D2D408" w:rsidR="00BE5D8C" w:rsidRPr="00C75894" w:rsidRDefault="00BE5D8C" w:rsidP="00BE5D8C">
      <w:pPr>
        <w:pStyle w:val="BodyText"/>
      </w:pPr>
      <w:r w:rsidRPr="00C75894">
        <w:t xml:space="preserve">The period of analysis </w:t>
      </w:r>
      <w:r w:rsidR="00847331">
        <w:t xml:space="preserve">is </w:t>
      </w:r>
      <w:r w:rsidRPr="00C75894">
        <w:t>focus</w:t>
      </w:r>
      <w:r w:rsidR="00847331">
        <w:t>ed</w:t>
      </w:r>
      <w:r w:rsidRPr="00C75894">
        <w:t xml:space="preserve"> on 2018 onwards. The evaluation team </w:t>
      </w:r>
      <w:r w:rsidR="00847331">
        <w:t>assessed</w:t>
      </w:r>
      <w:r w:rsidRPr="00C75894">
        <w:t xml:space="preserve"> the completeness and consistency of data collected over this </w:t>
      </w:r>
      <w:proofErr w:type="gramStart"/>
      <w:r w:rsidRPr="00C75894">
        <w:t>time period</w:t>
      </w:r>
      <w:proofErr w:type="gramEnd"/>
      <w:r w:rsidRPr="00C75894">
        <w:t xml:space="preserve"> and across different grant funding rounds.</w:t>
      </w:r>
    </w:p>
    <w:p w14:paraId="216FF4A5" w14:textId="77777777" w:rsidR="00BE5D8C" w:rsidRPr="00C75894" w:rsidRDefault="00BE5D8C" w:rsidP="005D2865">
      <w:pPr>
        <w:pStyle w:val="Heading2"/>
      </w:pPr>
      <w:bookmarkStart w:id="230" w:name="_Toc169276030"/>
      <w:bookmarkStart w:id="231" w:name="_Toc184396575"/>
      <w:bookmarkStart w:id="232" w:name="_Toc216711606"/>
      <w:bookmarkStart w:id="233" w:name="_Toc216792003"/>
      <w:r w:rsidRPr="00C75894">
        <w:t>Qualitative data</w:t>
      </w:r>
      <w:bookmarkEnd w:id="230"/>
      <w:bookmarkEnd w:id="231"/>
      <w:bookmarkEnd w:id="232"/>
      <w:bookmarkEnd w:id="233"/>
    </w:p>
    <w:p w14:paraId="5F093202" w14:textId="186BF63F" w:rsidR="00BE5D8C" w:rsidRPr="00C75894" w:rsidRDefault="00BE5D8C" w:rsidP="00BE5D8C">
      <w:pPr>
        <w:pStyle w:val="BodyText"/>
        <w:rPr>
          <w:bCs/>
        </w:rPr>
      </w:pPr>
      <w:r w:rsidRPr="00C75894">
        <w:rPr>
          <w:bCs/>
        </w:rPr>
        <w:t xml:space="preserve">The key qualitative data sources used for the evaluation are outlined below. </w:t>
      </w:r>
    </w:p>
    <w:p w14:paraId="5CE00521" w14:textId="3FEA002B" w:rsidR="00920492" w:rsidRPr="00194457" w:rsidRDefault="00BE5D8C" w:rsidP="00584EC6">
      <w:pPr>
        <w:pStyle w:val="BodyText"/>
        <w:numPr>
          <w:ilvl w:val="0"/>
          <w:numId w:val="73"/>
        </w:numPr>
        <w:rPr>
          <w:b/>
        </w:rPr>
      </w:pPr>
      <w:r w:rsidRPr="00C75894">
        <w:rPr>
          <w:b/>
          <w:bCs/>
        </w:rPr>
        <w:t>Document review</w:t>
      </w:r>
      <w:r w:rsidR="00D84B72" w:rsidRPr="00194457">
        <w:rPr>
          <w:b/>
        </w:rPr>
        <w:t xml:space="preserve">: </w:t>
      </w:r>
      <w:r w:rsidR="00D84B72" w:rsidRPr="00B40B7A">
        <w:t>p</w:t>
      </w:r>
      <w:r w:rsidRPr="00B40B7A">
        <w:t xml:space="preserve">olicy and program documentation relating to the implementation and delivery of the MPS Program, such as </w:t>
      </w:r>
      <w:r w:rsidR="00CE55CE" w:rsidRPr="00B40B7A">
        <w:t>AWPs</w:t>
      </w:r>
      <w:r w:rsidRPr="00B40B7A">
        <w:t xml:space="preserve">, </w:t>
      </w:r>
      <w:r w:rsidR="00040363" w:rsidRPr="00B40B7A">
        <w:t>were</w:t>
      </w:r>
      <w:r w:rsidRPr="00B40B7A">
        <w:t xml:space="preserve"> reviewed to understand and assess the extent to which the intended outputs and outcomes of the program have been developed and/or implemented. Information </w:t>
      </w:r>
      <w:r w:rsidR="00040363" w:rsidRPr="00B40B7A">
        <w:t xml:space="preserve">was </w:t>
      </w:r>
      <w:r w:rsidR="00685E88" w:rsidRPr="00B40B7A">
        <w:t>primarily sought</w:t>
      </w:r>
      <w:r w:rsidRPr="00B40B7A">
        <w:t xml:space="preserve"> from the Department.</w:t>
      </w:r>
      <w:r w:rsidRPr="00194457">
        <w:rPr>
          <w:b/>
        </w:rPr>
        <w:t xml:space="preserve"> </w:t>
      </w:r>
    </w:p>
    <w:p w14:paraId="6918F33D" w14:textId="7002C59E" w:rsidR="00920492" w:rsidRPr="00194457" w:rsidRDefault="00BE5D8C" w:rsidP="00584EC6">
      <w:pPr>
        <w:pStyle w:val="BodyText"/>
        <w:numPr>
          <w:ilvl w:val="0"/>
          <w:numId w:val="73"/>
        </w:numPr>
        <w:rPr>
          <w:b/>
        </w:rPr>
      </w:pPr>
      <w:r w:rsidRPr="00920492">
        <w:rPr>
          <w:b/>
          <w:bCs/>
        </w:rPr>
        <w:t>Literature scan</w:t>
      </w:r>
      <w:r w:rsidR="00D84B72" w:rsidRPr="00194457">
        <w:rPr>
          <w:b/>
        </w:rPr>
        <w:t xml:space="preserve">: </w:t>
      </w:r>
      <w:r w:rsidR="00D84B72" w:rsidRPr="00B40B7A">
        <w:t>a</w:t>
      </w:r>
      <w:r w:rsidRPr="00B40B7A">
        <w:t xml:space="preserve"> literature scan </w:t>
      </w:r>
      <w:r w:rsidR="00040363" w:rsidRPr="00B40B7A">
        <w:t xml:space="preserve">was completed </w:t>
      </w:r>
      <w:r w:rsidRPr="00B40B7A">
        <w:t xml:space="preserve">to ground the evaluation in the evidence for what is effective in increasing workforce capability and capacity for medical physicists and </w:t>
      </w:r>
      <w:r w:rsidR="0043409D" w:rsidRPr="00B40B7A">
        <w:t>RPSs</w:t>
      </w:r>
      <w:r w:rsidR="00D84B72" w:rsidRPr="00B40B7A">
        <w:t xml:space="preserve"> (see Appendix C)</w:t>
      </w:r>
      <w:r w:rsidRPr="00B40B7A">
        <w:t>.</w:t>
      </w:r>
      <w:r w:rsidRPr="00194457">
        <w:rPr>
          <w:b/>
        </w:rPr>
        <w:t xml:space="preserve">  </w:t>
      </w:r>
    </w:p>
    <w:p w14:paraId="68A4591E" w14:textId="7BDD0979" w:rsidR="00920492" w:rsidRPr="00194457" w:rsidRDefault="00BE5D8C" w:rsidP="00584EC6">
      <w:pPr>
        <w:pStyle w:val="BodyText"/>
        <w:numPr>
          <w:ilvl w:val="0"/>
          <w:numId w:val="73"/>
        </w:numPr>
        <w:rPr>
          <w:b/>
        </w:rPr>
      </w:pPr>
      <w:r w:rsidRPr="00920492">
        <w:rPr>
          <w:b/>
          <w:bCs/>
        </w:rPr>
        <w:t>Consultations (various stakeholders)</w:t>
      </w:r>
      <w:r w:rsidR="00D84B72" w:rsidRPr="00194457">
        <w:rPr>
          <w:b/>
        </w:rPr>
        <w:t xml:space="preserve">: </w:t>
      </w:r>
      <w:r w:rsidRPr="00B40B7A">
        <w:t xml:space="preserve">KPMG </w:t>
      </w:r>
      <w:r w:rsidR="004A3935" w:rsidRPr="00B40B7A">
        <w:t>undertook</w:t>
      </w:r>
      <w:r w:rsidRPr="00B40B7A">
        <w:t xml:space="preserve"> consultations to seek views of various stakeholders involved with the MPS</w:t>
      </w:r>
      <w:r w:rsidR="008664C2" w:rsidRPr="00B40B7A">
        <w:t xml:space="preserve"> </w:t>
      </w:r>
      <w:r w:rsidRPr="00B40B7A">
        <w:t>P</w:t>
      </w:r>
      <w:r w:rsidR="008664C2" w:rsidRPr="00B40B7A">
        <w:t>rogram</w:t>
      </w:r>
      <w:r w:rsidRPr="00B40B7A">
        <w:t xml:space="preserve">. </w:t>
      </w:r>
      <w:r w:rsidR="00D84B72" w:rsidRPr="00B40B7A">
        <w:t>S</w:t>
      </w:r>
      <w:r w:rsidRPr="00B40B7A">
        <w:t xml:space="preserve">takeholders </w:t>
      </w:r>
      <w:r w:rsidR="00D84B72" w:rsidRPr="00B40B7A">
        <w:t xml:space="preserve">engaged with for this evaluation </w:t>
      </w:r>
      <w:r w:rsidRPr="00B40B7A">
        <w:t>include</w:t>
      </w:r>
      <w:r w:rsidR="00D84B72" w:rsidRPr="00B40B7A">
        <w:t>d</w:t>
      </w:r>
      <w:r w:rsidRPr="00B40B7A">
        <w:t xml:space="preserve"> ACPSEM, </w:t>
      </w:r>
      <w:r w:rsidR="00D84B72" w:rsidRPr="00B40B7A">
        <w:t>TEAP current Registrars and graduates</w:t>
      </w:r>
      <w:r w:rsidRPr="00B40B7A">
        <w:t xml:space="preserve">, </w:t>
      </w:r>
      <w:r w:rsidR="00D84B72" w:rsidRPr="00B40B7A">
        <w:t xml:space="preserve">TEAP </w:t>
      </w:r>
      <w:r w:rsidR="009B6D3A" w:rsidRPr="00B40B7A">
        <w:t>S</w:t>
      </w:r>
      <w:r w:rsidRPr="00B40B7A">
        <w:t xml:space="preserve">upervisors, </w:t>
      </w:r>
      <w:r w:rsidR="00AD6F9B" w:rsidRPr="00B40B7A">
        <w:t>S</w:t>
      </w:r>
      <w:r w:rsidRPr="00B40B7A">
        <w:t xml:space="preserve">tate and </w:t>
      </w:r>
      <w:r w:rsidR="00AD6F9B" w:rsidRPr="00B40B7A">
        <w:t>T</w:t>
      </w:r>
      <w:r w:rsidRPr="00B40B7A">
        <w:t>erritory Departments of Health, and other external stakeholders</w:t>
      </w:r>
      <w:r w:rsidR="0091641E" w:rsidRPr="00B40B7A">
        <w:t>, including ARPANSA and RANZCR</w:t>
      </w:r>
      <w:r w:rsidRPr="00B40B7A">
        <w:t xml:space="preserve">. These consultations </w:t>
      </w:r>
      <w:r w:rsidR="0091641E" w:rsidRPr="00B40B7A">
        <w:t>were</w:t>
      </w:r>
      <w:r w:rsidRPr="00B40B7A">
        <w:t xml:space="preserve"> used to understand the extent to which </w:t>
      </w:r>
      <w:r w:rsidR="0069442C" w:rsidRPr="00B40B7A">
        <w:t>individuals believe</w:t>
      </w:r>
      <w:r w:rsidRPr="00B40B7A">
        <w:t xml:space="preserve"> that the MPS</w:t>
      </w:r>
      <w:r w:rsidR="008664C2" w:rsidRPr="00B40B7A">
        <w:t xml:space="preserve"> </w:t>
      </w:r>
      <w:r w:rsidRPr="00B40B7A">
        <w:t>P</w:t>
      </w:r>
      <w:r w:rsidR="008664C2" w:rsidRPr="00B40B7A">
        <w:t>rogram</w:t>
      </w:r>
      <w:r w:rsidRPr="00B40B7A">
        <w:t xml:space="preserve"> has been implemented as intended, is appropriately designed to achieve intended outcomes</w:t>
      </w:r>
      <w:r w:rsidR="00846A94" w:rsidRPr="00B40B7A">
        <w:t>,</w:t>
      </w:r>
      <w:r w:rsidRPr="00B40B7A">
        <w:t xml:space="preserve"> and </w:t>
      </w:r>
      <w:r w:rsidR="00846A94" w:rsidRPr="00B40B7A">
        <w:t xml:space="preserve">is </w:t>
      </w:r>
      <w:r w:rsidRPr="00B40B7A">
        <w:t>effective and sustainable in achieving its desired outcomes. These consultation</w:t>
      </w:r>
      <w:r w:rsidR="009D1112" w:rsidRPr="00B40B7A">
        <w:t>s</w:t>
      </w:r>
      <w:r w:rsidRPr="00B40B7A">
        <w:t xml:space="preserve"> capture</w:t>
      </w:r>
      <w:r w:rsidR="009D1112" w:rsidRPr="00B40B7A">
        <w:t>d</w:t>
      </w:r>
      <w:r w:rsidRPr="00B40B7A">
        <w:t xml:space="preserve"> stakeholder insight</w:t>
      </w:r>
      <w:r w:rsidR="009D1112" w:rsidRPr="00B40B7A">
        <w:t>s</w:t>
      </w:r>
      <w:r w:rsidRPr="00B40B7A">
        <w:t xml:space="preserve"> into observed barriers and enable</w:t>
      </w:r>
      <w:r w:rsidR="00846A94" w:rsidRPr="00B40B7A">
        <w:t>r</w:t>
      </w:r>
      <w:r w:rsidRPr="00B40B7A">
        <w:t>s to achieve intended outcomes and any identified opportunities from similar programs.</w:t>
      </w:r>
      <w:r w:rsidRPr="00194457">
        <w:rPr>
          <w:b/>
        </w:rPr>
        <w:t xml:space="preserve"> </w:t>
      </w:r>
    </w:p>
    <w:p w14:paraId="63AC3E65" w14:textId="5F24107B" w:rsidR="00BE5D8C" w:rsidRPr="00194457" w:rsidRDefault="00BE5D8C" w:rsidP="00584EC6">
      <w:pPr>
        <w:pStyle w:val="BodyText"/>
        <w:numPr>
          <w:ilvl w:val="0"/>
          <w:numId w:val="73"/>
        </w:numPr>
        <w:rPr>
          <w:b/>
        </w:rPr>
      </w:pPr>
      <w:r w:rsidRPr="00846A94">
        <w:rPr>
          <w:b/>
          <w:bCs/>
        </w:rPr>
        <w:t>Surveys (various stakeholders)</w:t>
      </w:r>
      <w:r w:rsidR="00846A94" w:rsidRPr="00194457">
        <w:rPr>
          <w:b/>
        </w:rPr>
        <w:t xml:space="preserve">: </w:t>
      </w:r>
      <w:r w:rsidR="00846A94" w:rsidRPr="00B40B7A">
        <w:t>s</w:t>
      </w:r>
      <w:r w:rsidRPr="00B40B7A">
        <w:t xml:space="preserve">urveys </w:t>
      </w:r>
      <w:r w:rsidR="00664730" w:rsidRPr="00B40B7A">
        <w:t>were used</w:t>
      </w:r>
      <w:r w:rsidRPr="00B40B7A">
        <w:t xml:space="preserve"> to collec</w:t>
      </w:r>
      <w:r w:rsidR="00664730" w:rsidRPr="00B40B7A">
        <w:t>t</w:t>
      </w:r>
      <w:r w:rsidRPr="00B40B7A">
        <w:t xml:space="preserve"> key insights and perspectives from </w:t>
      </w:r>
      <w:r w:rsidR="00A50847" w:rsidRPr="00B40B7A">
        <w:t xml:space="preserve">Registrars </w:t>
      </w:r>
      <w:r w:rsidR="00DF40E8" w:rsidRPr="00B40B7A">
        <w:t>and</w:t>
      </w:r>
      <w:r w:rsidRPr="00B40B7A">
        <w:t xml:space="preserve"> </w:t>
      </w:r>
      <w:r w:rsidR="009B6D3A" w:rsidRPr="00B40B7A">
        <w:t>S</w:t>
      </w:r>
      <w:r w:rsidRPr="00B40B7A">
        <w:t xml:space="preserve">upervisors. The survey </w:t>
      </w:r>
      <w:r w:rsidR="00664730" w:rsidRPr="00B40B7A">
        <w:t>provided</w:t>
      </w:r>
      <w:r w:rsidRPr="00B40B7A">
        <w:t xml:space="preserve"> valuable input into the implementation, appropriateness</w:t>
      </w:r>
      <w:r w:rsidR="00A50847" w:rsidRPr="00B40B7A">
        <w:t>,</w:t>
      </w:r>
      <w:r w:rsidRPr="00B40B7A">
        <w:t xml:space="preserve"> and effectiveness evaluation </w:t>
      </w:r>
      <w:r w:rsidR="00A50847" w:rsidRPr="00B40B7A">
        <w:t>domains</w:t>
      </w:r>
      <w:r w:rsidRPr="00B40B7A">
        <w:t>. The survey data collected capture</w:t>
      </w:r>
      <w:r w:rsidR="00664730" w:rsidRPr="00B40B7A">
        <w:t>d</w:t>
      </w:r>
      <w:r w:rsidRPr="00B40B7A">
        <w:t xml:space="preserve"> both qualitative and quantitative insights including, but not limited to, data pertaining to stakeholder perceptions, and potential barriers to increased workforce uptake. Considerations: Surveys </w:t>
      </w:r>
      <w:r w:rsidR="00182B1A" w:rsidRPr="00B40B7A">
        <w:t xml:space="preserve">were </w:t>
      </w:r>
      <w:r w:rsidRPr="00B40B7A">
        <w:t>designed for ease of understanding and support</w:t>
      </w:r>
      <w:r w:rsidR="00920492" w:rsidRPr="00B40B7A">
        <w:t>ed</w:t>
      </w:r>
      <w:r w:rsidRPr="00B40B7A">
        <w:t xml:space="preserve"> swift completion by participants.</w:t>
      </w:r>
      <w:r w:rsidRPr="00194457">
        <w:rPr>
          <w:b/>
        </w:rPr>
        <w:t xml:space="preserve"> </w:t>
      </w:r>
    </w:p>
    <w:p w14:paraId="61E285D3" w14:textId="77777777" w:rsidR="00BE5D8C" w:rsidRPr="00C75894" w:rsidRDefault="00BE5D8C" w:rsidP="005D2865">
      <w:pPr>
        <w:pStyle w:val="Heading2"/>
        <w:rPr>
          <w:rStyle w:val="Heading2Char"/>
        </w:rPr>
      </w:pPr>
      <w:bookmarkStart w:id="234" w:name="_Toc169276031"/>
      <w:bookmarkStart w:id="235" w:name="_Toc184396576"/>
      <w:bookmarkStart w:id="236" w:name="_Toc216711607"/>
      <w:bookmarkStart w:id="237" w:name="_Toc216792004"/>
      <w:r w:rsidRPr="00C75894">
        <w:rPr>
          <w:rStyle w:val="Heading2Char"/>
        </w:rPr>
        <w:t>Data matrix</w:t>
      </w:r>
      <w:bookmarkEnd w:id="234"/>
      <w:bookmarkEnd w:id="235"/>
      <w:bookmarkEnd w:id="236"/>
      <w:bookmarkEnd w:id="237"/>
    </w:p>
    <w:p w14:paraId="4A34E763" w14:textId="05993214" w:rsidR="00BE5D8C" w:rsidRPr="00C75894" w:rsidRDefault="00BE5D8C" w:rsidP="00BE5D8C">
      <w:pPr>
        <w:pStyle w:val="BodyText"/>
        <w:spacing w:after="60"/>
        <w:jc w:val="both"/>
      </w:pPr>
      <w:r w:rsidRPr="00C75894">
        <w:t xml:space="preserve">To explore strengths and areas for improvement of the MPS Program, the </w:t>
      </w:r>
      <w:r w:rsidR="003F61F0">
        <w:t>KEQs</w:t>
      </w:r>
      <w:r w:rsidRPr="00C75894">
        <w:t xml:space="preserve"> and sub-questions are accompanied by indicators and metrics encompassing both quantitative and qualitative descriptors. Indicators represent the specific quantitative and qualitative elements which provide the detailed data to support each of the evaluation questions and sub-questions. </w:t>
      </w:r>
    </w:p>
    <w:p w14:paraId="6A9DA4D8" w14:textId="0FE8C8CE" w:rsidR="00BE5D8C" w:rsidRDefault="00BE5D8C" w:rsidP="00BE5D8C">
      <w:pPr>
        <w:pStyle w:val="BodyText"/>
        <w:spacing w:after="60"/>
        <w:jc w:val="both"/>
      </w:pPr>
      <w:r w:rsidRPr="00C75894">
        <w:t>There are many factors that influence the integrity and quality of data. We identified four key factors which shape</w:t>
      </w:r>
      <w:r w:rsidR="008205FC">
        <w:t>d</w:t>
      </w:r>
      <w:r w:rsidRPr="00C75894">
        <w:t xml:space="preserve"> the data collection and analysis approach.  </w:t>
      </w:r>
    </w:p>
    <w:p w14:paraId="7BC59A0F" w14:textId="09F8237B" w:rsidR="00722E92" w:rsidRDefault="00722E92" w:rsidP="000038C5">
      <w:pPr>
        <w:pStyle w:val="Caption"/>
      </w:pPr>
      <w:r>
        <w:t xml:space="preserve">Table </w:t>
      </w:r>
      <w:r>
        <w:fldChar w:fldCharType="begin"/>
      </w:r>
      <w:r>
        <w:instrText xml:space="preserve"> SEQ Table \* ARABIC </w:instrText>
      </w:r>
      <w:r>
        <w:fldChar w:fldCharType="separate"/>
      </w:r>
      <w:r w:rsidR="005F7EBC">
        <w:rPr>
          <w:noProof/>
        </w:rPr>
        <w:t>15</w:t>
      </w:r>
      <w:r>
        <w:fldChar w:fldCharType="end"/>
      </w:r>
      <w:r>
        <w:t>: Factors influencing the integrity and quality of data</w:t>
      </w:r>
    </w:p>
    <w:tbl>
      <w:tblPr>
        <w:tblStyle w:val="GridTable1Light-Accent1"/>
        <w:tblW w:w="5000" w:type="pct"/>
        <w:tblBorders>
          <w:top w:val="none" w:sz="0" w:space="0" w:color="auto"/>
          <w:left w:val="none" w:sz="0" w:space="0" w:color="auto"/>
          <w:bottom w:val="none" w:sz="0" w:space="0" w:color="auto"/>
          <w:right w:val="none" w:sz="0" w:space="0" w:color="auto"/>
        </w:tblBorders>
        <w:tblLook w:val="06A0" w:firstRow="1" w:lastRow="0" w:firstColumn="1" w:lastColumn="0" w:noHBand="1" w:noVBand="1"/>
      </w:tblPr>
      <w:tblGrid>
        <w:gridCol w:w="1550"/>
        <w:gridCol w:w="8088"/>
      </w:tblGrid>
      <w:tr w:rsidR="006E0386" w:rsidRPr="00C75894" w14:paraId="5ED1FFB6" w14:textId="77777777" w:rsidTr="00AE34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76" w:type="pct"/>
            <w:shd w:val="clear" w:color="auto" w:fill="F1F4FE"/>
            <w:hideMark/>
          </w:tcPr>
          <w:p w14:paraId="11E316C6" w14:textId="77777777" w:rsidR="006E0386" w:rsidRPr="00AE349D" w:rsidRDefault="006E0386" w:rsidP="00AE349D">
            <w:r w:rsidRPr="00D81011">
              <w:t>Factor</w:t>
            </w:r>
          </w:p>
        </w:tc>
        <w:tc>
          <w:tcPr>
            <w:tcW w:w="4324" w:type="pct"/>
            <w:hideMark/>
          </w:tcPr>
          <w:p w14:paraId="4FED5490" w14:textId="77777777" w:rsidR="006E0386" w:rsidRPr="00AE349D" w:rsidRDefault="006E0386" w:rsidP="00AE349D">
            <w:pPr>
              <w:cnfStyle w:val="100000000000" w:firstRow="1" w:lastRow="0" w:firstColumn="0" w:lastColumn="0" w:oddVBand="0" w:evenVBand="0" w:oddHBand="0" w:evenHBand="0" w:firstRowFirstColumn="0" w:firstRowLastColumn="0" w:lastRowFirstColumn="0" w:lastRowLastColumn="0"/>
            </w:pPr>
            <w:r w:rsidRPr="00D81011">
              <w:t>What it means</w:t>
            </w:r>
          </w:p>
        </w:tc>
      </w:tr>
      <w:tr w:rsidR="006E0386" w:rsidRPr="00C75894" w14:paraId="748F230F" w14:textId="77777777" w:rsidTr="00AE349D">
        <w:trPr>
          <w:trHeight w:val="1146"/>
        </w:trPr>
        <w:tc>
          <w:tcPr>
            <w:cnfStyle w:val="001000000000" w:firstRow="0" w:lastRow="0" w:firstColumn="1" w:lastColumn="0" w:oddVBand="0" w:evenVBand="0" w:oddHBand="0" w:evenHBand="0" w:firstRowFirstColumn="0" w:firstRowLastColumn="0" w:lastRowFirstColumn="0" w:lastRowLastColumn="0"/>
            <w:tcW w:w="676" w:type="pct"/>
            <w:shd w:val="clear" w:color="auto" w:fill="F1F4FE"/>
            <w:vAlign w:val="center"/>
            <w:hideMark/>
          </w:tcPr>
          <w:p w14:paraId="394BDC6F" w14:textId="4A95F6FB" w:rsidR="006E0386" w:rsidRPr="00AE349D" w:rsidRDefault="006E0386" w:rsidP="00AE349D">
            <w:r w:rsidRPr="00AE349D">
              <w:t>Validity</w:t>
            </w:r>
          </w:p>
        </w:tc>
        <w:tc>
          <w:tcPr>
            <w:tcW w:w="4324" w:type="pct"/>
            <w:vAlign w:val="center"/>
            <w:hideMark/>
          </w:tcPr>
          <w:p w14:paraId="2E5456B5" w14:textId="3E7A9666" w:rsidR="006E0386" w:rsidRPr="00AE349D" w:rsidRDefault="006E0386" w:rsidP="00AE349D">
            <w:pPr>
              <w:cnfStyle w:val="000000000000" w:firstRow="0" w:lastRow="0" w:firstColumn="0" w:lastColumn="0" w:oddVBand="0" w:evenVBand="0" w:oddHBand="0" w:evenHBand="0" w:firstRowFirstColumn="0" w:firstRowLastColumn="0" w:lastRowFirstColumn="0" w:lastRowLastColumn="0"/>
            </w:pPr>
            <w:r w:rsidRPr="00AE349D">
              <w:t>The evaluation relies on the validity of data. Data validity ensures that the data collected reflects what it is intended to measure and is essential to objectively measure the extent to which the MPS Program has been implemented as intended, is the appropriate response</w:t>
            </w:r>
            <w:r w:rsidR="00722E92" w:rsidRPr="00AE349D">
              <w:t>,</w:t>
            </w:r>
            <w:r w:rsidRPr="00AE349D">
              <w:t xml:space="preserve"> and is effective, efficient and sustainable. </w:t>
            </w:r>
          </w:p>
        </w:tc>
      </w:tr>
      <w:tr w:rsidR="006E0386" w:rsidRPr="00C75894" w14:paraId="6B023A02" w14:textId="77777777" w:rsidTr="00AE349D">
        <w:trPr>
          <w:trHeight w:val="1146"/>
        </w:trPr>
        <w:tc>
          <w:tcPr>
            <w:cnfStyle w:val="001000000000" w:firstRow="0" w:lastRow="0" w:firstColumn="1" w:lastColumn="0" w:oddVBand="0" w:evenVBand="0" w:oddHBand="0" w:evenHBand="0" w:firstRowFirstColumn="0" w:firstRowLastColumn="0" w:lastRowFirstColumn="0" w:lastRowLastColumn="0"/>
            <w:tcW w:w="676" w:type="pct"/>
            <w:shd w:val="clear" w:color="auto" w:fill="F1F4FE"/>
            <w:vAlign w:val="center"/>
          </w:tcPr>
          <w:p w14:paraId="3240F754" w14:textId="3F105ADD" w:rsidR="006E0386" w:rsidRPr="00AE349D" w:rsidRDefault="006E0386" w:rsidP="00AE349D">
            <w:r w:rsidRPr="00AE349D">
              <w:t>Quality assurance</w:t>
            </w:r>
          </w:p>
        </w:tc>
        <w:tc>
          <w:tcPr>
            <w:tcW w:w="4324" w:type="pct"/>
            <w:vAlign w:val="center"/>
          </w:tcPr>
          <w:p w14:paraId="015D152E" w14:textId="032E1EEE" w:rsidR="006E0386" w:rsidRPr="00AE349D" w:rsidRDefault="006E0386" w:rsidP="00AE349D">
            <w:pPr>
              <w:cnfStyle w:val="000000000000" w:firstRow="0" w:lastRow="0" w:firstColumn="0" w:lastColumn="0" w:oddVBand="0" w:evenVBand="0" w:oddHBand="0" w:evenHBand="0" w:firstRowFirstColumn="0" w:firstRowLastColumn="0" w:lastRowFirstColumn="0" w:lastRowLastColumn="0"/>
            </w:pPr>
            <w:r w:rsidRPr="00AE349D">
              <w:t>The evaluation rel</w:t>
            </w:r>
            <w:r w:rsidR="00722E92" w:rsidRPr="00AE349D">
              <w:t>ies</w:t>
            </w:r>
            <w:r w:rsidRPr="00AE349D">
              <w:t xml:space="preserve"> on the information provided by the Department and other stakeholders as being both accurate and valid and will not seek to undertake any further auditing or other forms of testing to verify the accuracy, completeness or reasonableness of the information provided, beyond considering the presence of quality and assurance processes. </w:t>
            </w:r>
          </w:p>
        </w:tc>
      </w:tr>
      <w:tr w:rsidR="006E0386" w:rsidRPr="00C75894" w14:paraId="327AD7B9" w14:textId="77777777" w:rsidTr="00AE349D">
        <w:trPr>
          <w:trHeight w:val="1146"/>
        </w:trPr>
        <w:tc>
          <w:tcPr>
            <w:cnfStyle w:val="001000000000" w:firstRow="0" w:lastRow="0" w:firstColumn="1" w:lastColumn="0" w:oddVBand="0" w:evenVBand="0" w:oddHBand="0" w:evenHBand="0" w:firstRowFirstColumn="0" w:firstRowLastColumn="0" w:lastRowFirstColumn="0" w:lastRowLastColumn="0"/>
            <w:tcW w:w="676" w:type="pct"/>
            <w:shd w:val="clear" w:color="auto" w:fill="F1F4FE"/>
            <w:vAlign w:val="center"/>
          </w:tcPr>
          <w:p w14:paraId="4F7856B0" w14:textId="08988DEA" w:rsidR="006E0386" w:rsidRPr="00AE349D" w:rsidRDefault="006E0386" w:rsidP="00AE349D">
            <w:r w:rsidRPr="00AE349D">
              <w:t>Consistency and completeness</w:t>
            </w:r>
          </w:p>
        </w:tc>
        <w:tc>
          <w:tcPr>
            <w:tcW w:w="4324" w:type="pct"/>
            <w:vAlign w:val="center"/>
          </w:tcPr>
          <w:p w14:paraId="56A27BF9" w14:textId="57CAD20E" w:rsidR="006E0386" w:rsidRPr="00AE349D" w:rsidRDefault="006E0386" w:rsidP="00AE349D">
            <w:pPr>
              <w:cnfStyle w:val="000000000000" w:firstRow="0" w:lastRow="0" w:firstColumn="0" w:lastColumn="0" w:oddVBand="0" w:evenVBand="0" w:oddHBand="0" w:evenHBand="0" w:firstRowFirstColumn="0" w:firstRowLastColumn="0" w:lastRowFirstColumn="0" w:lastRowLastColumn="0"/>
            </w:pPr>
            <w:r w:rsidRPr="00AE349D">
              <w:t>Complete and reliable data require</w:t>
            </w:r>
            <w:r w:rsidR="00591154" w:rsidRPr="00AE349D">
              <w:t>s</w:t>
            </w:r>
            <w:r w:rsidRPr="00AE349D">
              <w:t xml:space="preserve"> consistent and quality data reporting across </w:t>
            </w:r>
            <w:r w:rsidR="00E824BA" w:rsidRPr="00AE349D">
              <w:t>jurisdictions</w:t>
            </w:r>
            <w:r w:rsidRPr="00AE349D">
              <w:t xml:space="preserve">. To maximise the consistency and reliability of the data collected from varied and disparate data sources, the data collection activities informing the data detailed in the MPS Program Evaluation Strategy </w:t>
            </w:r>
            <w:r w:rsidR="004C074D" w:rsidRPr="00AE349D">
              <w:t xml:space="preserve">are </w:t>
            </w:r>
            <w:r w:rsidRPr="00AE349D">
              <w:t>underpinned by a range of data monitoring and quality assurance measures.</w:t>
            </w:r>
          </w:p>
        </w:tc>
      </w:tr>
      <w:tr w:rsidR="006E0386" w:rsidRPr="00C75894" w14:paraId="30B845D4" w14:textId="77777777" w:rsidTr="00AE349D">
        <w:trPr>
          <w:trHeight w:val="1146"/>
        </w:trPr>
        <w:tc>
          <w:tcPr>
            <w:cnfStyle w:val="001000000000" w:firstRow="0" w:lastRow="0" w:firstColumn="1" w:lastColumn="0" w:oddVBand="0" w:evenVBand="0" w:oddHBand="0" w:evenHBand="0" w:firstRowFirstColumn="0" w:firstRowLastColumn="0" w:lastRowFirstColumn="0" w:lastRowLastColumn="0"/>
            <w:tcW w:w="676" w:type="pct"/>
            <w:shd w:val="clear" w:color="auto" w:fill="F1F4FE"/>
            <w:vAlign w:val="center"/>
          </w:tcPr>
          <w:p w14:paraId="2DB2AD00" w14:textId="262F072F" w:rsidR="006E0386" w:rsidRPr="00AE349D" w:rsidRDefault="006E0386" w:rsidP="00AE349D">
            <w:r w:rsidRPr="00AE349D">
              <w:t>Data governance</w:t>
            </w:r>
          </w:p>
        </w:tc>
        <w:tc>
          <w:tcPr>
            <w:tcW w:w="4324" w:type="pct"/>
            <w:vAlign w:val="center"/>
          </w:tcPr>
          <w:p w14:paraId="3AA395D8" w14:textId="75336C04" w:rsidR="006E0386" w:rsidRPr="00AE349D" w:rsidRDefault="006E0386" w:rsidP="00AE349D">
            <w:pPr>
              <w:cnfStyle w:val="000000000000" w:firstRow="0" w:lastRow="0" w:firstColumn="0" w:lastColumn="0" w:oddVBand="0" w:evenVBand="0" w:oddHBand="0" w:evenHBand="0" w:firstRowFirstColumn="0" w:firstRowLastColumn="0" w:lastRowFirstColumn="0" w:lastRowLastColumn="0"/>
            </w:pPr>
            <w:r w:rsidRPr="00AE349D">
              <w:t xml:space="preserve">Strong data governance, quality assurance and governance policies and practices are critical in ensuring compliance with relevant legislation and ethical evaluation conduct, and confidence in evaluation activity. </w:t>
            </w:r>
          </w:p>
        </w:tc>
      </w:tr>
    </w:tbl>
    <w:p w14:paraId="1CD3E705" w14:textId="0540DD19" w:rsidR="00344770" w:rsidRPr="00194457" w:rsidRDefault="00344770" w:rsidP="00BE5D8C">
      <w:pPr>
        <w:pStyle w:val="BodyText"/>
        <w:spacing w:after="60"/>
        <w:jc w:val="both"/>
        <w:rPr>
          <w:rFonts w:eastAsia="Times New Roman" w:cs="Times New Roman"/>
          <w:i/>
          <w:color w:val="00338D" w:themeColor="accent1"/>
          <w:sz w:val="18"/>
          <w:szCs w:val="20"/>
          <w:lang w:eastAsia="en-AU"/>
        </w:rPr>
      </w:pPr>
      <w:r w:rsidRPr="00194457">
        <w:rPr>
          <w:rFonts w:eastAsia="Times New Roman" w:cs="Times New Roman"/>
          <w:i/>
          <w:color w:val="00338D" w:themeColor="accent1"/>
          <w:sz w:val="18"/>
          <w:szCs w:val="20"/>
          <w:lang w:eastAsia="en-AU"/>
        </w:rPr>
        <w:t>Source: KPMG, 2024</w:t>
      </w:r>
      <w:r w:rsidR="00C273B2">
        <w:rPr>
          <w:rFonts w:eastAsia="Times New Roman" w:cs="Times New Roman"/>
          <w:i/>
          <w:color w:val="00338D" w:themeColor="accent1"/>
          <w:sz w:val="18"/>
          <w:szCs w:val="20"/>
          <w:lang w:eastAsia="en-AU"/>
        </w:rPr>
        <w:t>.</w:t>
      </w:r>
    </w:p>
    <w:p w14:paraId="50453048" w14:textId="126ECFE4" w:rsidR="00BE5D8C" w:rsidRPr="00AE349D" w:rsidRDefault="00BE5D8C" w:rsidP="00AE349D">
      <w:r w:rsidRPr="00C75894">
        <w:t xml:space="preserve">The data matrix </w:t>
      </w:r>
      <w:r w:rsidR="00060183">
        <w:t>in</w:t>
      </w:r>
      <w:r w:rsidR="001C1853">
        <w:t xml:space="preserve"> </w:t>
      </w:r>
      <w:hyperlink w:anchor="_Appendix_B:_Key" w:history="1">
        <w:r w:rsidR="001C1853" w:rsidRPr="00AE349D">
          <w:rPr>
            <w:rStyle w:val="Hyperlink"/>
          </w:rPr>
          <w:t>Appendix B</w:t>
        </w:r>
      </w:hyperlink>
      <w:r w:rsidRPr="00C75894">
        <w:t xml:space="preserve"> describes the indicators and data sources that </w:t>
      </w:r>
      <w:r w:rsidR="006A2FCD">
        <w:t>were</w:t>
      </w:r>
      <w:r w:rsidRPr="00C75894">
        <w:t xml:space="preserve"> used to determine the implementation, appropriateness, effectiveness, efficiency and sustainability of the MPS Program, and how they relate to individual data sources. </w:t>
      </w:r>
    </w:p>
    <w:p w14:paraId="7B302921" w14:textId="77777777" w:rsidR="00DD3E39" w:rsidRPr="00AE349D" w:rsidRDefault="00DD3E39" w:rsidP="00AE349D">
      <w:r>
        <w:br w:type="page"/>
      </w:r>
    </w:p>
    <w:p w14:paraId="100BB03D" w14:textId="77777777" w:rsidR="00CB0E04" w:rsidRPr="00AE349D" w:rsidRDefault="00CB0E04" w:rsidP="005D2865">
      <w:pPr>
        <w:pStyle w:val="Heading3"/>
      </w:pPr>
      <w:bookmarkStart w:id="238" w:name="_Toc216711608"/>
      <w:r w:rsidRPr="00AE349D">
        <w:t>Data analysis</w:t>
      </w:r>
      <w:bookmarkEnd w:id="238"/>
    </w:p>
    <w:p w14:paraId="2B74DD24" w14:textId="2BADB8AD" w:rsidR="00CB0E04" w:rsidRPr="00C75894" w:rsidRDefault="00CB0E04" w:rsidP="00B767B1">
      <w:pPr>
        <w:pStyle w:val="BodyText"/>
      </w:pPr>
      <w:r w:rsidRPr="00C75894">
        <w:t xml:space="preserve">The below outlines the approach to analysing the quantitative and qualitative data captured through the agreed methods. The </w:t>
      </w:r>
      <w:r w:rsidR="00B767B1">
        <w:t xml:space="preserve">evaluation </w:t>
      </w:r>
      <w:r w:rsidRPr="00C75894">
        <w:t>team collate</w:t>
      </w:r>
      <w:r w:rsidR="007619E3">
        <w:t>d</w:t>
      </w:r>
      <w:r w:rsidRPr="00C75894">
        <w:t>, organise</w:t>
      </w:r>
      <w:r w:rsidR="007619E3">
        <w:t>d</w:t>
      </w:r>
      <w:r w:rsidRPr="00C75894">
        <w:t>, clean</w:t>
      </w:r>
      <w:r w:rsidR="007619E3">
        <w:t xml:space="preserve">ed </w:t>
      </w:r>
      <w:r w:rsidRPr="00C75894">
        <w:t>and accurately use</w:t>
      </w:r>
      <w:r w:rsidR="007619E3">
        <w:t>d</w:t>
      </w:r>
      <w:r w:rsidRPr="00C75894">
        <w:t xml:space="preserve"> the data for calculations and identification of themes. These analysis activities are included in more detail below.   </w:t>
      </w:r>
    </w:p>
    <w:p w14:paraId="3D5484C5" w14:textId="77777777" w:rsidR="00CB0E04" w:rsidRPr="00AE349D" w:rsidRDefault="00CB0E04" w:rsidP="005D2865">
      <w:pPr>
        <w:pStyle w:val="Heading3"/>
      </w:pPr>
      <w:bookmarkStart w:id="239" w:name="_Toc216711609"/>
      <w:r w:rsidRPr="00AE349D">
        <w:t>Quantitative analysis</w:t>
      </w:r>
      <w:bookmarkEnd w:id="239"/>
    </w:p>
    <w:p w14:paraId="6E765979" w14:textId="77777777" w:rsidR="00CB0E04" w:rsidRPr="00C75894" w:rsidRDefault="00CB0E04" w:rsidP="005D2865">
      <w:pPr>
        <w:pStyle w:val="Heading4"/>
      </w:pPr>
      <w:r w:rsidRPr="005D2865">
        <w:t>Descriptive</w:t>
      </w:r>
      <w:r w:rsidRPr="00C75894">
        <w:t xml:space="preserve"> Statistics </w:t>
      </w:r>
    </w:p>
    <w:p w14:paraId="4D5363FA" w14:textId="081DBEC3" w:rsidR="00CB0E04" w:rsidRPr="00AE349D" w:rsidRDefault="00CB0E04" w:rsidP="00AE349D">
      <w:r w:rsidRPr="00C75894">
        <w:t xml:space="preserve">The evaluation </w:t>
      </w:r>
      <w:r w:rsidR="006D5D00">
        <w:t>used</w:t>
      </w:r>
      <w:r w:rsidRPr="00C75894">
        <w:t xml:space="preserve"> quantitative analysis primarily to assess progress towards outcomes over time. Quantitative analysis is helpful for establishing a comprehensive and standardised measure of implementation success and performance against outcomes. </w:t>
      </w:r>
      <w:r w:rsidR="007619E3">
        <w:t xml:space="preserve">This allowed </w:t>
      </w:r>
      <w:r w:rsidRPr="00C75894">
        <w:t xml:space="preserve">the </w:t>
      </w:r>
      <w:r w:rsidR="001A388D">
        <w:t xml:space="preserve">evaluation </w:t>
      </w:r>
      <w:r w:rsidRPr="00C75894">
        <w:t>team to compare the implementation and effectiveness of the MPS</w:t>
      </w:r>
      <w:r w:rsidR="008664C2">
        <w:t xml:space="preserve"> </w:t>
      </w:r>
      <w:r w:rsidRPr="00C75894">
        <w:t>P</w:t>
      </w:r>
      <w:r w:rsidR="008664C2">
        <w:t>rogram</w:t>
      </w:r>
      <w:r w:rsidRPr="00C75894">
        <w:t xml:space="preserve"> in different contexts and </w:t>
      </w:r>
      <w:r w:rsidRPr="00AE349D">
        <w:t xml:space="preserve">locations. </w:t>
      </w:r>
    </w:p>
    <w:p w14:paraId="132F52C0" w14:textId="3D279BAD" w:rsidR="00CB0E04" w:rsidRPr="00AE349D" w:rsidRDefault="00CB0E04" w:rsidP="00AE349D">
      <w:r w:rsidRPr="00AE349D">
        <w:t xml:space="preserve">The evaluation team </w:t>
      </w:r>
      <w:r w:rsidR="00EF605C" w:rsidRPr="00AE349D">
        <w:t>collected</w:t>
      </w:r>
      <w:r w:rsidRPr="00AE349D">
        <w:t xml:space="preserve"> data against the quantitative indicators for outputs and outcomes specified in the priority and comprehensive data collection plan. Not all outcomes </w:t>
      </w:r>
      <w:r w:rsidR="001A388D" w:rsidRPr="00AE349D">
        <w:t xml:space="preserve">could </w:t>
      </w:r>
      <w:r w:rsidRPr="00AE349D">
        <w:t xml:space="preserve">be measured quantitatively.  </w:t>
      </w:r>
      <w:r w:rsidR="00137389" w:rsidRPr="00AE349D">
        <w:t>The m</w:t>
      </w:r>
      <w:r w:rsidRPr="00AE349D">
        <w:t xml:space="preserve">atrix indicates where quantitative indicators are feasible and appropriate. The evaluation </w:t>
      </w:r>
      <w:r w:rsidR="007619E3" w:rsidRPr="00AE349D">
        <w:t xml:space="preserve">used </w:t>
      </w:r>
      <w:r w:rsidRPr="00AE349D">
        <w:t xml:space="preserve">descriptive statistical methods to understand what has been implemented, and what outcomes have been achieved. </w:t>
      </w:r>
    </w:p>
    <w:p w14:paraId="19865CEE" w14:textId="77777777" w:rsidR="00CB0E04" w:rsidRPr="00C75894" w:rsidRDefault="00CB0E04" w:rsidP="00194457">
      <w:pPr>
        <w:pStyle w:val="Heading4"/>
      </w:pPr>
      <w:r w:rsidRPr="00C75894">
        <w:t xml:space="preserve">Survey Data Analysis </w:t>
      </w:r>
    </w:p>
    <w:p w14:paraId="52A7CD62" w14:textId="338C1251" w:rsidR="00CB0E04" w:rsidRPr="00AE349D" w:rsidRDefault="00CB0E04" w:rsidP="00AE349D">
      <w:r w:rsidRPr="00AE349D">
        <w:t xml:space="preserve">Survey results </w:t>
      </w:r>
      <w:r w:rsidR="007619E3" w:rsidRPr="00AE349D">
        <w:t xml:space="preserve">have been </w:t>
      </w:r>
      <w:r w:rsidRPr="00AE349D">
        <w:t xml:space="preserve">presented in three ways: </w:t>
      </w:r>
    </w:p>
    <w:p w14:paraId="0A7F07EA" w14:textId="4E6558EF" w:rsidR="00CB0E04" w:rsidRPr="00AE349D" w:rsidRDefault="00CB0E04" w:rsidP="00AE349D">
      <w:pPr>
        <w:pStyle w:val="ListBullet"/>
      </w:pPr>
      <w:r w:rsidRPr="00AE349D">
        <w:t xml:space="preserve">An overview of the characteristics of </w:t>
      </w:r>
      <w:proofErr w:type="gramStart"/>
      <w:r w:rsidRPr="00AE349D">
        <w:t>respondents</w:t>
      </w:r>
      <w:r w:rsidR="00ED2414" w:rsidRPr="00AE349D">
        <w:t>;</w:t>
      </w:r>
      <w:proofErr w:type="gramEnd"/>
      <w:r w:rsidR="00ED2414" w:rsidRPr="00AE349D">
        <w:t xml:space="preserve"> </w:t>
      </w:r>
      <w:r w:rsidRPr="00AE349D">
        <w:t xml:space="preserve"> </w:t>
      </w:r>
    </w:p>
    <w:p w14:paraId="465F5148" w14:textId="225A0E27" w:rsidR="00CB0E04" w:rsidRPr="00AE349D" w:rsidRDefault="00CB0E04" w:rsidP="00AE349D">
      <w:pPr>
        <w:pStyle w:val="ListBullet"/>
      </w:pPr>
      <w:r w:rsidRPr="00AE349D">
        <w:t>Descriptive statistics for each survey question</w:t>
      </w:r>
      <w:r w:rsidR="00ED2414" w:rsidRPr="00AE349D">
        <w:t xml:space="preserve">; and </w:t>
      </w:r>
      <w:r w:rsidRPr="00AE349D">
        <w:t xml:space="preserve"> </w:t>
      </w:r>
    </w:p>
    <w:p w14:paraId="51BE169D" w14:textId="73DDA995" w:rsidR="00CB0E04" w:rsidRPr="00AE349D" w:rsidRDefault="00CB0E04" w:rsidP="00AE349D">
      <w:pPr>
        <w:pStyle w:val="ListBullet"/>
      </w:pPr>
      <w:r w:rsidRPr="00AE349D">
        <w:t>Thematic analysis of free text fields</w:t>
      </w:r>
      <w:r w:rsidR="00ED2414" w:rsidRPr="00AE349D">
        <w:t>.</w:t>
      </w:r>
      <w:r w:rsidRPr="00AE349D">
        <w:t xml:space="preserve"> </w:t>
      </w:r>
    </w:p>
    <w:p w14:paraId="04766E9D" w14:textId="77777777" w:rsidR="00CB0E04" w:rsidRPr="00AE349D" w:rsidRDefault="00CB0E04" w:rsidP="00AE349D">
      <w:pPr>
        <w:pStyle w:val="Heading3"/>
      </w:pPr>
      <w:bookmarkStart w:id="240" w:name="_Toc216711610"/>
      <w:r w:rsidRPr="00AE349D">
        <w:t>Qualitative analysis</w:t>
      </w:r>
      <w:bookmarkEnd w:id="240"/>
    </w:p>
    <w:p w14:paraId="4E7E2DE3" w14:textId="35D7B46A" w:rsidR="00CB0E04" w:rsidRPr="00C75894" w:rsidRDefault="00CB0E04" w:rsidP="00194457">
      <w:pPr>
        <w:pStyle w:val="Heading4"/>
      </w:pPr>
      <w:r w:rsidRPr="00C75894">
        <w:t xml:space="preserve">Thematic Analysis </w:t>
      </w:r>
    </w:p>
    <w:p w14:paraId="59B347C9" w14:textId="2655A507" w:rsidR="00CB0E04" w:rsidRPr="00AE349D" w:rsidRDefault="00CB0E04" w:rsidP="00AE349D">
      <w:r w:rsidRPr="00AE349D">
        <w:t xml:space="preserve">The process of thematically analysing qualitative data is to synthesise the content captured and to identify key insights on evaluation findings. </w:t>
      </w:r>
      <w:r w:rsidR="00B3403D" w:rsidRPr="00AE349D">
        <w:t>As identified above, the key qualit</w:t>
      </w:r>
      <w:r w:rsidR="0044312B" w:rsidRPr="00AE349D">
        <w:t xml:space="preserve">ative data sources were a document review and literature scan, stakeholder </w:t>
      </w:r>
      <w:r w:rsidR="0029314F" w:rsidRPr="00AE349D">
        <w:t xml:space="preserve">consultations and survey responses. </w:t>
      </w:r>
      <w:r w:rsidRPr="00AE349D">
        <w:t xml:space="preserve">There are five steps in conducting thematic analysis: </w:t>
      </w:r>
    </w:p>
    <w:p w14:paraId="4DD5E08E" w14:textId="1FA7786E" w:rsidR="00CB0E04" w:rsidRPr="00AE349D" w:rsidRDefault="00CB0E04" w:rsidP="00896985">
      <w:pPr>
        <w:pStyle w:val="ListNumber"/>
      </w:pPr>
      <w:r w:rsidRPr="00AE349D">
        <w:t>Familiarisation with data to gain an overall picture of the conclusions</w:t>
      </w:r>
      <w:r w:rsidR="00ED2414" w:rsidRPr="00AE349D">
        <w:t>.</w:t>
      </w:r>
    </w:p>
    <w:p w14:paraId="21148F10" w14:textId="01EDC1E2" w:rsidR="00CB0E04" w:rsidRPr="00AE349D" w:rsidRDefault="00CB0E04" w:rsidP="00896985">
      <w:pPr>
        <w:pStyle w:val="ListNumber"/>
      </w:pPr>
      <w:r w:rsidRPr="00AE349D">
        <w:t xml:space="preserve">Code and identify themes this involves recording or identifying similar, repeated content or patterns in the data that are interesting and provide insight into the KEQs. </w:t>
      </w:r>
    </w:p>
    <w:p w14:paraId="2CC12CBC" w14:textId="28AFEF40" w:rsidR="00CB0E04" w:rsidRPr="00AE349D" w:rsidRDefault="00CB0E04" w:rsidP="00896985">
      <w:pPr>
        <w:pStyle w:val="ListNumber"/>
      </w:pPr>
      <w:r w:rsidRPr="00AE349D">
        <w:t>Review, modify and test themes to ensure they are mutually exclusive</w:t>
      </w:r>
      <w:r w:rsidR="00116F3C" w:rsidRPr="00AE349D">
        <w:t xml:space="preserve">, </w:t>
      </w:r>
      <w:r w:rsidRPr="00AE349D">
        <w:t>collectively exhaustive, and relevant</w:t>
      </w:r>
      <w:r w:rsidR="00116F3C" w:rsidRPr="00AE349D">
        <w:t>.</w:t>
      </w:r>
      <w:r w:rsidRPr="00AE349D">
        <w:t xml:space="preserve"> </w:t>
      </w:r>
      <w:r w:rsidR="00116F3C" w:rsidRPr="00AE349D">
        <w:t>E</w:t>
      </w:r>
      <w:r w:rsidRPr="00AE349D">
        <w:t xml:space="preserve">merging </w:t>
      </w:r>
      <w:r w:rsidR="00116F3C" w:rsidRPr="00AE349D">
        <w:t xml:space="preserve">themes </w:t>
      </w:r>
      <w:r w:rsidR="00801BA2" w:rsidRPr="00AE349D">
        <w:t>were tested</w:t>
      </w:r>
      <w:r w:rsidR="00116F3C" w:rsidRPr="00AE349D">
        <w:t xml:space="preserve"> </w:t>
      </w:r>
      <w:r w:rsidRPr="00AE349D">
        <w:t xml:space="preserve">with key stakeholders in further consultations, </w:t>
      </w:r>
      <w:r w:rsidR="00801BA2" w:rsidRPr="00AE349D">
        <w:t>with themes iteratively refined.</w:t>
      </w:r>
    </w:p>
    <w:p w14:paraId="09DDEC8F" w14:textId="6C367289" w:rsidR="00CB0E04" w:rsidRPr="00AE349D" w:rsidRDefault="00CB0E04" w:rsidP="00896985">
      <w:pPr>
        <w:pStyle w:val="ListNumber"/>
      </w:pPr>
      <w:r w:rsidRPr="00AE349D">
        <w:t xml:space="preserve">Define themes to determine the scope, focus and relationships between each theme, and identify insights and findings from the consultations. </w:t>
      </w:r>
    </w:p>
    <w:p w14:paraId="21C8EFA2" w14:textId="7FD4E8AD" w:rsidR="00CB0E04" w:rsidRPr="00AE349D" w:rsidRDefault="00CB0E04" w:rsidP="00896985">
      <w:pPr>
        <w:pStyle w:val="ListNumber"/>
      </w:pPr>
      <w:r w:rsidRPr="00AE349D">
        <w:t xml:space="preserve">Triangulate with other data to support, strengthen, balance, dilute or deviate overall evaluation findings. </w:t>
      </w:r>
    </w:p>
    <w:p w14:paraId="349DF0D8" w14:textId="77777777" w:rsidR="00CB0E04" w:rsidRPr="00C75894" w:rsidRDefault="00CB0E04" w:rsidP="00194457">
      <w:pPr>
        <w:pStyle w:val="Heading4"/>
      </w:pPr>
      <w:r w:rsidRPr="00C75894">
        <w:t xml:space="preserve">In-depth summaries </w:t>
      </w:r>
    </w:p>
    <w:p w14:paraId="6FE3202C" w14:textId="008C7218" w:rsidR="00D35A75" w:rsidRPr="00AE349D" w:rsidRDefault="00CB0E04" w:rsidP="00AE349D">
      <w:r w:rsidRPr="00C75894">
        <w:t xml:space="preserve">In-depth summaries </w:t>
      </w:r>
      <w:r w:rsidR="002A4878">
        <w:t>were</w:t>
      </w:r>
      <w:r w:rsidRPr="00C75894">
        <w:t xml:space="preserve"> developed, synthesising findings across data sources to develop in-depth descriptions of how the M</w:t>
      </w:r>
      <w:r w:rsidRPr="00AE349D">
        <w:t>PS</w:t>
      </w:r>
      <w:r w:rsidR="00BB7141" w:rsidRPr="00AE349D">
        <w:t xml:space="preserve"> </w:t>
      </w:r>
      <w:r w:rsidRPr="00AE349D">
        <w:t>P</w:t>
      </w:r>
      <w:r w:rsidR="00BB7141" w:rsidRPr="00AE349D">
        <w:t>rogram</w:t>
      </w:r>
      <w:r w:rsidRPr="00AE349D">
        <w:t xml:space="preserve"> operates, including context within the broader health workforce landscape and demonstrating any variances between the operating model and intended outcomes. </w:t>
      </w:r>
      <w:r w:rsidR="00E831D7" w:rsidRPr="00AE349D">
        <w:fldChar w:fldCharType="begin" w:fldLock="1"/>
      </w:r>
      <w:r w:rsidR="00E831D7" w:rsidRPr="00AE349D">
        <w:instrText xml:space="preserve"> REF _Ref182585116 \h </w:instrText>
      </w:r>
      <w:r w:rsidR="00AE349D">
        <w:instrText xml:space="preserve"> \* MERGEFORMAT </w:instrText>
      </w:r>
      <w:r w:rsidR="00E831D7" w:rsidRPr="00AE349D">
        <w:fldChar w:fldCharType="separate"/>
      </w:r>
    </w:p>
    <w:p w14:paraId="6D345E5A" w14:textId="79789B53" w:rsidR="00CB0E04" w:rsidRPr="00AE349D" w:rsidRDefault="000038C5" w:rsidP="00AE349D">
      <w:r w:rsidRPr="00AE349D">
        <w:fldChar w:fldCharType="begin" w:fldLock="1"/>
      </w:r>
      <w:r w:rsidRPr="00AE349D">
        <w:instrText xml:space="preserve"> REF _Ref184390403 \h </w:instrText>
      </w:r>
      <w:r w:rsidRPr="00AE349D">
        <w:fldChar w:fldCharType="separate"/>
      </w:r>
      <w:r w:rsidRPr="00AE349D">
        <w:t>Table 16</w:t>
      </w:r>
      <w:r w:rsidRPr="00AE349D">
        <w:fldChar w:fldCharType="end"/>
      </w:r>
      <w:r w:rsidR="00E831D7" w:rsidRPr="00AE349D">
        <w:fldChar w:fldCharType="end"/>
      </w:r>
      <w:r w:rsidR="00CB0E04" w:rsidRPr="00AE349D">
        <w:t xml:space="preserve"> below maps the relationship between the various data items collected and the analytical methods used to synthesis findings and develop evaluation insights.  </w:t>
      </w:r>
    </w:p>
    <w:p w14:paraId="7DDAA3C7" w14:textId="41E4F95A" w:rsidR="001A5920" w:rsidRPr="00AE349D" w:rsidDel="004C074D" w:rsidRDefault="00DD3E39" w:rsidP="00AE349D">
      <w:bookmarkStart w:id="241" w:name="_Ref182585116"/>
      <w:r w:rsidRPr="00AE349D">
        <w:br w:type="page"/>
      </w:r>
    </w:p>
    <w:p w14:paraId="103CAAD2" w14:textId="289DE295" w:rsidR="00E831D7" w:rsidRDefault="00E831D7" w:rsidP="00E831D7">
      <w:pPr>
        <w:pStyle w:val="Caption"/>
      </w:pPr>
      <w:bookmarkStart w:id="242" w:name="_Ref184390403"/>
      <w:r>
        <w:t xml:space="preserve">Table </w:t>
      </w:r>
      <w:r>
        <w:fldChar w:fldCharType="begin"/>
      </w:r>
      <w:r>
        <w:instrText xml:space="preserve"> SEQ Table \* ARABIC </w:instrText>
      </w:r>
      <w:r>
        <w:fldChar w:fldCharType="separate"/>
      </w:r>
      <w:r w:rsidR="005F7EBC">
        <w:rPr>
          <w:noProof/>
        </w:rPr>
        <w:t>16</w:t>
      </w:r>
      <w:r>
        <w:fldChar w:fldCharType="end"/>
      </w:r>
      <w:bookmarkEnd w:id="241"/>
      <w:bookmarkEnd w:id="242"/>
      <w:r>
        <w:t>: Overview of data sources and analytical methods used in this evaluation</w:t>
      </w:r>
    </w:p>
    <w:tbl>
      <w:tblPr>
        <w:tblStyle w:val="GridTable1Light-Accent1"/>
        <w:tblW w:w="5000" w:type="pct"/>
        <w:tblBorders>
          <w:top w:val="none" w:sz="0" w:space="0" w:color="auto"/>
          <w:left w:val="none" w:sz="0" w:space="0" w:color="auto"/>
          <w:bottom w:val="none" w:sz="0" w:space="0" w:color="auto"/>
          <w:right w:val="none" w:sz="0" w:space="0" w:color="auto"/>
        </w:tblBorders>
        <w:tblLook w:val="06A0" w:firstRow="1" w:lastRow="0" w:firstColumn="1" w:lastColumn="0" w:noHBand="1" w:noVBand="1"/>
      </w:tblPr>
      <w:tblGrid>
        <w:gridCol w:w="1550"/>
        <w:gridCol w:w="8088"/>
      </w:tblGrid>
      <w:tr w:rsidR="002E6913" w:rsidRPr="00C75894" w14:paraId="27E0AC51" w14:textId="77777777" w:rsidTr="00AE34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1F4FE"/>
            <w:hideMark/>
          </w:tcPr>
          <w:p w14:paraId="273F7BD9" w14:textId="2FB70CD9" w:rsidR="002E6913" w:rsidRPr="00AE349D" w:rsidRDefault="002E6913" w:rsidP="00AE349D">
            <w:r w:rsidRPr="00AE349D">
              <w:t>Data source</w:t>
            </w:r>
          </w:p>
        </w:tc>
        <w:tc>
          <w:tcPr>
            <w:tcW w:w="0" w:type="pct"/>
            <w:hideMark/>
          </w:tcPr>
          <w:p w14:paraId="497EFDF0" w14:textId="28266109" w:rsidR="002E6913" w:rsidRPr="00AE349D" w:rsidRDefault="002E6913" w:rsidP="00AE349D">
            <w:pPr>
              <w:cnfStyle w:val="100000000000" w:firstRow="1" w:lastRow="0" w:firstColumn="0" w:lastColumn="0" w:oddVBand="0" w:evenVBand="0" w:oddHBand="0" w:evenHBand="0" w:firstRowFirstColumn="0" w:firstRowLastColumn="0" w:lastRowFirstColumn="0" w:lastRowLastColumn="0"/>
            </w:pPr>
            <w:r w:rsidRPr="00AE349D">
              <w:t>Analytical method</w:t>
            </w:r>
          </w:p>
        </w:tc>
      </w:tr>
      <w:tr w:rsidR="002E6913" w:rsidRPr="00C75894" w14:paraId="7B1E00C7" w14:textId="77777777" w:rsidTr="00AE349D">
        <w:trPr>
          <w:trHeight w:val="1146"/>
        </w:trPr>
        <w:tc>
          <w:tcPr>
            <w:cnfStyle w:val="001000000000" w:firstRow="0" w:lastRow="0" w:firstColumn="1" w:lastColumn="0" w:oddVBand="0" w:evenVBand="0" w:oddHBand="0" w:evenHBand="0" w:firstRowFirstColumn="0" w:firstRowLastColumn="0" w:lastRowFirstColumn="0" w:lastRowLastColumn="0"/>
            <w:tcW w:w="804" w:type="pct"/>
            <w:shd w:val="clear" w:color="auto" w:fill="F1F4FE"/>
            <w:hideMark/>
          </w:tcPr>
          <w:p w14:paraId="7410ABB8" w14:textId="77777777" w:rsidR="002E6913" w:rsidRPr="00AE349D" w:rsidRDefault="002E6913" w:rsidP="00AE349D">
            <w:r w:rsidRPr="00AE349D">
              <w:t>Consultations</w:t>
            </w:r>
          </w:p>
          <w:p w14:paraId="713F67E1" w14:textId="3E98AE86" w:rsidR="002E6913" w:rsidRPr="00AE349D" w:rsidRDefault="002E6913" w:rsidP="00AE349D">
            <w:r w:rsidRPr="00AE349D">
              <w:t xml:space="preserve">Various stakeholder consultations </w:t>
            </w:r>
          </w:p>
        </w:tc>
        <w:tc>
          <w:tcPr>
            <w:tcW w:w="4196" w:type="pct"/>
            <w:hideMark/>
          </w:tcPr>
          <w:p w14:paraId="24D59984" w14:textId="77777777" w:rsidR="002E6913" w:rsidRPr="00AE349D" w:rsidRDefault="002E6913" w:rsidP="00AE349D">
            <w:pPr>
              <w:pStyle w:val="Tablelistbullet"/>
              <w:cnfStyle w:val="000000000000" w:firstRow="0" w:lastRow="0" w:firstColumn="0" w:lastColumn="0" w:oddVBand="0" w:evenVBand="0" w:oddHBand="0" w:evenHBand="0" w:firstRowFirstColumn="0" w:firstRowLastColumn="0" w:lastRowFirstColumn="0" w:lastRowLastColumn="0"/>
            </w:pPr>
            <w:r w:rsidRPr="00AE349D">
              <w:t xml:space="preserve">Descriptive statistics, including number of people invited to attend, number who attended, the proportion of attendees by location, gender and age range. </w:t>
            </w:r>
          </w:p>
          <w:p w14:paraId="28811561" w14:textId="3C847693" w:rsidR="002E6913" w:rsidRPr="00AE349D" w:rsidRDefault="002E6913" w:rsidP="00AE349D">
            <w:pPr>
              <w:pStyle w:val="Tablelistbullet"/>
              <w:cnfStyle w:val="000000000000" w:firstRow="0" w:lastRow="0" w:firstColumn="0" w:lastColumn="0" w:oddVBand="0" w:evenVBand="0" w:oddHBand="0" w:evenHBand="0" w:firstRowFirstColumn="0" w:firstRowLastColumn="0" w:lastRowFirstColumn="0" w:lastRowLastColumn="0"/>
            </w:pPr>
            <w:r w:rsidRPr="00AE349D">
              <w:t xml:space="preserve">Thematic analysis to identify key themes and ideas generated through stakeholder and community groups. </w:t>
            </w:r>
          </w:p>
        </w:tc>
      </w:tr>
      <w:tr w:rsidR="002E6913" w:rsidRPr="00C75894" w14:paraId="6C56E6CF" w14:textId="77777777" w:rsidTr="00AE349D">
        <w:trPr>
          <w:trHeight w:val="1146"/>
        </w:trPr>
        <w:tc>
          <w:tcPr>
            <w:cnfStyle w:val="001000000000" w:firstRow="0" w:lastRow="0" w:firstColumn="1" w:lastColumn="0" w:oddVBand="0" w:evenVBand="0" w:oddHBand="0" w:evenHBand="0" w:firstRowFirstColumn="0" w:firstRowLastColumn="0" w:lastRowFirstColumn="0" w:lastRowLastColumn="0"/>
            <w:tcW w:w="804" w:type="pct"/>
            <w:shd w:val="clear" w:color="auto" w:fill="F1F4FE"/>
          </w:tcPr>
          <w:p w14:paraId="3C4D6DD6" w14:textId="77777777" w:rsidR="002E6913" w:rsidRPr="00AE349D" w:rsidRDefault="002E6913" w:rsidP="00AE349D">
            <w:r w:rsidRPr="00AE349D">
              <w:t>Surveys</w:t>
            </w:r>
          </w:p>
          <w:p w14:paraId="4910CAA1" w14:textId="017B6F61" w:rsidR="002E6913" w:rsidRPr="00AE349D" w:rsidRDefault="002E6913" w:rsidP="00AE349D">
            <w:r w:rsidRPr="00AE349D">
              <w:t xml:space="preserve">Surveys to various MPS Program stakeholders </w:t>
            </w:r>
          </w:p>
        </w:tc>
        <w:tc>
          <w:tcPr>
            <w:tcW w:w="4196" w:type="pct"/>
          </w:tcPr>
          <w:p w14:paraId="1D0597CF" w14:textId="40C5A790" w:rsidR="002E6913" w:rsidRPr="00AE349D" w:rsidRDefault="002E6913" w:rsidP="00AE349D">
            <w:pPr>
              <w:pStyle w:val="Tablelistbullet"/>
              <w:cnfStyle w:val="000000000000" w:firstRow="0" w:lastRow="0" w:firstColumn="0" w:lastColumn="0" w:oddVBand="0" w:evenVBand="0" w:oddHBand="0" w:evenHBand="0" w:firstRowFirstColumn="0" w:firstRowLastColumn="0" w:lastRowFirstColumn="0" w:lastRowLastColumn="0"/>
            </w:pPr>
            <w:r w:rsidRPr="00AE349D">
              <w:t>Descriptive statistics, includ</w:t>
            </w:r>
            <w:r w:rsidR="00B67CB0" w:rsidRPr="00AE349D">
              <w:t>ing</w:t>
            </w:r>
            <w:r w:rsidRPr="00AE349D">
              <w:t xml:space="preserve"> number of people invested to complete the survey, number of responses, proportion of responses by location, gender and age range. </w:t>
            </w:r>
          </w:p>
          <w:p w14:paraId="7A9D9CAA" w14:textId="79BA280F" w:rsidR="002E6913" w:rsidRPr="00AE349D" w:rsidRDefault="002E6913" w:rsidP="00AE349D">
            <w:pPr>
              <w:pStyle w:val="Tablelistbullet"/>
              <w:cnfStyle w:val="000000000000" w:firstRow="0" w:lastRow="0" w:firstColumn="0" w:lastColumn="0" w:oddVBand="0" w:evenVBand="0" w:oddHBand="0" w:evenHBand="0" w:firstRowFirstColumn="0" w:firstRowLastColumn="0" w:lastRowFirstColumn="0" w:lastRowLastColumn="0"/>
            </w:pPr>
            <w:r w:rsidRPr="00AE349D">
              <w:t xml:space="preserve">Data visualisation </w:t>
            </w:r>
            <w:r w:rsidR="003D4EBD" w:rsidRPr="00AE349D">
              <w:t xml:space="preserve">to </w:t>
            </w:r>
            <w:r w:rsidRPr="00AE349D">
              <w:t xml:space="preserve">display overall results from the survey (excluding qualitative questions). </w:t>
            </w:r>
          </w:p>
          <w:p w14:paraId="0B901601" w14:textId="759FC51A" w:rsidR="002E6913" w:rsidRPr="00AE349D" w:rsidRDefault="002E6913" w:rsidP="00AE349D">
            <w:pPr>
              <w:pStyle w:val="Tablelistbullet"/>
              <w:cnfStyle w:val="000000000000" w:firstRow="0" w:lastRow="0" w:firstColumn="0" w:lastColumn="0" w:oddVBand="0" w:evenVBand="0" w:oddHBand="0" w:evenHBand="0" w:firstRowFirstColumn="0" w:firstRowLastColumn="0" w:lastRowFirstColumn="0" w:lastRowLastColumn="0"/>
            </w:pPr>
            <w:r w:rsidRPr="00AE349D">
              <w:t xml:space="preserve">Subgroup analysis, including differences in survey responses between location and stakeholder group. </w:t>
            </w:r>
          </w:p>
          <w:p w14:paraId="6050E1E2" w14:textId="0D5967D1" w:rsidR="002E6913" w:rsidRPr="00AE349D" w:rsidRDefault="002E6913" w:rsidP="00AE349D">
            <w:pPr>
              <w:pStyle w:val="Tablelistbullet"/>
              <w:cnfStyle w:val="000000000000" w:firstRow="0" w:lastRow="0" w:firstColumn="0" w:lastColumn="0" w:oddVBand="0" w:evenVBand="0" w:oddHBand="0" w:evenHBand="0" w:firstRowFirstColumn="0" w:firstRowLastColumn="0" w:lastRowFirstColumn="0" w:lastRowLastColumn="0"/>
            </w:pPr>
            <w:r w:rsidRPr="00AE349D">
              <w:t xml:space="preserve">Comparative analysis to compare the results of surveys with other program data and available datasets. </w:t>
            </w:r>
          </w:p>
          <w:p w14:paraId="243A518A" w14:textId="71B09E95" w:rsidR="002E6913" w:rsidRPr="00AE349D" w:rsidRDefault="002E6913" w:rsidP="00AE349D">
            <w:pPr>
              <w:pStyle w:val="Tablelistbullet"/>
              <w:cnfStyle w:val="000000000000" w:firstRow="0" w:lastRow="0" w:firstColumn="0" w:lastColumn="0" w:oddVBand="0" w:evenVBand="0" w:oddHBand="0" w:evenHBand="0" w:firstRowFirstColumn="0" w:firstRowLastColumn="0" w:lastRowFirstColumn="0" w:lastRowLastColumn="0"/>
            </w:pPr>
            <w:r w:rsidRPr="00AE349D">
              <w:t xml:space="preserve">Thematic analysis to identify key themes and ideas from the </w:t>
            </w:r>
            <w:proofErr w:type="gramStart"/>
            <w:r w:rsidRPr="00AE349D">
              <w:t>free-test</w:t>
            </w:r>
            <w:proofErr w:type="gramEnd"/>
            <w:r w:rsidRPr="00AE349D">
              <w:t xml:space="preserve"> based questions within the survey. </w:t>
            </w:r>
          </w:p>
        </w:tc>
      </w:tr>
      <w:tr w:rsidR="002E6913" w:rsidRPr="00C75894" w14:paraId="09293604" w14:textId="77777777" w:rsidTr="00AE349D">
        <w:trPr>
          <w:trHeight w:val="1146"/>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6BA0FF" w:themeColor="accent1" w:themeTint="66"/>
            </w:tcBorders>
            <w:shd w:val="clear" w:color="auto" w:fill="F1F4FE"/>
          </w:tcPr>
          <w:p w14:paraId="5CCEB557" w14:textId="77777777" w:rsidR="002E6913" w:rsidRPr="00AE349D" w:rsidRDefault="002E6913" w:rsidP="00AE349D">
            <w:r w:rsidRPr="00AE349D">
              <w:t>Program data</w:t>
            </w:r>
          </w:p>
          <w:p w14:paraId="010FC56B" w14:textId="77777777" w:rsidR="002E6913" w:rsidRPr="00AE349D" w:rsidRDefault="002E6913" w:rsidP="00AE349D">
            <w:r w:rsidRPr="00AE349D">
              <w:t xml:space="preserve">KPI Data </w:t>
            </w:r>
          </w:p>
          <w:p w14:paraId="5515422E" w14:textId="77777777" w:rsidR="002E6913" w:rsidRPr="00AE349D" w:rsidRDefault="002E6913" w:rsidP="00AE349D">
            <w:r w:rsidRPr="00AE349D">
              <w:t xml:space="preserve">Financial acquittal </w:t>
            </w:r>
          </w:p>
          <w:p w14:paraId="5CE17E92" w14:textId="2B98D447" w:rsidR="002E6913" w:rsidRPr="00AE349D" w:rsidRDefault="002E6913" w:rsidP="00AE349D">
            <w:r w:rsidRPr="00AE349D">
              <w:t xml:space="preserve">Performance reports </w:t>
            </w:r>
          </w:p>
        </w:tc>
        <w:tc>
          <w:tcPr>
            <w:tcW w:w="0" w:type="pct"/>
            <w:tcBorders>
              <w:bottom w:val="single" w:sz="4" w:space="0" w:color="6BA0FF" w:themeColor="accent1" w:themeTint="66"/>
            </w:tcBorders>
          </w:tcPr>
          <w:p w14:paraId="1EAFA763" w14:textId="2C93E286" w:rsidR="002E6913" w:rsidRPr="00AE349D" w:rsidRDefault="002E6913" w:rsidP="00AE349D">
            <w:pPr>
              <w:pStyle w:val="Tablelistbullet"/>
              <w:cnfStyle w:val="000000000000" w:firstRow="0" w:lastRow="0" w:firstColumn="0" w:lastColumn="0" w:oddVBand="0" w:evenVBand="0" w:oddHBand="0" w:evenHBand="0" w:firstRowFirstColumn="0" w:firstRowLastColumn="0" w:lastRowFirstColumn="0" w:lastRowLastColumn="0"/>
            </w:pPr>
            <w:r w:rsidRPr="00AE349D">
              <w:t xml:space="preserve">Descriptive statistics to describe the cohort of MPS Program supported trainees in each location. </w:t>
            </w:r>
          </w:p>
          <w:p w14:paraId="51C18C1E" w14:textId="46804223" w:rsidR="002E6913" w:rsidRPr="00AE349D" w:rsidRDefault="002E6913" w:rsidP="00AE349D">
            <w:pPr>
              <w:pStyle w:val="Tablelistbullet"/>
              <w:cnfStyle w:val="000000000000" w:firstRow="0" w:lastRow="0" w:firstColumn="0" w:lastColumn="0" w:oddVBand="0" w:evenVBand="0" w:oddHBand="0" w:evenHBand="0" w:firstRowFirstColumn="0" w:firstRowLastColumn="0" w:lastRowFirstColumn="0" w:lastRowLastColumn="0"/>
            </w:pPr>
            <w:r w:rsidRPr="00AE349D">
              <w:t xml:space="preserve">Thematic analysis to identify key themes and ideas from activity and performance reporting, including any strategic updates provided by ACPSEM to the Department. </w:t>
            </w:r>
          </w:p>
        </w:tc>
      </w:tr>
      <w:tr w:rsidR="002E6913" w:rsidRPr="00C75894" w14:paraId="41073EBD" w14:textId="77777777" w:rsidTr="00AE349D">
        <w:trPr>
          <w:trHeight w:val="1146"/>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6BA0FF" w:themeColor="accent1" w:themeTint="66"/>
              <w:bottom w:val="single" w:sz="4" w:space="0" w:color="1E49E2" w:themeColor="accent2"/>
            </w:tcBorders>
            <w:shd w:val="clear" w:color="auto" w:fill="F1F4FE"/>
          </w:tcPr>
          <w:p w14:paraId="3809C661" w14:textId="77777777" w:rsidR="002E6913" w:rsidRPr="00AE349D" w:rsidRDefault="002E6913" w:rsidP="00AE349D">
            <w:r w:rsidRPr="00AE349D">
              <w:t>Datasets</w:t>
            </w:r>
          </w:p>
          <w:p w14:paraId="6A0C53D9" w14:textId="77777777" w:rsidR="002E6913" w:rsidRPr="00AE349D" w:rsidRDefault="002E6913" w:rsidP="00AE349D">
            <w:r w:rsidRPr="00AE349D">
              <w:t xml:space="preserve">ACPSEM </w:t>
            </w:r>
          </w:p>
          <w:p w14:paraId="0D09E623" w14:textId="51537A8C" w:rsidR="002E6913" w:rsidRPr="00AE349D" w:rsidRDefault="002E6913" w:rsidP="00AE349D">
            <w:r w:rsidRPr="00AE349D">
              <w:t>National</w:t>
            </w:r>
          </w:p>
        </w:tc>
        <w:tc>
          <w:tcPr>
            <w:tcW w:w="0" w:type="pct"/>
            <w:tcBorders>
              <w:top w:val="single" w:sz="4" w:space="0" w:color="6BA0FF" w:themeColor="accent1" w:themeTint="66"/>
              <w:bottom w:val="single" w:sz="4" w:space="0" w:color="1E49E2" w:themeColor="accent2"/>
            </w:tcBorders>
          </w:tcPr>
          <w:p w14:paraId="15BF4069" w14:textId="4316AA14" w:rsidR="002E6913" w:rsidRPr="00AE349D" w:rsidRDefault="002E6913" w:rsidP="00AE349D">
            <w:pPr>
              <w:pStyle w:val="Tablelistbullet"/>
              <w:cnfStyle w:val="000000000000" w:firstRow="0" w:lastRow="0" w:firstColumn="0" w:lastColumn="0" w:oddVBand="0" w:evenVBand="0" w:oddHBand="0" w:evenHBand="0" w:firstRowFirstColumn="0" w:firstRowLastColumn="0" w:lastRowFirstColumn="0" w:lastRowLastColumn="0"/>
            </w:pPr>
            <w:r w:rsidRPr="00AE349D">
              <w:t xml:space="preserve">Descriptive statistics to describe the medical physicist workforce by </w:t>
            </w:r>
            <w:proofErr w:type="gramStart"/>
            <w:r w:rsidRPr="00AE349D">
              <w:t>location,.</w:t>
            </w:r>
            <w:proofErr w:type="gramEnd"/>
            <w:r w:rsidRPr="00AE349D">
              <w:t xml:space="preserve"> </w:t>
            </w:r>
          </w:p>
          <w:p w14:paraId="4FCE8669" w14:textId="0A5015B9" w:rsidR="002E6913" w:rsidRPr="00AE349D" w:rsidRDefault="002E6913" w:rsidP="00AE349D">
            <w:pPr>
              <w:pStyle w:val="Tablelistbullet"/>
              <w:cnfStyle w:val="000000000000" w:firstRow="0" w:lastRow="0" w:firstColumn="0" w:lastColumn="0" w:oddVBand="0" w:evenVBand="0" w:oddHBand="0" w:evenHBand="0" w:firstRowFirstColumn="0" w:firstRowLastColumn="0" w:lastRowFirstColumn="0" w:lastRowLastColumn="0"/>
            </w:pPr>
            <w:r w:rsidRPr="00AE349D">
              <w:t xml:space="preserve">Comparative analysis to identify differences in outcomes between jurisdictions. </w:t>
            </w:r>
          </w:p>
        </w:tc>
      </w:tr>
    </w:tbl>
    <w:p w14:paraId="4FCA8D6B" w14:textId="246ECA8C" w:rsidR="00DD3E39" w:rsidRPr="00AE349D" w:rsidRDefault="00DD3E39" w:rsidP="00AE349D">
      <w:pPr>
        <w:pStyle w:val="FootnoteText"/>
      </w:pPr>
      <w:r w:rsidRPr="00AE349D">
        <w:t>Source: KPMG, 2024</w:t>
      </w:r>
      <w:r w:rsidR="00C273B2" w:rsidRPr="00AE349D">
        <w:t>.</w:t>
      </w:r>
    </w:p>
    <w:p w14:paraId="23BF4A8D" w14:textId="6C59077D" w:rsidR="00773E5E" w:rsidRDefault="00894EF4" w:rsidP="00CB0E04">
      <w:pPr>
        <w:spacing w:before="0" w:after="160" w:line="259" w:lineRule="auto"/>
        <w:sectPr w:rsidR="00773E5E" w:rsidSect="00773E5E">
          <w:headerReference w:type="default" r:id="rId65"/>
          <w:pgSz w:w="11906" w:h="16838"/>
          <w:pgMar w:top="1701" w:right="1134" w:bottom="1134" w:left="1134" w:header="709" w:footer="454" w:gutter="0"/>
          <w:cols w:space="708"/>
          <w:docGrid w:linePitch="360"/>
        </w:sectPr>
      </w:pPr>
      <w:r>
        <w:br w:type="page"/>
      </w:r>
    </w:p>
    <w:p w14:paraId="4FF93484" w14:textId="7E292342" w:rsidR="005C75EC" w:rsidRDefault="005C75EC" w:rsidP="00687023">
      <w:pPr>
        <w:pStyle w:val="Heading1"/>
      </w:pPr>
      <w:bookmarkStart w:id="243" w:name="_Appendix_B:_Key"/>
      <w:bookmarkStart w:id="244" w:name="_Toc184396577"/>
      <w:bookmarkStart w:id="245" w:name="_Toc216711611"/>
      <w:bookmarkStart w:id="246" w:name="_Toc216792005"/>
      <w:bookmarkEnd w:id="243"/>
      <w:r>
        <w:t xml:space="preserve">Appendix </w:t>
      </w:r>
      <w:r w:rsidR="005218C0">
        <w:t>B</w:t>
      </w:r>
      <w:r w:rsidR="006B6D27">
        <w:t xml:space="preserve">: </w:t>
      </w:r>
      <w:r w:rsidR="002B03A8">
        <w:t>Key evaluation questions and d</w:t>
      </w:r>
      <w:r w:rsidR="000054F8">
        <w:t xml:space="preserve">ata </w:t>
      </w:r>
      <w:r w:rsidR="00377A94">
        <w:t>m</w:t>
      </w:r>
      <w:r w:rsidR="000054F8">
        <w:t>atrix</w:t>
      </w:r>
      <w:bookmarkEnd w:id="217"/>
      <w:bookmarkEnd w:id="244"/>
      <w:bookmarkEnd w:id="245"/>
      <w:bookmarkEnd w:id="246"/>
      <w:r w:rsidR="000054F8">
        <w:t xml:space="preserve"> </w:t>
      </w:r>
    </w:p>
    <w:p w14:paraId="2282C784" w14:textId="400EB433" w:rsidR="00D00974" w:rsidRDefault="00EC26DF" w:rsidP="00D00974">
      <w:pPr>
        <w:pStyle w:val="Caption"/>
      </w:pPr>
      <w:r>
        <w:t xml:space="preserve">Table </w:t>
      </w:r>
      <w:r>
        <w:fldChar w:fldCharType="begin"/>
      </w:r>
      <w:r>
        <w:instrText xml:space="preserve"> SEQ Table \* ARABIC </w:instrText>
      </w:r>
      <w:r>
        <w:fldChar w:fldCharType="separate"/>
      </w:r>
      <w:r w:rsidR="005F7EBC">
        <w:rPr>
          <w:noProof/>
        </w:rPr>
        <w:t>17</w:t>
      </w:r>
      <w:r>
        <w:fldChar w:fldCharType="end"/>
      </w:r>
      <w:r>
        <w:t xml:space="preserve">: </w:t>
      </w:r>
      <w:r w:rsidRPr="006C414A">
        <w:t>KEQs and data matrix</w:t>
      </w:r>
    </w:p>
    <w:tbl>
      <w:tblPr>
        <w:tblStyle w:val="GridTable1Light-Accent1"/>
        <w:tblW w:w="14314" w:type="dxa"/>
        <w:tblLook w:val="04A0" w:firstRow="1" w:lastRow="0" w:firstColumn="1" w:lastColumn="0" w:noHBand="0" w:noVBand="1"/>
      </w:tblPr>
      <w:tblGrid>
        <w:gridCol w:w="1607"/>
        <w:gridCol w:w="1844"/>
        <w:gridCol w:w="1824"/>
        <w:gridCol w:w="1974"/>
        <w:gridCol w:w="1624"/>
        <w:gridCol w:w="5441"/>
      </w:tblGrid>
      <w:tr w:rsidR="00022C37" w:rsidRPr="00DF0AA7" w14:paraId="6FC5F512" w14:textId="77777777" w:rsidTr="00AE34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tcBorders>
          </w:tcPr>
          <w:p w14:paraId="32DB1E88" w14:textId="77777777" w:rsidR="00022C37" w:rsidRPr="00DF0AA7" w:rsidRDefault="00022C37">
            <w:pPr>
              <w:rPr>
                <w:b w:val="0"/>
              </w:rPr>
            </w:pPr>
            <w:r w:rsidRPr="00DF0AA7">
              <w:rPr>
                <w:sz w:val="18"/>
                <w:szCs w:val="16"/>
              </w:rPr>
              <w:t>Evaluation Questions</w:t>
            </w:r>
          </w:p>
        </w:tc>
        <w:tc>
          <w:tcPr>
            <w:tcW w:w="0" w:type="dxa"/>
            <w:tcBorders>
              <w:top w:val="nil"/>
            </w:tcBorders>
          </w:tcPr>
          <w:p w14:paraId="1B2F060D" w14:textId="77777777" w:rsidR="00022C37" w:rsidRPr="00DF0AA7" w:rsidRDefault="00022C37">
            <w:pPr>
              <w:cnfStyle w:val="100000000000" w:firstRow="1" w:lastRow="0" w:firstColumn="0" w:lastColumn="0" w:oddVBand="0" w:evenVBand="0" w:oddHBand="0" w:evenHBand="0" w:firstRowFirstColumn="0" w:firstRowLastColumn="0" w:lastRowFirstColumn="0" w:lastRowLastColumn="0"/>
              <w:rPr>
                <w:b w:val="0"/>
              </w:rPr>
            </w:pPr>
            <w:r w:rsidRPr="00DF0AA7">
              <w:rPr>
                <w:sz w:val="18"/>
                <w:szCs w:val="16"/>
              </w:rPr>
              <w:t>Indicators</w:t>
            </w:r>
          </w:p>
        </w:tc>
        <w:tc>
          <w:tcPr>
            <w:tcW w:w="0" w:type="dxa"/>
            <w:tcBorders>
              <w:top w:val="nil"/>
            </w:tcBorders>
          </w:tcPr>
          <w:p w14:paraId="7607CE80" w14:textId="77777777" w:rsidR="00022C37" w:rsidRPr="00DF0AA7" w:rsidRDefault="00022C37">
            <w:pPr>
              <w:cnfStyle w:val="100000000000" w:firstRow="1" w:lastRow="0" w:firstColumn="0" w:lastColumn="0" w:oddVBand="0" w:evenVBand="0" w:oddHBand="0" w:evenHBand="0" w:firstRowFirstColumn="0" w:firstRowLastColumn="0" w:lastRowFirstColumn="0" w:lastRowLastColumn="0"/>
              <w:rPr>
                <w:b w:val="0"/>
              </w:rPr>
            </w:pPr>
            <w:r w:rsidRPr="00DF0AA7">
              <w:rPr>
                <w:sz w:val="18"/>
                <w:szCs w:val="16"/>
              </w:rPr>
              <w:t xml:space="preserve"> Metrics </w:t>
            </w:r>
          </w:p>
        </w:tc>
        <w:tc>
          <w:tcPr>
            <w:tcW w:w="0" w:type="dxa"/>
            <w:tcBorders>
              <w:top w:val="nil"/>
            </w:tcBorders>
          </w:tcPr>
          <w:p w14:paraId="248A0408" w14:textId="77777777" w:rsidR="00022C37" w:rsidRPr="00DF0AA7" w:rsidRDefault="00022C37">
            <w:pPr>
              <w:cnfStyle w:val="100000000000" w:firstRow="1" w:lastRow="0" w:firstColumn="0" w:lastColumn="0" w:oddVBand="0" w:evenVBand="0" w:oddHBand="0" w:evenHBand="0" w:firstRowFirstColumn="0" w:firstRowLastColumn="0" w:lastRowFirstColumn="0" w:lastRowLastColumn="0"/>
              <w:rPr>
                <w:b w:val="0"/>
              </w:rPr>
            </w:pPr>
            <w:r w:rsidRPr="00DF0AA7">
              <w:rPr>
                <w:sz w:val="18"/>
                <w:szCs w:val="16"/>
              </w:rPr>
              <w:t>Data Source</w:t>
            </w:r>
          </w:p>
        </w:tc>
        <w:tc>
          <w:tcPr>
            <w:tcW w:w="0" w:type="dxa"/>
            <w:tcBorders>
              <w:top w:val="nil"/>
            </w:tcBorders>
          </w:tcPr>
          <w:p w14:paraId="5DC96060" w14:textId="77777777" w:rsidR="00022C37" w:rsidRPr="00DF0AA7" w:rsidRDefault="00022C37">
            <w:pPr>
              <w:cnfStyle w:val="100000000000" w:firstRow="1" w:lastRow="0" w:firstColumn="0" w:lastColumn="0" w:oddVBand="0" w:evenVBand="0" w:oddHBand="0" w:evenHBand="0" w:firstRowFirstColumn="0" w:firstRowLastColumn="0" w:lastRowFirstColumn="0" w:lastRowLastColumn="0"/>
              <w:rPr>
                <w:b w:val="0"/>
              </w:rPr>
            </w:pPr>
            <w:r w:rsidRPr="00DF0AA7">
              <w:rPr>
                <w:sz w:val="18"/>
                <w:szCs w:val="16"/>
              </w:rPr>
              <w:t>Methods</w:t>
            </w:r>
          </w:p>
        </w:tc>
        <w:tc>
          <w:tcPr>
            <w:tcW w:w="0" w:type="dxa"/>
            <w:tcBorders>
              <w:top w:val="nil"/>
              <w:right w:val="nil"/>
            </w:tcBorders>
          </w:tcPr>
          <w:p w14:paraId="118328EE" w14:textId="77777777" w:rsidR="00022C37" w:rsidRPr="00DF0AA7" w:rsidRDefault="00022C37">
            <w:pPr>
              <w:cnfStyle w:val="100000000000" w:firstRow="1" w:lastRow="0" w:firstColumn="0" w:lastColumn="0" w:oddVBand="0" w:evenVBand="0" w:oddHBand="0" w:evenHBand="0" w:firstRowFirstColumn="0" w:firstRowLastColumn="0" w:lastRowFirstColumn="0" w:lastRowLastColumn="0"/>
              <w:rPr>
                <w:b w:val="0"/>
                <w:sz w:val="18"/>
                <w:szCs w:val="16"/>
              </w:rPr>
            </w:pPr>
            <w:r w:rsidRPr="00DF0AA7">
              <w:rPr>
                <w:sz w:val="18"/>
                <w:szCs w:val="16"/>
              </w:rPr>
              <w:t>Analytical Methods</w:t>
            </w:r>
          </w:p>
        </w:tc>
      </w:tr>
      <w:tr w:rsidR="00022C37" w:rsidRPr="003473BF" w14:paraId="7497D439" w14:textId="77777777">
        <w:trPr>
          <w:trHeight w:val="294"/>
        </w:trPr>
        <w:tc>
          <w:tcPr>
            <w:cnfStyle w:val="001000000000" w:firstRow="0" w:lastRow="0" w:firstColumn="1" w:lastColumn="0" w:oddVBand="0" w:evenVBand="0" w:oddHBand="0" w:evenHBand="0" w:firstRowFirstColumn="0" w:firstRowLastColumn="0" w:lastRowFirstColumn="0" w:lastRowLastColumn="0"/>
            <w:tcW w:w="14314" w:type="dxa"/>
            <w:gridSpan w:val="6"/>
            <w:tcBorders>
              <w:left w:val="nil"/>
              <w:right w:val="nil"/>
            </w:tcBorders>
            <w:shd w:val="clear" w:color="auto" w:fill="F1F4FE"/>
          </w:tcPr>
          <w:p w14:paraId="18579FBD" w14:textId="70E0933F" w:rsidR="00022C37" w:rsidRPr="003473BF" w:rsidRDefault="00022C37">
            <w:pPr>
              <w:pStyle w:val="Tabletextheading"/>
              <w:rPr>
                <w:b w:val="0"/>
                <w:color w:val="000000" w:themeColor="text1"/>
                <w:sz w:val="18"/>
                <w:szCs w:val="16"/>
              </w:rPr>
            </w:pPr>
            <w:r w:rsidRPr="003473BF">
              <w:rPr>
                <w:color w:val="000000" w:themeColor="text1"/>
                <w:sz w:val="18"/>
                <w:szCs w:val="16"/>
              </w:rPr>
              <w:t xml:space="preserve">1. Implementation: </w:t>
            </w:r>
            <w:r w:rsidR="00830A05" w:rsidRPr="00830A05">
              <w:rPr>
                <w:b w:val="0"/>
                <w:color w:val="000000" w:themeColor="text1"/>
                <w:sz w:val="18"/>
                <w:szCs w:val="16"/>
              </w:rPr>
              <w:t>Has</w:t>
            </w:r>
            <w:r w:rsidR="00830A05" w:rsidRPr="003473BF">
              <w:rPr>
                <w:b w:val="0"/>
                <w:color w:val="000000" w:themeColor="text1"/>
                <w:sz w:val="18"/>
                <w:szCs w:val="16"/>
              </w:rPr>
              <w:t xml:space="preserve"> the </w:t>
            </w:r>
            <w:r w:rsidR="00830A05" w:rsidRPr="00830A05">
              <w:rPr>
                <w:b w:val="0"/>
                <w:color w:val="000000" w:themeColor="text1"/>
                <w:sz w:val="18"/>
                <w:szCs w:val="16"/>
              </w:rPr>
              <w:t xml:space="preserve">MPS </w:t>
            </w:r>
            <w:r w:rsidR="00830A05" w:rsidRPr="003473BF">
              <w:rPr>
                <w:b w:val="0"/>
                <w:color w:val="000000" w:themeColor="text1"/>
                <w:sz w:val="18"/>
                <w:szCs w:val="16"/>
              </w:rPr>
              <w:t>Program been implemented as intended?</w:t>
            </w:r>
          </w:p>
        </w:tc>
      </w:tr>
      <w:tr w:rsidR="00830A05" w:rsidRPr="006D322D" w14:paraId="6DBF2047"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7FB5823E" w14:textId="59563E48" w:rsidR="00830A05" w:rsidRPr="00194457" w:rsidRDefault="00830A05" w:rsidP="00194457">
            <w:pPr>
              <w:pStyle w:val="Tabletextheading"/>
              <w:spacing w:beforeLines="60" w:before="144"/>
              <w:rPr>
                <w:color w:val="000000" w:themeColor="text1"/>
              </w:rPr>
            </w:pPr>
            <w:r w:rsidRPr="006D322D">
              <w:rPr>
                <w:color w:val="000000" w:themeColor="text1"/>
                <w:sz w:val="18"/>
                <w:szCs w:val="16"/>
              </w:rPr>
              <w:t>1.1 To what extent has the MPS Program been implemented as intended?</w:t>
            </w:r>
          </w:p>
        </w:tc>
        <w:tc>
          <w:tcPr>
            <w:tcW w:w="0" w:type="dxa"/>
          </w:tcPr>
          <w:p w14:paraId="71528852" w14:textId="2E1251D1" w:rsidR="00830A05" w:rsidRP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830A05">
              <w:t>Alignment to policy and program documentation</w:t>
            </w:r>
            <w:r w:rsidR="002779B7">
              <w:t>.</w:t>
            </w:r>
          </w:p>
        </w:tc>
        <w:tc>
          <w:tcPr>
            <w:tcW w:w="0" w:type="dxa"/>
          </w:tcPr>
          <w:p w14:paraId="6DB66851"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Alignment to policy documentation and strategic intent</w:t>
            </w:r>
          </w:p>
          <w:p w14:paraId="06449F1D" w14:textId="09CCD108" w:rsidR="00830A05" w:rsidRP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830A05">
              <w:t>Comparison of actual outputs compared to contracted outputs</w:t>
            </w:r>
          </w:p>
        </w:tc>
        <w:tc>
          <w:tcPr>
            <w:tcW w:w="0" w:type="dxa"/>
          </w:tcPr>
          <w:p w14:paraId="117BDF13"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 xml:space="preserve">Policy documents </w:t>
            </w:r>
          </w:p>
          <w:p w14:paraId="58299419"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Program data and reporting</w:t>
            </w:r>
          </w:p>
          <w:p w14:paraId="1198CF9D" w14:textId="4E2365C3" w:rsidR="00830A05" w:rsidRP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830A05">
              <w:t>Focus groups/interviews</w:t>
            </w:r>
          </w:p>
        </w:tc>
        <w:tc>
          <w:tcPr>
            <w:tcW w:w="0" w:type="dxa"/>
          </w:tcPr>
          <w:p w14:paraId="3F03CC25"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Desktop review</w:t>
            </w:r>
          </w:p>
          <w:p w14:paraId="2E6176BA" w14:textId="0FBB8D46" w:rsidR="00830A05" w:rsidRP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830A05">
              <w:t>Stakeholder consultations</w:t>
            </w:r>
          </w:p>
        </w:tc>
        <w:tc>
          <w:tcPr>
            <w:tcW w:w="0" w:type="dxa"/>
            <w:tcBorders>
              <w:right w:val="nil"/>
            </w:tcBorders>
          </w:tcPr>
          <w:p w14:paraId="29276423" w14:textId="77777777" w:rsid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t>Descriptive statistics</w:t>
            </w:r>
          </w:p>
          <w:p w14:paraId="673964E9" w14:textId="77777777" w:rsid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t>Thematic analysis</w:t>
            </w:r>
          </w:p>
          <w:p w14:paraId="6C149C5A" w14:textId="1FE12274"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t>Comparative analysis</w:t>
            </w:r>
          </w:p>
        </w:tc>
      </w:tr>
      <w:tr w:rsidR="00830A05" w:rsidRPr="006D322D" w14:paraId="31991706"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58464019" w14:textId="4637DA8B" w:rsidR="00830A05" w:rsidRPr="006D322D" w:rsidRDefault="00830A05" w:rsidP="00194457">
            <w:pPr>
              <w:pStyle w:val="Tabletextheading"/>
            </w:pPr>
            <w:r w:rsidRPr="006D322D">
              <w:rPr>
                <w:color w:val="000000" w:themeColor="text1"/>
                <w:sz w:val="18"/>
                <w:szCs w:val="16"/>
              </w:rPr>
              <w:t>1.2 How well were stakeholders (e.g., medical physicists, healthcare providers) engaged in the implementation process?</w:t>
            </w:r>
          </w:p>
        </w:tc>
        <w:tc>
          <w:tcPr>
            <w:tcW w:w="0" w:type="dxa"/>
          </w:tcPr>
          <w:p w14:paraId="1A15E61C" w14:textId="3DCE4AA4" w:rsidR="00830A05" w:rsidRP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830A05">
              <w:t>Perceptions of the level of engagement of key stakeholder during implementation</w:t>
            </w:r>
            <w:r w:rsidR="002779B7">
              <w:t>.</w:t>
            </w:r>
          </w:p>
        </w:tc>
        <w:tc>
          <w:tcPr>
            <w:tcW w:w="0" w:type="dxa"/>
          </w:tcPr>
          <w:p w14:paraId="058D40FE"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Alignment to policy documentation and strategic intent</w:t>
            </w:r>
          </w:p>
          <w:p w14:paraId="552990A5" w14:textId="17031403" w:rsidR="00830A05" w:rsidRP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830A05">
              <w:t>Changes in policy documentation and strategic intent</w:t>
            </w:r>
          </w:p>
        </w:tc>
        <w:tc>
          <w:tcPr>
            <w:tcW w:w="0" w:type="dxa"/>
          </w:tcPr>
          <w:p w14:paraId="6C23725B"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 xml:space="preserve">Policy documents </w:t>
            </w:r>
          </w:p>
          <w:p w14:paraId="369EE6EE" w14:textId="26E700E6" w:rsidR="00830A05" w:rsidRP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830A05">
              <w:t>Focus groups/interviews</w:t>
            </w:r>
          </w:p>
        </w:tc>
        <w:tc>
          <w:tcPr>
            <w:tcW w:w="0" w:type="dxa"/>
          </w:tcPr>
          <w:p w14:paraId="071A4A81"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Desktop review</w:t>
            </w:r>
          </w:p>
          <w:p w14:paraId="090DFBE6" w14:textId="16A8ED44" w:rsidR="00830A05" w:rsidRP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830A05">
              <w:t>Stakeholder consultations</w:t>
            </w:r>
          </w:p>
        </w:tc>
        <w:tc>
          <w:tcPr>
            <w:tcW w:w="0" w:type="dxa"/>
            <w:tcBorders>
              <w:right w:val="nil"/>
            </w:tcBorders>
          </w:tcPr>
          <w:p w14:paraId="69A2F83B" w14:textId="77777777" w:rsid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t>Descriptive statistics</w:t>
            </w:r>
          </w:p>
          <w:p w14:paraId="2C19E7EB" w14:textId="77777777" w:rsidR="00830A05"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t>Thematic analysis</w:t>
            </w:r>
          </w:p>
          <w:p w14:paraId="78856C4F" w14:textId="78E2FF34"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t>Comparative analysis</w:t>
            </w:r>
          </w:p>
        </w:tc>
      </w:tr>
      <w:tr w:rsidR="00830A05" w:rsidRPr="006D322D" w14:paraId="315BAA70"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591512A0" w14:textId="7AF456F5" w:rsidR="00830A05" w:rsidRPr="00AE349D" w:rsidRDefault="00830A05" w:rsidP="00AE349D">
            <w:pPr>
              <w:rPr>
                <w:b w:val="0"/>
                <w:bCs w:val="0"/>
                <w:color w:val="000000" w:themeColor="text1"/>
                <w:sz w:val="18"/>
                <w:szCs w:val="16"/>
              </w:rPr>
            </w:pPr>
            <w:r w:rsidRPr="007B3D4C">
              <w:rPr>
                <w:color w:val="000000" w:themeColor="text1"/>
                <w:sz w:val="18"/>
                <w:szCs w:val="16"/>
              </w:rPr>
              <w:t>1.3 What are/have been the key barriers and enablers in implementing the MPS Program?</w:t>
            </w:r>
          </w:p>
        </w:tc>
        <w:tc>
          <w:tcPr>
            <w:tcW w:w="0" w:type="dxa"/>
            <w:gridSpan w:val="2"/>
          </w:tcPr>
          <w:p w14:paraId="5F46210B" w14:textId="7474BEF2" w:rsidR="00830A05" w:rsidRPr="00830A05" w:rsidRDefault="00830A05" w:rsidP="00584EC6">
            <w:pPr>
              <w:pStyle w:val="Tabletextheading"/>
              <w:numPr>
                <w:ilvl w:val="0"/>
                <w:numId w:val="37"/>
              </w:numPr>
              <w:spacing w:before="60"/>
              <w:cnfStyle w:val="000000000000" w:firstRow="0" w:lastRow="0" w:firstColumn="0" w:lastColumn="0" w:oddVBand="0" w:evenVBand="0" w:oddHBand="0" w:evenHBand="0" w:firstRowFirstColumn="0" w:firstRowLastColumn="0" w:lastRowFirstColumn="0" w:lastRowLastColumn="0"/>
              <w:rPr>
                <w:i/>
                <w:color w:val="000000" w:themeColor="text1"/>
                <w:sz w:val="18"/>
                <w:szCs w:val="16"/>
              </w:rPr>
            </w:pPr>
            <w:r w:rsidRPr="00192B4E">
              <w:rPr>
                <w:color w:val="000000" w:themeColor="text1"/>
                <w:sz w:val="18"/>
                <w:szCs w:val="16"/>
              </w:rPr>
              <w:t>Findings regarding what is working well and less well be further explored, using feedback from across stakeholder perspectives, to understand underlying drivers, barriers and enablers of effective implementation and delivery of the program.</w:t>
            </w:r>
          </w:p>
        </w:tc>
        <w:tc>
          <w:tcPr>
            <w:tcW w:w="0" w:type="dxa"/>
          </w:tcPr>
          <w:p w14:paraId="5C0D3A12" w14:textId="77777777" w:rsidR="00830A05" w:rsidRPr="00830A05" w:rsidRDefault="00830A05" w:rsidP="00584EC6">
            <w:pPr>
              <w:pStyle w:val="Tabletextheading"/>
              <w:numPr>
                <w:ilvl w:val="0"/>
                <w:numId w:val="37"/>
              </w:numPr>
              <w:spacing w:before="60"/>
              <w:cnfStyle w:val="000000000000" w:firstRow="0" w:lastRow="0" w:firstColumn="0" w:lastColumn="0" w:oddVBand="0" w:evenVBand="0" w:oddHBand="0" w:evenHBand="0" w:firstRowFirstColumn="0" w:firstRowLastColumn="0" w:lastRowFirstColumn="0" w:lastRowLastColumn="0"/>
              <w:rPr>
                <w:i/>
                <w:color w:val="000000" w:themeColor="text1"/>
                <w:sz w:val="18"/>
                <w:szCs w:val="16"/>
              </w:rPr>
            </w:pPr>
            <w:r w:rsidRPr="00830A05">
              <w:rPr>
                <w:color w:val="000000" w:themeColor="text1"/>
                <w:sz w:val="18"/>
                <w:szCs w:val="16"/>
              </w:rPr>
              <w:t>Survey data</w:t>
            </w:r>
          </w:p>
          <w:p w14:paraId="206E93FD" w14:textId="02799E9B" w:rsidR="00830A05" w:rsidRPr="00830A05" w:rsidRDefault="00830A05" w:rsidP="00584EC6">
            <w:pPr>
              <w:pStyle w:val="Tabletextheading"/>
              <w:numPr>
                <w:ilvl w:val="0"/>
                <w:numId w:val="37"/>
              </w:numPr>
              <w:spacing w:before="60"/>
              <w:cnfStyle w:val="000000000000" w:firstRow="0" w:lastRow="0" w:firstColumn="0" w:lastColumn="0" w:oddVBand="0" w:evenVBand="0" w:oddHBand="0" w:evenHBand="0" w:firstRowFirstColumn="0" w:firstRowLastColumn="0" w:lastRowFirstColumn="0" w:lastRowLastColumn="0"/>
              <w:rPr>
                <w:i/>
                <w:color w:val="000000" w:themeColor="text1"/>
                <w:sz w:val="18"/>
                <w:szCs w:val="16"/>
              </w:rPr>
            </w:pPr>
            <w:r w:rsidRPr="00192B4E">
              <w:rPr>
                <w:color w:val="000000" w:themeColor="text1"/>
                <w:sz w:val="18"/>
                <w:szCs w:val="16"/>
              </w:rPr>
              <w:t>Focus groups/interviews</w:t>
            </w:r>
          </w:p>
        </w:tc>
        <w:tc>
          <w:tcPr>
            <w:tcW w:w="0" w:type="dxa"/>
          </w:tcPr>
          <w:p w14:paraId="0EC66087" w14:textId="77777777" w:rsidR="00830A05" w:rsidRPr="00DC27F5" w:rsidRDefault="00830A05" w:rsidP="00584EC6">
            <w:pPr>
              <w:pStyle w:val="Tabletextheading"/>
              <w:numPr>
                <w:ilvl w:val="0"/>
                <w:numId w:val="37"/>
              </w:numPr>
              <w:spacing w:before="60"/>
              <w:cnfStyle w:val="000000000000" w:firstRow="0" w:lastRow="0" w:firstColumn="0" w:lastColumn="0" w:oddVBand="0" w:evenVBand="0" w:oddHBand="0" w:evenHBand="0" w:firstRowFirstColumn="0" w:firstRowLastColumn="0" w:lastRowFirstColumn="0" w:lastRowLastColumn="0"/>
              <w:rPr>
                <w:i/>
                <w:color w:val="000000" w:themeColor="text1"/>
                <w:sz w:val="18"/>
                <w:szCs w:val="16"/>
              </w:rPr>
            </w:pPr>
            <w:r w:rsidRPr="00DC27F5">
              <w:rPr>
                <w:color w:val="000000" w:themeColor="text1"/>
                <w:sz w:val="18"/>
                <w:szCs w:val="16"/>
              </w:rPr>
              <w:t>Stakeholder consultations</w:t>
            </w:r>
          </w:p>
          <w:p w14:paraId="4D302774" w14:textId="6B71C1B5" w:rsidR="00830A05" w:rsidRPr="00830A05" w:rsidRDefault="00830A05" w:rsidP="00584EC6">
            <w:pPr>
              <w:pStyle w:val="Tabletextheading"/>
              <w:numPr>
                <w:ilvl w:val="0"/>
                <w:numId w:val="37"/>
              </w:numPr>
              <w:spacing w:before="60"/>
              <w:cnfStyle w:val="000000000000" w:firstRow="0" w:lastRow="0" w:firstColumn="0" w:lastColumn="0" w:oddVBand="0" w:evenVBand="0" w:oddHBand="0" w:evenHBand="0" w:firstRowFirstColumn="0" w:firstRowLastColumn="0" w:lastRowFirstColumn="0" w:lastRowLastColumn="0"/>
              <w:rPr>
                <w:i/>
                <w:color w:val="000000" w:themeColor="text1"/>
                <w:sz w:val="18"/>
                <w:szCs w:val="16"/>
              </w:rPr>
            </w:pPr>
            <w:r w:rsidRPr="00192B4E">
              <w:rPr>
                <w:color w:val="000000" w:themeColor="text1"/>
                <w:sz w:val="18"/>
                <w:szCs w:val="16"/>
              </w:rPr>
              <w:t>Participant survey</w:t>
            </w:r>
          </w:p>
        </w:tc>
        <w:tc>
          <w:tcPr>
            <w:tcW w:w="0" w:type="dxa"/>
            <w:tcBorders>
              <w:right w:val="nil"/>
            </w:tcBorders>
          </w:tcPr>
          <w:p w14:paraId="0621231C" w14:textId="77777777" w:rsidR="00830A05" w:rsidRDefault="00830A05" w:rsidP="00584EC6">
            <w:pPr>
              <w:pStyle w:val="Tabletextheading"/>
              <w:numPr>
                <w:ilvl w:val="0"/>
                <w:numId w:val="37"/>
              </w:numPr>
              <w:spacing w:before="60"/>
              <w:cnfStyle w:val="000000000000" w:firstRow="0" w:lastRow="0" w:firstColumn="0" w:lastColumn="0" w:oddVBand="0" w:evenVBand="0" w:oddHBand="0" w:evenHBand="0" w:firstRowFirstColumn="0" w:firstRowLastColumn="0" w:lastRowFirstColumn="0" w:lastRowLastColumn="0"/>
              <w:rPr>
                <w:i/>
                <w:color w:val="000000" w:themeColor="text1"/>
                <w:sz w:val="18"/>
                <w:szCs w:val="16"/>
              </w:rPr>
            </w:pPr>
            <w:r>
              <w:rPr>
                <w:color w:val="000000" w:themeColor="text1"/>
                <w:sz w:val="18"/>
                <w:szCs w:val="16"/>
              </w:rPr>
              <w:t>Descriptive statistics</w:t>
            </w:r>
          </w:p>
          <w:p w14:paraId="404CA171" w14:textId="77777777" w:rsidR="00830A05" w:rsidRDefault="00830A05" w:rsidP="00584EC6">
            <w:pPr>
              <w:pStyle w:val="Tabletextheading"/>
              <w:numPr>
                <w:ilvl w:val="0"/>
                <w:numId w:val="37"/>
              </w:numPr>
              <w:spacing w:before="60"/>
              <w:cnfStyle w:val="000000000000" w:firstRow="0" w:lastRow="0" w:firstColumn="0" w:lastColumn="0" w:oddVBand="0" w:evenVBand="0" w:oddHBand="0" w:evenHBand="0" w:firstRowFirstColumn="0" w:firstRowLastColumn="0" w:lastRowFirstColumn="0" w:lastRowLastColumn="0"/>
              <w:rPr>
                <w:i/>
                <w:color w:val="000000" w:themeColor="text1"/>
                <w:sz w:val="18"/>
                <w:szCs w:val="16"/>
              </w:rPr>
            </w:pPr>
            <w:r>
              <w:rPr>
                <w:color w:val="000000" w:themeColor="text1"/>
                <w:sz w:val="18"/>
                <w:szCs w:val="16"/>
              </w:rPr>
              <w:t>Thematic analysis</w:t>
            </w:r>
          </w:p>
          <w:p w14:paraId="56DA55B3" w14:textId="77777777" w:rsidR="00830A05" w:rsidRDefault="00830A05" w:rsidP="00584EC6">
            <w:pPr>
              <w:pStyle w:val="Tabletextheading"/>
              <w:numPr>
                <w:ilvl w:val="0"/>
                <w:numId w:val="37"/>
              </w:numPr>
              <w:spacing w:before="60"/>
              <w:cnfStyle w:val="000000000000" w:firstRow="0" w:lastRow="0" w:firstColumn="0" w:lastColumn="0" w:oddVBand="0" w:evenVBand="0" w:oddHBand="0" w:evenHBand="0" w:firstRowFirstColumn="0" w:firstRowLastColumn="0" w:lastRowFirstColumn="0" w:lastRowLastColumn="0"/>
              <w:rPr>
                <w:i/>
                <w:color w:val="000000" w:themeColor="text1"/>
                <w:sz w:val="18"/>
                <w:szCs w:val="16"/>
              </w:rPr>
            </w:pPr>
            <w:r>
              <w:rPr>
                <w:color w:val="000000" w:themeColor="text1"/>
                <w:sz w:val="18"/>
                <w:szCs w:val="16"/>
              </w:rPr>
              <w:t>Data visualisation</w:t>
            </w:r>
          </w:p>
          <w:p w14:paraId="4B665F1D" w14:textId="11169237" w:rsidR="00830A05" w:rsidRPr="006D322D" w:rsidRDefault="00830A05" w:rsidP="00584EC6">
            <w:pPr>
              <w:pStyle w:val="Tabletextheading"/>
              <w:numPr>
                <w:ilvl w:val="0"/>
                <w:numId w:val="37"/>
              </w:numPr>
              <w:spacing w:before="60"/>
              <w:cnfStyle w:val="000000000000" w:firstRow="0" w:lastRow="0" w:firstColumn="0" w:lastColumn="0" w:oddVBand="0" w:evenVBand="0" w:oddHBand="0" w:evenHBand="0" w:firstRowFirstColumn="0" w:firstRowLastColumn="0" w:lastRowFirstColumn="0" w:lastRowLastColumn="0"/>
              <w:rPr>
                <w:i/>
                <w:color w:val="000000" w:themeColor="text1"/>
                <w:sz w:val="18"/>
                <w:szCs w:val="16"/>
              </w:rPr>
            </w:pPr>
            <w:r>
              <w:rPr>
                <w:color w:val="000000" w:themeColor="text1"/>
                <w:sz w:val="18"/>
                <w:szCs w:val="16"/>
              </w:rPr>
              <w:t>Subgroup analysis</w:t>
            </w:r>
          </w:p>
        </w:tc>
      </w:tr>
      <w:tr w:rsidR="00830A05" w:rsidRPr="003473BF" w14:paraId="1A357137" w14:textId="77777777">
        <w:tc>
          <w:tcPr>
            <w:cnfStyle w:val="001000000000" w:firstRow="0" w:lastRow="0" w:firstColumn="1" w:lastColumn="0" w:oddVBand="0" w:evenVBand="0" w:oddHBand="0" w:evenHBand="0" w:firstRowFirstColumn="0" w:firstRowLastColumn="0" w:lastRowFirstColumn="0" w:lastRowLastColumn="0"/>
            <w:tcW w:w="14314" w:type="dxa"/>
            <w:gridSpan w:val="6"/>
            <w:tcBorders>
              <w:left w:val="nil"/>
              <w:right w:val="nil"/>
            </w:tcBorders>
            <w:shd w:val="clear" w:color="auto" w:fill="F1F4FE"/>
          </w:tcPr>
          <w:p w14:paraId="24A6486E" w14:textId="6E3E261D" w:rsidR="00830A05" w:rsidRPr="003473BF" w:rsidRDefault="00830A05" w:rsidP="00830A05">
            <w:pPr>
              <w:rPr>
                <w:rFonts w:cs="Arial"/>
                <w:b w:val="0"/>
                <w:i/>
                <w:color w:val="000000" w:themeColor="text1"/>
                <w:sz w:val="18"/>
                <w:szCs w:val="16"/>
              </w:rPr>
            </w:pPr>
            <w:r w:rsidRPr="003473BF">
              <w:rPr>
                <w:rFonts w:cs="Arial"/>
                <w:i/>
                <w:color w:val="000000" w:themeColor="text1"/>
                <w:sz w:val="18"/>
                <w:szCs w:val="16"/>
              </w:rPr>
              <w:t>2. Appropriateness:</w:t>
            </w:r>
            <w:r w:rsidRPr="003473BF">
              <w:rPr>
                <w:rFonts w:cs="Arial"/>
                <w:b w:val="0"/>
                <w:i/>
                <w:color w:val="000000" w:themeColor="text1"/>
                <w:sz w:val="18"/>
                <w:szCs w:val="16"/>
              </w:rPr>
              <w:t xml:space="preserve"> </w:t>
            </w:r>
            <w:r w:rsidRPr="00CC541A">
              <w:rPr>
                <w:rFonts w:eastAsia="Times New Roman" w:cs="Times New Roman"/>
                <w:b w:val="0"/>
                <w:i/>
                <w:color w:val="000000" w:themeColor="text1"/>
                <w:sz w:val="18"/>
                <w:szCs w:val="16"/>
                <w:lang w:eastAsia="en-AU"/>
              </w:rPr>
              <w:t>Is the MPS Program still the right response</w:t>
            </w:r>
            <w:r w:rsidRPr="003473BF">
              <w:rPr>
                <w:rFonts w:cs="Arial"/>
                <w:b w:val="0"/>
                <w:i/>
                <w:color w:val="000000" w:themeColor="text1"/>
                <w:sz w:val="18"/>
                <w:szCs w:val="16"/>
              </w:rPr>
              <w:t>?</w:t>
            </w:r>
          </w:p>
        </w:tc>
      </w:tr>
      <w:tr w:rsidR="00830A05" w:rsidRPr="006D322D" w14:paraId="7B5C4736"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0F4508E0" w14:textId="34B0C624" w:rsidR="00830A05" w:rsidRPr="006D322D" w:rsidRDefault="00830A05" w:rsidP="00830A05">
            <w:pPr>
              <w:rPr>
                <w:b w:val="0"/>
                <w:color w:val="000000" w:themeColor="text1"/>
              </w:rPr>
            </w:pPr>
            <w:r w:rsidRPr="006D322D">
              <w:rPr>
                <w:color w:val="000000" w:themeColor="text1"/>
                <w:sz w:val="18"/>
                <w:szCs w:val="16"/>
              </w:rPr>
              <w:t>2.1 To what extent is the MPS Program contributing to the medical physics workforce need?</w:t>
            </w:r>
          </w:p>
        </w:tc>
        <w:tc>
          <w:tcPr>
            <w:tcW w:w="0" w:type="dxa"/>
          </w:tcPr>
          <w:p w14:paraId="7CAE2A24" w14:textId="21D49C16"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Skilled medical physics workforce that meets the community's needs.</w:t>
            </w:r>
          </w:p>
          <w:p w14:paraId="4093A9D4" w14:textId="4682C53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Improvements in the distribution of medical physicists</w:t>
            </w:r>
            <w:r w:rsidR="002779B7">
              <w:t>.</w:t>
            </w:r>
          </w:p>
          <w:p w14:paraId="66722E33" w14:textId="026DB9EF"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Retention of the medical physics workforce.</w:t>
            </w:r>
          </w:p>
        </w:tc>
        <w:tc>
          <w:tcPr>
            <w:tcW w:w="0" w:type="dxa"/>
          </w:tcPr>
          <w:p w14:paraId="6857FC8E"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Positive or negative changes in the number of medical physicists</w:t>
            </w:r>
          </w:p>
          <w:p w14:paraId="1280D0CB"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Positive or negative changes in the number physicists undergoing training</w:t>
            </w:r>
          </w:p>
          <w:p w14:paraId="72D6C33A"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Number of program applications and enrolments</w:t>
            </w:r>
          </w:p>
          <w:p w14:paraId="340C6CDA"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Number of people that complete training</w:t>
            </w:r>
          </w:p>
          <w:p w14:paraId="5BB8A682"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Years of service following training</w:t>
            </w:r>
          </w:p>
          <w:p w14:paraId="55D8B5B9"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Distribution of financial support</w:t>
            </w:r>
          </w:p>
          <w:p w14:paraId="4563368A" w14:textId="75C054A4"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Variations in the distribution of the medical physics workforce</w:t>
            </w:r>
          </w:p>
        </w:tc>
        <w:tc>
          <w:tcPr>
            <w:tcW w:w="0" w:type="dxa"/>
          </w:tcPr>
          <w:p w14:paraId="6E7C20FE"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Policy and program documentation</w:t>
            </w:r>
          </w:p>
          <w:p w14:paraId="2B0AB593"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Original policy rationale</w:t>
            </w:r>
          </w:p>
          <w:p w14:paraId="54E48146"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Program logic</w:t>
            </w:r>
          </w:p>
          <w:p w14:paraId="5D402F19"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Past reviews and evaluations</w:t>
            </w:r>
          </w:p>
          <w:p w14:paraId="025BB5AA"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Medical physicist's workforce data</w:t>
            </w:r>
          </w:p>
          <w:p w14:paraId="1354FD99"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Training data</w:t>
            </w:r>
          </w:p>
          <w:p w14:paraId="0A302813" w14:textId="3E918AF6"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Survey data</w:t>
            </w:r>
          </w:p>
        </w:tc>
        <w:tc>
          <w:tcPr>
            <w:tcW w:w="0" w:type="dxa"/>
          </w:tcPr>
          <w:p w14:paraId="708CC892"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Desktop review</w:t>
            </w:r>
          </w:p>
          <w:p w14:paraId="63F774A2"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Stakeholder consultations</w:t>
            </w:r>
          </w:p>
          <w:p w14:paraId="747E0F81" w14:textId="274264C3"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Participant survey</w:t>
            </w:r>
          </w:p>
        </w:tc>
        <w:tc>
          <w:tcPr>
            <w:tcW w:w="0" w:type="dxa"/>
            <w:tcBorders>
              <w:right w:val="nil"/>
            </w:tcBorders>
          </w:tcPr>
          <w:p w14:paraId="3920549F"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285B320D"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p w14:paraId="4D9BF1D7"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Data visualisation</w:t>
            </w:r>
          </w:p>
          <w:p w14:paraId="2325C752" w14:textId="7299AC21"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 xml:space="preserve">Subgroup analysis </w:t>
            </w:r>
          </w:p>
        </w:tc>
      </w:tr>
      <w:tr w:rsidR="00830A05" w:rsidRPr="004034B1" w14:paraId="5DF3A20F"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1E24EC30" w14:textId="0C6D64D4" w:rsidR="00830A05" w:rsidRPr="006D322D" w:rsidRDefault="00830A05" w:rsidP="00830A05">
            <w:pPr>
              <w:rPr>
                <w:b w:val="0"/>
                <w:color w:val="000000" w:themeColor="text1"/>
              </w:rPr>
            </w:pPr>
            <w:r w:rsidRPr="006D322D">
              <w:rPr>
                <w:rFonts w:cs="Arial"/>
                <w:color w:val="000000" w:themeColor="text1"/>
                <w:sz w:val="18"/>
              </w:rPr>
              <w:t xml:space="preserve">2.2 How does the MPS Program fit into broader workforce initiatives (both federal and state and territory level)? </w:t>
            </w:r>
          </w:p>
        </w:tc>
        <w:tc>
          <w:tcPr>
            <w:tcW w:w="0" w:type="dxa"/>
          </w:tcPr>
          <w:p w14:paraId="5BC1CFC9" w14:textId="4A498B31"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Comparison of the MPS Program with federal and state workforce initiatives.</w:t>
            </w:r>
          </w:p>
          <w:p w14:paraId="0985B3CC" w14:textId="2976B6A4"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Alignment of program objectives with broader initiatives objectives.</w:t>
            </w:r>
          </w:p>
        </w:tc>
        <w:tc>
          <w:tcPr>
            <w:tcW w:w="0" w:type="dxa"/>
          </w:tcPr>
          <w:p w14:paraId="711354FD"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Alignment with Commonwealth Government policy objectives</w:t>
            </w:r>
          </w:p>
          <w:p w14:paraId="694F6216" w14:textId="0DB072FC"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Alignment with other medical workforce training programs</w:t>
            </w:r>
          </w:p>
        </w:tc>
        <w:tc>
          <w:tcPr>
            <w:tcW w:w="0" w:type="dxa"/>
          </w:tcPr>
          <w:p w14:paraId="4537F7CD"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Policy and program documentation</w:t>
            </w:r>
          </w:p>
          <w:p w14:paraId="0F2A4D8A"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Original policy rationale</w:t>
            </w:r>
          </w:p>
          <w:p w14:paraId="64ED6758"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Program logic</w:t>
            </w:r>
          </w:p>
          <w:p w14:paraId="02A28E5D"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Past reviews and evaluations</w:t>
            </w:r>
          </w:p>
          <w:p w14:paraId="2572E30D" w14:textId="313C2EC6"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Grey literature</w:t>
            </w:r>
          </w:p>
        </w:tc>
        <w:tc>
          <w:tcPr>
            <w:tcW w:w="0" w:type="dxa"/>
          </w:tcPr>
          <w:p w14:paraId="6CDB231E"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Desktop review</w:t>
            </w:r>
          </w:p>
          <w:p w14:paraId="437D2345" w14:textId="2DDF27CA"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Stakeholder consultations</w:t>
            </w:r>
          </w:p>
        </w:tc>
        <w:tc>
          <w:tcPr>
            <w:tcW w:w="0" w:type="dxa"/>
            <w:tcBorders>
              <w:right w:val="nil"/>
            </w:tcBorders>
          </w:tcPr>
          <w:p w14:paraId="65064DD1"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32BED4BA" w14:textId="3DE4382C"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tc>
      </w:tr>
      <w:tr w:rsidR="00830A05" w:rsidRPr="006D322D" w14:paraId="231564DF" w14:textId="77777777" w:rsidTr="00556D0D">
        <w:trPr>
          <w:cantSplit/>
        </w:trPr>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669D0605" w14:textId="774BC360" w:rsidR="00830A05" w:rsidRPr="006D322D" w:rsidRDefault="00830A05" w:rsidP="00830A05">
            <w:pPr>
              <w:rPr>
                <w:b w:val="0"/>
                <w:color w:val="000000" w:themeColor="text1"/>
              </w:rPr>
            </w:pPr>
            <w:r w:rsidRPr="006D322D">
              <w:rPr>
                <w:rFonts w:cs="Arial"/>
                <w:color w:val="000000" w:themeColor="text1"/>
                <w:sz w:val="18"/>
              </w:rPr>
              <w:t>2.3 To what extent is the MPS Program supply meeting the workforce demand?</w:t>
            </w:r>
          </w:p>
        </w:tc>
        <w:tc>
          <w:tcPr>
            <w:tcW w:w="0" w:type="dxa"/>
          </w:tcPr>
          <w:p w14:paraId="30934073" w14:textId="45780C25"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Demand for medical physicists</w:t>
            </w:r>
            <w:r w:rsidR="002779B7">
              <w:t>.</w:t>
            </w:r>
          </w:p>
          <w:p w14:paraId="30FCCF39" w14:textId="1B2A6BD8"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Supply of MPS Program trained medical physicists</w:t>
            </w:r>
            <w:r w:rsidR="002779B7" w:rsidRPr="00DE11D2">
              <w:rPr>
                <w:rFonts w:eastAsia="Times New Roman"/>
                <w:bCs/>
                <w:szCs w:val="18"/>
                <w:lang w:eastAsia="en-AU"/>
              </w:rPr>
              <w:t>.</w:t>
            </w:r>
          </w:p>
        </w:tc>
        <w:tc>
          <w:tcPr>
            <w:tcW w:w="0" w:type="dxa"/>
          </w:tcPr>
          <w:p w14:paraId="019B134A"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Current number of medical physicists</w:t>
            </w:r>
          </w:p>
          <w:p w14:paraId="353F9F3A"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Number of medical physicists required</w:t>
            </w:r>
          </w:p>
          <w:p w14:paraId="64CC4764"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Number of medical physicists trained through the MPS Program</w:t>
            </w:r>
          </w:p>
          <w:p w14:paraId="6DA69CA4" w14:textId="0BDBAC13"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Number of medical physicists trained through other programs</w:t>
            </w:r>
          </w:p>
        </w:tc>
        <w:tc>
          <w:tcPr>
            <w:tcW w:w="0" w:type="dxa"/>
          </w:tcPr>
          <w:p w14:paraId="0564FD84"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Medical physics workforce data</w:t>
            </w:r>
          </w:p>
          <w:p w14:paraId="0E5E75AA"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Program data</w:t>
            </w:r>
          </w:p>
          <w:p w14:paraId="58D4C3E3"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Survey data</w:t>
            </w:r>
          </w:p>
          <w:p w14:paraId="2BD41EBD" w14:textId="756BC017"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Grey literature</w:t>
            </w:r>
          </w:p>
        </w:tc>
        <w:tc>
          <w:tcPr>
            <w:tcW w:w="0" w:type="dxa"/>
          </w:tcPr>
          <w:p w14:paraId="41B53063"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Desktop review</w:t>
            </w:r>
          </w:p>
          <w:p w14:paraId="5F0E0D85"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Participant survey</w:t>
            </w:r>
          </w:p>
          <w:p w14:paraId="03AC0684" w14:textId="39299310" w:rsidR="00830A05" w:rsidRPr="00DE11D2"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National datasets</w:t>
            </w:r>
          </w:p>
        </w:tc>
        <w:tc>
          <w:tcPr>
            <w:tcW w:w="0" w:type="dxa"/>
            <w:tcBorders>
              <w:right w:val="nil"/>
            </w:tcBorders>
          </w:tcPr>
          <w:p w14:paraId="0AFBAE4C"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745A5925"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p w14:paraId="491AE1D8"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Data visualisation</w:t>
            </w:r>
          </w:p>
          <w:p w14:paraId="2756E99F" w14:textId="77777777" w:rsidR="00830A05" w:rsidRPr="004034B1"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Subgroup analysis</w:t>
            </w:r>
          </w:p>
          <w:p w14:paraId="79829EDC" w14:textId="4C4D3D8C"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Comparative analysis</w:t>
            </w:r>
          </w:p>
        </w:tc>
      </w:tr>
      <w:tr w:rsidR="00830A05" w:rsidRPr="004034B1" w14:paraId="61545143"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06CB77BC" w14:textId="4A3EF3F5" w:rsidR="00830A05" w:rsidRPr="006D322D" w:rsidRDefault="00830A05" w:rsidP="00830A05">
            <w:pPr>
              <w:rPr>
                <w:b w:val="0"/>
                <w:color w:val="000000" w:themeColor="text1"/>
              </w:rPr>
            </w:pPr>
            <w:r w:rsidRPr="006D322D">
              <w:rPr>
                <w:rFonts w:cs="Arial"/>
                <w:color w:val="000000" w:themeColor="text1"/>
                <w:sz w:val="18"/>
              </w:rPr>
              <w:t xml:space="preserve">2.4 How well does the MPS Program align with government priorities? </w:t>
            </w:r>
          </w:p>
        </w:tc>
        <w:tc>
          <w:tcPr>
            <w:tcW w:w="0" w:type="dxa"/>
          </w:tcPr>
          <w:p w14:paraId="46BD2E07" w14:textId="4AAAF29E"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Comparison of MPS Program objectives and priorities with broader government objectives and policies.</w:t>
            </w:r>
          </w:p>
        </w:tc>
        <w:tc>
          <w:tcPr>
            <w:tcW w:w="0" w:type="dxa"/>
          </w:tcPr>
          <w:p w14:paraId="629BAE5D" w14:textId="6A621FA1"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Alignment with Commonwealth Government policy objectives</w:t>
            </w:r>
          </w:p>
        </w:tc>
        <w:tc>
          <w:tcPr>
            <w:tcW w:w="0" w:type="dxa"/>
          </w:tcPr>
          <w:p w14:paraId="51644DD0"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Policy and program documentation</w:t>
            </w:r>
          </w:p>
          <w:p w14:paraId="1009F4BD"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Original policy rationale</w:t>
            </w:r>
          </w:p>
          <w:p w14:paraId="68FEB7C5"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Program logic</w:t>
            </w:r>
          </w:p>
          <w:p w14:paraId="097D0E3D" w14:textId="0EDCFADA"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Past reviews and evaluations</w:t>
            </w:r>
          </w:p>
        </w:tc>
        <w:tc>
          <w:tcPr>
            <w:tcW w:w="0" w:type="dxa"/>
          </w:tcPr>
          <w:p w14:paraId="4E904174" w14:textId="77777777" w:rsidR="00830A05" w:rsidRPr="006D322D"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Desktop review</w:t>
            </w:r>
          </w:p>
          <w:p w14:paraId="1D97F595" w14:textId="0F2BEB31"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Stakeholder consultations</w:t>
            </w:r>
          </w:p>
        </w:tc>
        <w:tc>
          <w:tcPr>
            <w:tcW w:w="0" w:type="dxa"/>
            <w:tcBorders>
              <w:right w:val="nil"/>
            </w:tcBorders>
          </w:tcPr>
          <w:p w14:paraId="22EA676E" w14:textId="77777777"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69B50A2D" w14:textId="158EBC62" w:rsidR="00830A05" w:rsidRPr="00CC541A" w:rsidRDefault="00830A05"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tc>
      </w:tr>
      <w:tr w:rsidR="00830A05" w:rsidRPr="003473BF" w14:paraId="767312E2" w14:textId="77777777">
        <w:tc>
          <w:tcPr>
            <w:cnfStyle w:val="001000000000" w:firstRow="0" w:lastRow="0" w:firstColumn="1" w:lastColumn="0" w:oddVBand="0" w:evenVBand="0" w:oddHBand="0" w:evenHBand="0" w:firstRowFirstColumn="0" w:firstRowLastColumn="0" w:lastRowFirstColumn="0" w:lastRowLastColumn="0"/>
            <w:tcW w:w="14314" w:type="dxa"/>
            <w:gridSpan w:val="6"/>
            <w:tcBorders>
              <w:left w:val="nil"/>
              <w:right w:val="nil"/>
            </w:tcBorders>
            <w:shd w:val="clear" w:color="auto" w:fill="F1F4FE"/>
          </w:tcPr>
          <w:p w14:paraId="7ABE6D46" w14:textId="430B03E7" w:rsidR="00830A05" w:rsidRPr="003473BF" w:rsidRDefault="00830A05" w:rsidP="00830A05">
            <w:pPr>
              <w:rPr>
                <w:rFonts w:cs="Arial"/>
                <w:b w:val="0"/>
                <w:i/>
                <w:color w:val="000000" w:themeColor="text1"/>
                <w:sz w:val="18"/>
                <w:szCs w:val="16"/>
              </w:rPr>
            </w:pPr>
            <w:r w:rsidRPr="003473BF">
              <w:rPr>
                <w:rFonts w:cs="Arial"/>
                <w:i/>
                <w:color w:val="000000" w:themeColor="text1"/>
                <w:sz w:val="18"/>
                <w:szCs w:val="16"/>
              </w:rPr>
              <w:t xml:space="preserve">3. Efficiency: </w:t>
            </w:r>
            <w:r w:rsidRPr="003473BF">
              <w:rPr>
                <w:rFonts w:cs="Arial"/>
                <w:b w:val="0"/>
                <w:i/>
                <w:color w:val="000000" w:themeColor="text1"/>
                <w:sz w:val="18"/>
                <w:szCs w:val="16"/>
              </w:rPr>
              <w:t xml:space="preserve">How efficient is the </w:t>
            </w:r>
            <w:r w:rsidRPr="00830A05">
              <w:rPr>
                <w:rFonts w:cs="Arial"/>
                <w:b w:val="0"/>
                <w:i/>
                <w:color w:val="000000" w:themeColor="text1"/>
                <w:sz w:val="18"/>
                <w:szCs w:val="16"/>
              </w:rPr>
              <w:t xml:space="preserve">MPS </w:t>
            </w:r>
            <w:r w:rsidRPr="003473BF">
              <w:rPr>
                <w:rFonts w:cs="Arial"/>
                <w:b w:val="0"/>
                <w:i/>
                <w:color w:val="000000" w:themeColor="text1"/>
                <w:sz w:val="18"/>
                <w:szCs w:val="16"/>
              </w:rPr>
              <w:t>Program?</w:t>
            </w:r>
          </w:p>
        </w:tc>
      </w:tr>
      <w:tr w:rsidR="00D67E72" w:rsidRPr="006D322D" w14:paraId="72C843AC"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37A85D11" w14:textId="020B2323" w:rsidR="00D67E72" w:rsidRPr="006D322D" w:rsidRDefault="00D67E72" w:rsidP="00D67E72">
            <w:pPr>
              <w:rPr>
                <w:b w:val="0"/>
                <w:color w:val="000000" w:themeColor="text1"/>
              </w:rPr>
            </w:pPr>
            <w:r w:rsidRPr="006D322D">
              <w:rPr>
                <w:rFonts w:cs="Arial"/>
                <w:color w:val="000000" w:themeColor="text1"/>
                <w:sz w:val="18"/>
                <w:szCs w:val="16"/>
              </w:rPr>
              <w:t xml:space="preserve">3.1 How well have resources been used in delivering the key outputs for the MPS Program? </w:t>
            </w:r>
          </w:p>
        </w:tc>
        <w:tc>
          <w:tcPr>
            <w:tcW w:w="0" w:type="dxa"/>
          </w:tcPr>
          <w:p w14:paraId="004FB1E3" w14:textId="6EA853FD"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Funding amounts and program expenditure</w:t>
            </w:r>
            <w:r w:rsidR="002779B7">
              <w:t>.</w:t>
            </w:r>
          </w:p>
          <w:p w14:paraId="51071D7B" w14:textId="3D1F23AC" w:rsidR="00D67E72" w:rsidRPr="00DE11D2"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Changes in program outputs</w:t>
            </w:r>
            <w:r w:rsidR="002779B7" w:rsidRPr="00DE11D2">
              <w:rPr>
                <w:rFonts w:eastAsia="Times New Roman"/>
                <w:bCs/>
                <w:szCs w:val="18"/>
                <w:lang w:eastAsia="en-AU"/>
              </w:rPr>
              <w:t>.</w:t>
            </w:r>
          </w:p>
        </w:tc>
        <w:tc>
          <w:tcPr>
            <w:tcW w:w="0" w:type="dxa"/>
          </w:tcPr>
          <w:p w14:paraId="0CC0A3AA"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Level of applicant and participant satisfaction</w:t>
            </w:r>
          </w:p>
          <w:p w14:paraId="55536AC3"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Number of training participants</w:t>
            </w:r>
          </w:p>
          <w:p w14:paraId="7C339433"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Number certifications issued</w:t>
            </w:r>
          </w:p>
          <w:p w14:paraId="61C955B2"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Cost per certification issued</w:t>
            </w:r>
          </w:p>
          <w:p w14:paraId="03E98088"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Cost per participant</w:t>
            </w:r>
          </w:p>
          <w:p w14:paraId="2FF4A657"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Comparison to other training programs</w:t>
            </w:r>
          </w:p>
          <w:p w14:paraId="1902DC64" w14:textId="579E35A4" w:rsidR="00D67E72" w:rsidRPr="00DE11D2"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FTE required for program delivery</w:t>
            </w:r>
          </w:p>
        </w:tc>
        <w:tc>
          <w:tcPr>
            <w:tcW w:w="0" w:type="dxa"/>
          </w:tcPr>
          <w:p w14:paraId="6B7CACD7"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Program data</w:t>
            </w:r>
          </w:p>
          <w:p w14:paraId="1DCDA09A" w14:textId="28FFB343" w:rsidR="00D67E72" w:rsidRPr="00DE11D2"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Survey data</w:t>
            </w:r>
          </w:p>
        </w:tc>
        <w:tc>
          <w:tcPr>
            <w:tcW w:w="0" w:type="dxa"/>
          </w:tcPr>
          <w:p w14:paraId="748CCE41"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Desktop review</w:t>
            </w:r>
          </w:p>
          <w:p w14:paraId="7496F73A" w14:textId="58D1874D" w:rsidR="00D67E72" w:rsidRPr="00DE11D2"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bCs/>
                <w:szCs w:val="18"/>
                <w:lang w:eastAsia="en-AU"/>
              </w:rPr>
            </w:pPr>
            <w:r w:rsidRPr="00DE11D2">
              <w:rPr>
                <w:rFonts w:eastAsia="Times New Roman"/>
                <w:bCs/>
                <w:szCs w:val="18"/>
                <w:lang w:eastAsia="en-AU"/>
              </w:rPr>
              <w:t>Participant survey</w:t>
            </w:r>
          </w:p>
        </w:tc>
        <w:tc>
          <w:tcPr>
            <w:tcW w:w="0" w:type="dxa"/>
            <w:tcBorders>
              <w:right w:val="nil"/>
            </w:tcBorders>
          </w:tcPr>
          <w:p w14:paraId="79408031"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3A82D53B"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p w14:paraId="483B14F8"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Data visualisation</w:t>
            </w:r>
          </w:p>
          <w:p w14:paraId="1DA05473"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Subgroup analysis</w:t>
            </w:r>
          </w:p>
          <w:p w14:paraId="5E97709E" w14:textId="2AD477E6"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Comparative analysis</w:t>
            </w:r>
          </w:p>
        </w:tc>
      </w:tr>
      <w:tr w:rsidR="00D67E72" w:rsidRPr="004034B1" w14:paraId="1D12A9A6"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07D91B5E" w14:textId="34088E45" w:rsidR="00D67E72" w:rsidRPr="006D322D" w:rsidRDefault="00D67E72" w:rsidP="00D67E72">
            <w:pPr>
              <w:rPr>
                <w:b w:val="0"/>
                <w:color w:val="000000" w:themeColor="text1"/>
              </w:rPr>
            </w:pPr>
            <w:r w:rsidRPr="006D322D">
              <w:rPr>
                <w:rFonts w:cs="Arial"/>
                <w:color w:val="000000" w:themeColor="text1"/>
                <w:sz w:val="18"/>
                <w:szCs w:val="16"/>
              </w:rPr>
              <w:t>3.2 How efficient is the administrative model of the MPS Program?</w:t>
            </w:r>
          </w:p>
        </w:tc>
        <w:tc>
          <w:tcPr>
            <w:tcW w:w="0" w:type="dxa"/>
          </w:tcPr>
          <w:p w14:paraId="2EFB9E9F" w14:textId="3483BE0F"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Comparison of administrative outputs with program KPIs.</w:t>
            </w:r>
          </w:p>
        </w:tc>
        <w:tc>
          <w:tcPr>
            <w:tcW w:w="0" w:type="dxa"/>
          </w:tcPr>
          <w:p w14:paraId="7D6CB070"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Application processing time</w:t>
            </w:r>
          </w:p>
          <w:p w14:paraId="4DB9B6A4"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Number of applications processed</w:t>
            </w:r>
          </w:p>
          <w:p w14:paraId="68A09874"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Length of time to process funding/grants</w:t>
            </w:r>
          </w:p>
          <w:p w14:paraId="0600F974" w14:textId="7405830A"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Variations overtime</w:t>
            </w:r>
          </w:p>
        </w:tc>
        <w:tc>
          <w:tcPr>
            <w:tcW w:w="0" w:type="dxa"/>
          </w:tcPr>
          <w:p w14:paraId="1280FBDD"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 xml:space="preserve">Policy documents </w:t>
            </w:r>
          </w:p>
          <w:p w14:paraId="794B100B"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Program data</w:t>
            </w:r>
          </w:p>
          <w:p w14:paraId="6E6E99C0" w14:textId="4FB37021"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Focus groups/interviews</w:t>
            </w:r>
          </w:p>
        </w:tc>
        <w:tc>
          <w:tcPr>
            <w:tcW w:w="0" w:type="dxa"/>
          </w:tcPr>
          <w:p w14:paraId="31E17ED3"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Desktop review</w:t>
            </w:r>
          </w:p>
          <w:p w14:paraId="240D46F3" w14:textId="32CB4084"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Stakeholder consultations</w:t>
            </w:r>
          </w:p>
        </w:tc>
        <w:tc>
          <w:tcPr>
            <w:tcW w:w="0" w:type="dxa"/>
            <w:tcBorders>
              <w:right w:val="nil"/>
            </w:tcBorders>
          </w:tcPr>
          <w:p w14:paraId="3A76D5F4"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2C6796D8" w14:textId="7BFACED9"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tc>
      </w:tr>
      <w:tr w:rsidR="00D67E72" w:rsidRPr="006D322D" w14:paraId="43E25AE2"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5FDE5989" w14:textId="77777777" w:rsidR="00D67E72" w:rsidRPr="006D322D" w:rsidRDefault="00D67E72" w:rsidP="00D67E72">
            <w:pPr>
              <w:pStyle w:val="Tabletextheading"/>
              <w:rPr>
                <w:rFonts w:cs="Arial"/>
                <w:i/>
                <w:color w:val="000000" w:themeColor="text1"/>
                <w:sz w:val="18"/>
                <w:szCs w:val="16"/>
              </w:rPr>
            </w:pPr>
            <w:r w:rsidRPr="006D322D">
              <w:rPr>
                <w:rFonts w:cs="Arial"/>
                <w:color w:val="000000" w:themeColor="text1"/>
                <w:sz w:val="18"/>
                <w:szCs w:val="16"/>
              </w:rPr>
              <w:t>3.3 How could funding be used more efficiently towards delivery of key outputs or achieving intended outcomes?</w:t>
            </w:r>
          </w:p>
          <w:p w14:paraId="7002FC39" w14:textId="77777777" w:rsidR="00D67E72" w:rsidRPr="006D322D" w:rsidRDefault="00D67E72" w:rsidP="00D67E72">
            <w:pPr>
              <w:rPr>
                <w:b w:val="0"/>
                <w:color w:val="000000" w:themeColor="text1"/>
              </w:rPr>
            </w:pPr>
          </w:p>
        </w:tc>
        <w:tc>
          <w:tcPr>
            <w:tcW w:w="0" w:type="dxa"/>
          </w:tcPr>
          <w:p w14:paraId="3D931C61" w14:textId="2B4FEEAA"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Nil – this will be based on the triangulation of findings across the other domains.</w:t>
            </w:r>
          </w:p>
        </w:tc>
        <w:tc>
          <w:tcPr>
            <w:tcW w:w="0" w:type="dxa"/>
          </w:tcPr>
          <w:p w14:paraId="4FB490E0" w14:textId="3FD945FF"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Comparison with other funding mechanisms.</w:t>
            </w:r>
          </w:p>
        </w:tc>
        <w:tc>
          <w:tcPr>
            <w:tcW w:w="0" w:type="dxa"/>
          </w:tcPr>
          <w:p w14:paraId="0D5F30C4"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 xml:space="preserve">Policy documents </w:t>
            </w:r>
          </w:p>
          <w:p w14:paraId="17DE7C9D"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Program data</w:t>
            </w:r>
          </w:p>
          <w:p w14:paraId="4D5F495C"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Grey literature</w:t>
            </w:r>
          </w:p>
          <w:p w14:paraId="5D26C0D5" w14:textId="5B8E1C59"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Focus groups/interviews</w:t>
            </w:r>
          </w:p>
        </w:tc>
        <w:tc>
          <w:tcPr>
            <w:tcW w:w="0" w:type="dxa"/>
          </w:tcPr>
          <w:p w14:paraId="75E25892"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Desktop review</w:t>
            </w:r>
          </w:p>
          <w:p w14:paraId="32C094F4" w14:textId="076CDBDE"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Stakeholder consultations</w:t>
            </w:r>
          </w:p>
        </w:tc>
        <w:tc>
          <w:tcPr>
            <w:tcW w:w="0" w:type="dxa"/>
            <w:tcBorders>
              <w:right w:val="nil"/>
            </w:tcBorders>
          </w:tcPr>
          <w:p w14:paraId="763B8CD1"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211F2BDC" w14:textId="65961E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tc>
      </w:tr>
      <w:tr w:rsidR="00D67E72" w:rsidRPr="006D322D" w14:paraId="4AEE5CDB"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4B1BB4D7" w14:textId="77777777" w:rsidR="00D67E72" w:rsidRPr="006D322D" w:rsidRDefault="00D67E72" w:rsidP="00194457">
            <w:pPr>
              <w:pStyle w:val="Tabletextheading"/>
              <w:rPr>
                <w:rFonts w:cs="Arial"/>
                <w:i/>
                <w:color w:val="000000" w:themeColor="text1"/>
                <w:sz w:val="18"/>
                <w:szCs w:val="16"/>
              </w:rPr>
            </w:pPr>
            <w:r w:rsidRPr="006D322D">
              <w:rPr>
                <w:rFonts w:cs="Arial"/>
                <w:color w:val="000000" w:themeColor="text1"/>
                <w:sz w:val="18"/>
                <w:szCs w:val="16"/>
              </w:rPr>
              <w:t xml:space="preserve">3.4 Are there any operational challenges or inefficiencies in the administration of the MPS Program? </w:t>
            </w:r>
          </w:p>
          <w:p w14:paraId="5DC56046" w14:textId="00F56E62" w:rsidR="00D67E72" w:rsidRPr="002A6FC6" w:rsidRDefault="00D67E72" w:rsidP="00242835">
            <w:pPr>
              <w:rPr>
                <w:b w:val="0"/>
                <w:color w:val="000000" w:themeColor="text1"/>
              </w:rPr>
            </w:pPr>
            <w:r w:rsidRPr="002A6FC6">
              <w:rPr>
                <w:rFonts w:cs="Arial"/>
                <w:color w:val="000000" w:themeColor="text1"/>
                <w:sz w:val="18"/>
                <w:szCs w:val="16"/>
              </w:rPr>
              <w:t>What steps can be taken to streamline processes and improve efficiency?</w:t>
            </w:r>
          </w:p>
        </w:tc>
        <w:tc>
          <w:tcPr>
            <w:tcW w:w="0" w:type="dxa"/>
          </w:tcPr>
          <w:p w14:paraId="780B44E7" w14:textId="0140BAEE"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Nil – this will be based on the triangulation of findings across the other domains.</w:t>
            </w:r>
          </w:p>
        </w:tc>
        <w:tc>
          <w:tcPr>
            <w:tcW w:w="0" w:type="dxa"/>
          </w:tcPr>
          <w:p w14:paraId="06680AEE"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Comparison with other funding mechanisms.</w:t>
            </w:r>
          </w:p>
          <w:p w14:paraId="635F4C33" w14:textId="6078004F"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Comparison of cost per certification, or other training outcomes</w:t>
            </w:r>
          </w:p>
        </w:tc>
        <w:tc>
          <w:tcPr>
            <w:tcW w:w="0" w:type="dxa"/>
          </w:tcPr>
          <w:p w14:paraId="76B0CB36"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 xml:space="preserve">Policy documents </w:t>
            </w:r>
          </w:p>
          <w:p w14:paraId="7770C1C3"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Program data</w:t>
            </w:r>
          </w:p>
          <w:p w14:paraId="59FB2B26" w14:textId="3BC64C74"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Grey literature</w:t>
            </w:r>
          </w:p>
        </w:tc>
        <w:tc>
          <w:tcPr>
            <w:tcW w:w="0" w:type="dxa"/>
          </w:tcPr>
          <w:p w14:paraId="13B33CDB" w14:textId="416FC64C"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Desktop review</w:t>
            </w:r>
          </w:p>
        </w:tc>
        <w:tc>
          <w:tcPr>
            <w:tcW w:w="0" w:type="dxa"/>
            <w:tcBorders>
              <w:right w:val="nil"/>
            </w:tcBorders>
          </w:tcPr>
          <w:p w14:paraId="78172860"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5E324E2F" w14:textId="2B74D1C1"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tc>
      </w:tr>
      <w:tr w:rsidR="00D67E72" w:rsidRPr="006D322D" w14:paraId="7DFDA686" w14:textId="77777777">
        <w:tc>
          <w:tcPr>
            <w:cnfStyle w:val="001000000000" w:firstRow="0" w:lastRow="0" w:firstColumn="1" w:lastColumn="0" w:oddVBand="0" w:evenVBand="0" w:oddHBand="0" w:evenHBand="0" w:firstRowFirstColumn="0" w:firstRowLastColumn="0" w:lastRowFirstColumn="0" w:lastRowLastColumn="0"/>
            <w:tcW w:w="14314" w:type="dxa"/>
            <w:gridSpan w:val="6"/>
            <w:tcBorders>
              <w:left w:val="nil"/>
              <w:right w:val="nil"/>
            </w:tcBorders>
            <w:shd w:val="clear" w:color="auto" w:fill="F1F4FE"/>
          </w:tcPr>
          <w:p w14:paraId="489101C4" w14:textId="1AD6855B" w:rsidR="00D67E72" w:rsidRPr="006D322D" w:rsidRDefault="00D67E72">
            <w:pPr>
              <w:rPr>
                <w:rFonts w:cs="Arial"/>
                <w:b w:val="0"/>
                <w:color w:val="000000" w:themeColor="text1"/>
                <w:sz w:val="18"/>
              </w:rPr>
            </w:pPr>
            <w:r w:rsidRPr="00CC541A">
              <w:rPr>
                <w:rFonts w:eastAsia="Times New Roman" w:cs="Times New Roman"/>
                <w:i/>
                <w:color w:val="000000" w:themeColor="text1"/>
                <w:sz w:val="18"/>
                <w:szCs w:val="16"/>
                <w:lang w:eastAsia="en-AU"/>
              </w:rPr>
              <w:t>4. Sustainability:</w:t>
            </w:r>
            <w:r w:rsidRPr="00CC541A">
              <w:rPr>
                <w:rFonts w:eastAsia="Times New Roman" w:cs="Times New Roman"/>
                <w:b w:val="0"/>
                <w:i/>
                <w:color w:val="000000" w:themeColor="text1"/>
                <w:sz w:val="18"/>
                <w:szCs w:val="16"/>
                <w:lang w:eastAsia="en-AU"/>
              </w:rPr>
              <w:t xml:space="preserve"> How sustainable is the MPS Program over the long term, and what evidence supports its continued viability to justify ongoing funding support?</w:t>
            </w:r>
          </w:p>
        </w:tc>
      </w:tr>
      <w:tr w:rsidR="00D67E72" w:rsidRPr="006D322D" w14:paraId="7CEDBC29"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47C31E06" w14:textId="1370ECAC" w:rsidR="00D67E72" w:rsidRPr="006D322D" w:rsidRDefault="00D67E72" w:rsidP="00D67E72">
            <w:pPr>
              <w:rPr>
                <w:b w:val="0"/>
                <w:color w:val="000000" w:themeColor="text1"/>
              </w:rPr>
            </w:pPr>
            <w:r w:rsidRPr="006D322D">
              <w:rPr>
                <w:color w:val="000000" w:themeColor="text1"/>
                <w:sz w:val="18"/>
                <w:szCs w:val="16"/>
              </w:rPr>
              <w:t>4.1 What, if any, changes are required to the design, implementation and/or funding arrangements of the MPS Program to enable it to better meet its policy objectives sustainably over the longer-term?</w:t>
            </w:r>
          </w:p>
        </w:tc>
        <w:tc>
          <w:tcPr>
            <w:tcW w:w="0" w:type="dxa"/>
          </w:tcPr>
          <w:p w14:paraId="2363A7E5" w14:textId="325EFDF0"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Nil – this will be based on the triangulation of findings across the other domains.</w:t>
            </w:r>
          </w:p>
        </w:tc>
        <w:tc>
          <w:tcPr>
            <w:tcW w:w="0" w:type="dxa"/>
          </w:tcPr>
          <w:p w14:paraId="412CBC41" w14:textId="63CD72A0"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Nil</w:t>
            </w:r>
          </w:p>
        </w:tc>
        <w:tc>
          <w:tcPr>
            <w:tcW w:w="0" w:type="dxa"/>
          </w:tcPr>
          <w:p w14:paraId="5BB3435C"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 xml:space="preserve">Policy documents </w:t>
            </w:r>
          </w:p>
          <w:p w14:paraId="072BF518"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Grey literature</w:t>
            </w:r>
          </w:p>
          <w:p w14:paraId="3C6656F0"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Program data</w:t>
            </w:r>
          </w:p>
          <w:p w14:paraId="6C3EEF10" w14:textId="3D21F806"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Focus groups/interviews</w:t>
            </w:r>
          </w:p>
        </w:tc>
        <w:tc>
          <w:tcPr>
            <w:tcW w:w="0" w:type="dxa"/>
          </w:tcPr>
          <w:p w14:paraId="5B34D8EB"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Desktop review</w:t>
            </w:r>
          </w:p>
          <w:p w14:paraId="456636C4" w14:textId="157287F0"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Stakeholder consultations</w:t>
            </w:r>
          </w:p>
        </w:tc>
        <w:tc>
          <w:tcPr>
            <w:tcW w:w="0" w:type="dxa"/>
            <w:tcBorders>
              <w:right w:val="nil"/>
            </w:tcBorders>
          </w:tcPr>
          <w:p w14:paraId="65D5D07C"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7D4FE414" w14:textId="56AC1E21"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tc>
      </w:tr>
      <w:tr w:rsidR="00D67E72" w:rsidRPr="006D322D" w14:paraId="785627F5"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47587C7C" w14:textId="240CC636" w:rsidR="00D67E72" w:rsidRPr="006D322D" w:rsidRDefault="00D67E72" w:rsidP="00D67E72">
            <w:pPr>
              <w:rPr>
                <w:b w:val="0"/>
                <w:color w:val="000000" w:themeColor="text1"/>
              </w:rPr>
            </w:pPr>
            <w:r w:rsidRPr="006D322D">
              <w:rPr>
                <w:color w:val="000000" w:themeColor="text1"/>
                <w:sz w:val="18"/>
                <w:szCs w:val="16"/>
              </w:rPr>
              <w:t>4.2 What are the existing gaps in data and evidence that could be collected in the future to better inform the use and effectiveness of the MPS Program?</w:t>
            </w:r>
          </w:p>
        </w:tc>
        <w:tc>
          <w:tcPr>
            <w:tcW w:w="0" w:type="dxa"/>
          </w:tcPr>
          <w:p w14:paraId="28AC8A2C" w14:textId="191CC083"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Nil – this will be based on the triangulation of findings across the other domains.</w:t>
            </w:r>
          </w:p>
        </w:tc>
        <w:tc>
          <w:tcPr>
            <w:tcW w:w="0" w:type="dxa"/>
          </w:tcPr>
          <w:p w14:paraId="7E3D8DC0" w14:textId="7F123295"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Nil</w:t>
            </w:r>
          </w:p>
        </w:tc>
        <w:tc>
          <w:tcPr>
            <w:tcW w:w="0" w:type="dxa"/>
          </w:tcPr>
          <w:p w14:paraId="782B8BE4"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 xml:space="preserve">Policy documents </w:t>
            </w:r>
          </w:p>
          <w:p w14:paraId="39A29D25"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Grey literature</w:t>
            </w:r>
          </w:p>
          <w:p w14:paraId="2E735CE6"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Program data</w:t>
            </w:r>
          </w:p>
          <w:p w14:paraId="1A7401CD" w14:textId="1ABFAFD6"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Focus groups/interviews</w:t>
            </w:r>
          </w:p>
        </w:tc>
        <w:tc>
          <w:tcPr>
            <w:tcW w:w="0" w:type="dxa"/>
          </w:tcPr>
          <w:p w14:paraId="46C954C5"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Desktop review</w:t>
            </w:r>
          </w:p>
          <w:p w14:paraId="6F75E378" w14:textId="34C5F3F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Stakeholder consultations</w:t>
            </w:r>
          </w:p>
        </w:tc>
        <w:tc>
          <w:tcPr>
            <w:tcW w:w="0" w:type="dxa"/>
            <w:tcBorders>
              <w:right w:val="nil"/>
            </w:tcBorders>
          </w:tcPr>
          <w:p w14:paraId="292D21E0"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18A4762C" w14:textId="43794B5E"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tc>
      </w:tr>
      <w:tr w:rsidR="00D67E72" w:rsidRPr="006D322D" w14:paraId="12A66B55"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tcBorders>
          </w:tcPr>
          <w:p w14:paraId="1C47E821" w14:textId="1F4D2972" w:rsidR="00D67E72" w:rsidRPr="006D322D" w:rsidRDefault="00D67E72" w:rsidP="00D67E72">
            <w:pPr>
              <w:rPr>
                <w:b w:val="0"/>
                <w:color w:val="000000" w:themeColor="text1"/>
              </w:rPr>
            </w:pPr>
            <w:r w:rsidRPr="006D322D">
              <w:rPr>
                <w:color w:val="000000" w:themeColor="text1"/>
                <w:sz w:val="18"/>
                <w:szCs w:val="16"/>
              </w:rPr>
              <w:t>4.3 Should the MPS Program continue to be administered by the Commonwealth, and if not, how should it be administered and through what mechanism?</w:t>
            </w:r>
          </w:p>
        </w:tc>
        <w:tc>
          <w:tcPr>
            <w:tcW w:w="0" w:type="dxa"/>
          </w:tcPr>
          <w:p w14:paraId="0DA0F2DD" w14:textId="6E3BBB26"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Findings regarding the role of the Commonwealth will be further explored, using feedback from across stakeholder perspectives, to understand underlying drivers, barriers and enablers of effective implementation and delivery of the program.</w:t>
            </w:r>
          </w:p>
        </w:tc>
        <w:tc>
          <w:tcPr>
            <w:tcW w:w="0" w:type="dxa"/>
          </w:tcPr>
          <w:p w14:paraId="7291B697" w14:textId="04879E9D"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Nil</w:t>
            </w:r>
          </w:p>
        </w:tc>
        <w:tc>
          <w:tcPr>
            <w:tcW w:w="0" w:type="dxa"/>
          </w:tcPr>
          <w:p w14:paraId="61DC9F9C"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 xml:space="preserve">Policy documents </w:t>
            </w:r>
          </w:p>
          <w:p w14:paraId="5B16A26F" w14:textId="67E414D0"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Focus groups/interviews</w:t>
            </w:r>
          </w:p>
        </w:tc>
        <w:tc>
          <w:tcPr>
            <w:tcW w:w="0" w:type="dxa"/>
          </w:tcPr>
          <w:p w14:paraId="33FF540B"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Desktop review</w:t>
            </w:r>
          </w:p>
          <w:p w14:paraId="0E62659A" w14:textId="6547F3B9"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Stakeholder consultations</w:t>
            </w:r>
          </w:p>
        </w:tc>
        <w:tc>
          <w:tcPr>
            <w:tcW w:w="0" w:type="dxa"/>
            <w:tcBorders>
              <w:right w:val="nil"/>
            </w:tcBorders>
          </w:tcPr>
          <w:p w14:paraId="145DF639"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6FE08049" w14:textId="73BB9F6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tc>
      </w:tr>
      <w:tr w:rsidR="00830A05" w:rsidRPr="006D322D" w14:paraId="0EF7BAE0" w14:textId="77777777">
        <w:tc>
          <w:tcPr>
            <w:cnfStyle w:val="001000000000" w:firstRow="0" w:lastRow="0" w:firstColumn="1" w:lastColumn="0" w:oddVBand="0" w:evenVBand="0" w:oddHBand="0" w:evenHBand="0" w:firstRowFirstColumn="0" w:firstRowLastColumn="0" w:lastRowFirstColumn="0" w:lastRowLastColumn="0"/>
            <w:tcW w:w="14314" w:type="dxa"/>
            <w:gridSpan w:val="6"/>
            <w:tcBorders>
              <w:left w:val="nil"/>
              <w:right w:val="nil"/>
            </w:tcBorders>
            <w:shd w:val="clear" w:color="auto" w:fill="F1F4FE"/>
          </w:tcPr>
          <w:p w14:paraId="15704445" w14:textId="22B25DB9" w:rsidR="00830A05" w:rsidRPr="006D322D" w:rsidRDefault="00830A05" w:rsidP="00830A05">
            <w:pPr>
              <w:rPr>
                <w:rFonts w:cs="Arial"/>
                <w:b w:val="0"/>
                <w:color w:val="000000" w:themeColor="text1"/>
                <w:sz w:val="18"/>
              </w:rPr>
            </w:pPr>
            <w:r w:rsidRPr="00CC541A">
              <w:rPr>
                <w:rFonts w:eastAsia="Times New Roman" w:cs="Times New Roman"/>
                <w:i/>
                <w:color w:val="000000" w:themeColor="text1"/>
                <w:sz w:val="18"/>
                <w:szCs w:val="16"/>
                <w:lang w:eastAsia="en-AU"/>
              </w:rPr>
              <w:t>5. Effectiveness:</w:t>
            </w:r>
            <w:r w:rsidRPr="00CC541A">
              <w:rPr>
                <w:rFonts w:eastAsia="Times New Roman" w:cs="Times New Roman"/>
                <w:b w:val="0"/>
                <w:i/>
                <w:color w:val="000000" w:themeColor="text1"/>
                <w:sz w:val="18"/>
                <w:szCs w:val="16"/>
                <w:lang w:eastAsia="en-AU"/>
              </w:rPr>
              <w:t xml:space="preserve"> </w:t>
            </w:r>
            <w:r w:rsidR="00D67E72" w:rsidRPr="00CC541A">
              <w:rPr>
                <w:rFonts w:eastAsia="Times New Roman" w:cs="Times New Roman"/>
                <w:b w:val="0"/>
                <w:i/>
                <w:color w:val="000000" w:themeColor="text1"/>
                <w:sz w:val="18"/>
                <w:szCs w:val="16"/>
                <w:lang w:eastAsia="en-AU"/>
              </w:rPr>
              <w:t>How effective has the MPS Program been in meeting its intended objectives</w:t>
            </w:r>
            <w:r w:rsidRPr="00CC541A">
              <w:rPr>
                <w:rFonts w:eastAsia="Times New Roman" w:cs="Times New Roman"/>
                <w:b w:val="0"/>
                <w:i/>
                <w:color w:val="000000" w:themeColor="text1"/>
                <w:sz w:val="18"/>
                <w:szCs w:val="16"/>
                <w:lang w:eastAsia="en-AU"/>
              </w:rPr>
              <w:t>?</w:t>
            </w:r>
          </w:p>
        </w:tc>
      </w:tr>
      <w:tr w:rsidR="00D67E72" w:rsidRPr="006D322D" w14:paraId="328F9A94"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bottom w:val="single" w:sz="4" w:space="0" w:color="6BA0FF" w:themeColor="accent1" w:themeTint="66"/>
            </w:tcBorders>
          </w:tcPr>
          <w:p w14:paraId="771A2EEE" w14:textId="77777777" w:rsidR="00D67E72" w:rsidRPr="006D322D" w:rsidRDefault="00D67E72" w:rsidP="00D67E72">
            <w:pPr>
              <w:pStyle w:val="Tabletextheading"/>
              <w:rPr>
                <w:rFonts w:cs="Arial"/>
                <w:i/>
                <w:color w:val="000000" w:themeColor="text1"/>
                <w:sz w:val="18"/>
              </w:rPr>
            </w:pPr>
            <w:r w:rsidRPr="006D322D">
              <w:rPr>
                <w:rFonts w:cs="Arial"/>
                <w:color w:val="000000" w:themeColor="text1"/>
                <w:sz w:val="18"/>
              </w:rPr>
              <w:t>5.1 Is the MPS Program achieving its objectives?</w:t>
            </w:r>
          </w:p>
          <w:p w14:paraId="50C8D281" w14:textId="77777777" w:rsidR="00D67E72" w:rsidRPr="006D322D" w:rsidRDefault="00D67E72" w:rsidP="00D67E72">
            <w:pPr>
              <w:rPr>
                <w:b w:val="0"/>
                <w:color w:val="000000" w:themeColor="text1"/>
              </w:rPr>
            </w:pPr>
          </w:p>
        </w:tc>
        <w:tc>
          <w:tcPr>
            <w:tcW w:w="0" w:type="dxa"/>
            <w:tcBorders>
              <w:bottom w:val="single" w:sz="4" w:space="0" w:color="6BA0FF" w:themeColor="accent1" w:themeTint="66"/>
            </w:tcBorders>
          </w:tcPr>
          <w:p w14:paraId="42875606" w14:textId="5417C82C"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Perceptions of quality of the training program</w:t>
            </w:r>
            <w:r w:rsidR="00EE536D">
              <w:t>.</w:t>
            </w:r>
          </w:p>
          <w:p w14:paraId="5CFBFDDE"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Supervisor perceptions of the development of the required skills.</w:t>
            </w:r>
          </w:p>
          <w:p w14:paraId="4340825E" w14:textId="4A4717BF"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szCs w:val="18"/>
                <w:lang w:eastAsia="en-AU"/>
              </w:rPr>
            </w:pPr>
            <w:r w:rsidRPr="00CC541A">
              <w:rPr>
                <w:rFonts w:eastAsia="Times New Roman"/>
                <w:szCs w:val="18"/>
                <w:lang w:eastAsia="en-AU"/>
              </w:rPr>
              <w:t>Number of applications to the training program</w:t>
            </w:r>
          </w:p>
        </w:tc>
        <w:tc>
          <w:tcPr>
            <w:tcW w:w="0" w:type="dxa"/>
            <w:tcBorders>
              <w:bottom w:val="single" w:sz="4" w:space="0" w:color="6BA0FF" w:themeColor="accent1" w:themeTint="66"/>
            </w:tcBorders>
          </w:tcPr>
          <w:p w14:paraId="2466DC05"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Increased enrolment and completion rates</w:t>
            </w:r>
          </w:p>
          <w:p w14:paraId="1913794C"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Proportion of people who complete training</w:t>
            </w:r>
          </w:p>
          <w:p w14:paraId="1CD63262" w14:textId="1B21050B"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szCs w:val="18"/>
                <w:lang w:eastAsia="en-AU"/>
              </w:rPr>
            </w:pPr>
            <w:r w:rsidRPr="00CC541A">
              <w:rPr>
                <w:rFonts w:eastAsia="Times New Roman"/>
                <w:szCs w:val="18"/>
                <w:lang w:eastAsia="en-AU"/>
              </w:rPr>
              <w:t>Length of time until employment.</w:t>
            </w:r>
          </w:p>
        </w:tc>
        <w:tc>
          <w:tcPr>
            <w:tcW w:w="0" w:type="dxa"/>
            <w:tcBorders>
              <w:bottom w:val="single" w:sz="4" w:space="0" w:color="6BA0FF" w:themeColor="accent1" w:themeTint="66"/>
            </w:tcBorders>
          </w:tcPr>
          <w:p w14:paraId="5CCB45D2"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Policy and program documentation</w:t>
            </w:r>
          </w:p>
          <w:p w14:paraId="7D42666C"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Program data</w:t>
            </w:r>
          </w:p>
          <w:p w14:paraId="776034F7"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Survey data</w:t>
            </w:r>
          </w:p>
          <w:p w14:paraId="60579219" w14:textId="40DCF220"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szCs w:val="18"/>
                <w:lang w:eastAsia="en-AU"/>
              </w:rPr>
            </w:pPr>
            <w:r w:rsidRPr="00CC541A">
              <w:rPr>
                <w:rFonts w:eastAsia="Times New Roman"/>
                <w:szCs w:val="18"/>
                <w:lang w:eastAsia="en-AU"/>
              </w:rPr>
              <w:t>Focus groups/interviews</w:t>
            </w:r>
          </w:p>
        </w:tc>
        <w:tc>
          <w:tcPr>
            <w:tcW w:w="0" w:type="dxa"/>
            <w:tcBorders>
              <w:bottom w:val="single" w:sz="4" w:space="0" w:color="6BA0FF" w:themeColor="accent1" w:themeTint="66"/>
            </w:tcBorders>
          </w:tcPr>
          <w:p w14:paraId="77417BFB"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Desktop review</w:t>
            </w:r>
          </w:p>
          <w:p w14:paraId="263E3B87"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Participant survey</w:t>
            </w:r>
          </w:p>
          <w:p w14:paraId="1A8CA146" w14:textId="3C7E80E3"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szCs w:val="18"/>
                <w:lang w:eastAsia="en-AU"/>
              </w:rPr>
            </w:pPr>
            <w:r w:rsidRPr="00CC541A">
              <w:rPr>
                <w:rFonts w:eastAsia="Times New Roman"/>
                <w:szCs w:val="18"/>
                <w:lang w:eastAsia="en-AU"/>
              </w:rPr>
              <w:t>Stakeholder engagement</w:t>
            </w:r>
          </w:p>
        </w:tc>
        <w:tc>
          <w:tcPr>
            <w:tcW w:w="0" w:type="dxa"/>
            <w:tcBorders>
              <w:bottom w:val="single" w:sz="4" w:space="0" w:color="6BA0FF" w:themeColor="accent1" w:themeTint="66"/>
              <w:right w:val="nil"/>
            </w:tcBorders>
          </w:tcPr>
          <w:p w14:paraId="5C234BF2"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512567B1"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p w14:paraId="2307D6E8"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Data visualisation</w:t>
            </w:r>
          </w:p>
          <w:p w14:paraId="2013CC41" w14:textId="7ECC4171"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Subgroup analysis</w:t>
            </w:r>
          </w:p>
        </w:tc>
      </w:tr>
      <w:tr w:rsidR="00D67E72" w:rsidRPr="006D322D" w14:paraId="4DC66F73" w14:textId="77777777" w:rsidTr="00556D0D">
        <w:tc>
          <w:tcPr>
            <w:cnfStyle w:val="001000000000" w:firstRow="0" w:lastRow="0" w:firstColumn="1" w:lastColumn="0" w:oddVBand="0" w:evenVBand="0" w:oddHBand="0" w:evenHBand="0" w:firstRowFirstColumn="0" w:firstRowLastColumn="0" w:lastRowFirstColumn="0" w:lastRowLastColumn="0"/>
            <w:tcW w:w="0" w:type="dxa"/>
            <w:tcBorders>
              <w:left w:val="nil"/>
              <w:bottom w:val="single" w:sz="4" w:space="0" w:color="1E49E2" w:themeColor="accent2"/>
            </w:tcBorders>
          </w:tcPr>
          <w:p w14:paraId="4A29E5C0" w14:textId="7CF790F8" w:rsidR="00D67E72" w:rsidRPr="006D322D" w:rsidRDefault="00D67E72" w:rsidP="00D67E72">
            <w:pPr>
              <w:rPr>
                <w:b w:val="0"/>
                <w:color w:val="000000" w:themeColor="text1"/>
              </w:rPr>
            </w:pPr>
            <w:r w:rsidRPr="006D322D">
              <w:rPr>
                <w:rFonts w:cs="Arial"/>
                <w:color w:val="000000" w:themeColor="text1"/>
                <w:sz w:val="18"/>
              </w:rPr>
              <w:t xml:space="preserve">5.2 How has the MPS Program impacted the quality of services delivered by medical physicists? </w:t>
            </w:r>
          </w:p>
        </w:tc>
        <w:tc>
          <w:tcPr>
            <w:tcW w:w="0" w:type="dxa"/>
            <w:tcBorders>
              <w:bottom w:val="single" w:sz="4" w:space="0" w:color="1E49E2" w:themeColor="accent2"/>
            </w:tcBorders>
          </w:tcPr>
          <w:p w14:paraId="4081834A" w14:textId="2F673014"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Perceptions of medical physicists' skills and knowledge</w:t>
            </w:r>
            <w:r w:rsidR="00EE536D">
              <w:t>.</w:t>
            </w:r>
          </w:p>
          <w:p w14:paraId="445FC340" w14:textId="439677D6"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szCs w:val="18"/>
                <w:lang w:eastAsia="en-AU"/>
              </w:rPr>
            </w:pPr>
            <w:r w:rsidRPr="00CC541A">
              <w:rPr>
                <w:rFonts w:eastAsia="Times New Roman"/>
                <w:szCs w:val="18"/>
                <w:lang w:eastAsia="en-AU"/>
              </w:rPr>
              <w:t>Comparison of training outcomes with program objectives.</w:t>
            </w:r>
          </w:p>
        </w:tc>
        <w:tc>
          <w:tcPr>
            <w:tcW w:w="0" w:type="dxa"/>
            <w:tcBorders>
              <w:bottom w:val="single" w:sz="4" w:space="0" w:color="1E49E2" w:themeColor="accent2"/>
            </w:tcBorders>
          </w:tcPr>
          <w:p w14:paraId="7E80314B"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Increased participant understanding</w:t>
            </w:r>
          </w:p>
          <w:p w14:paraId="16F0014F"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Introduction of minimum training and accreditation standards</w:t>
            </w:r>
          </w:p>
          <w:p w14:paraId="106EFF4E"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Improved funding distribution</w:t>
            </w:r>
          </w:p>
          <w:p w14:paraId="0D451161"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Enhanced capacity and capability</w:t>
            </w:r>
          </w:p>
          <w:p w14:paraId="28D2598D" w14:textId="2DB87900"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szCs w:val="18"/>
                <w:lang w:eastAsia="en-AU"/>
              </w:rPr>
            </w:pPr>
            <w:r w:rsidRPr="00CC541A">
              <w:rPr>
                <w:rFonts w:eastAsia="Times New Roman"/>
                <w:szCs w:val="18"/>
                <w:lang w:eastAsia="en-AU"/>
              </w:rPr>
              <w:t>Workforce distribution</w:t>
            </w:r>
          </w:p>
        </w:tc>
        <w:tc>
          <w:tcPr>
            <w:tcW w:w="0" w:type="dxa"/>
            <w:tcBorders>
              <w:bottom w:val="single" w:sz="4" w:space="0" w:color="1E49E2" w:themeColor="accent2"/>
            </w:tcBorders>
          </w:tcPr>
          <w:p w14:paraId="1906C8C6"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Policy and program documentation</w:t>
            </w:r>
          </w:p>
          <w:p w14:paraId="34510A41"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Program data</w:t>
            </w:r>
          </w:p>
          <w:p w14:paraId="24032D8A"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Focus groups/interviews</w:t>
            </w:r>
          </w:p>
          <w:p w14:paraId="28C22DE5" w14:textId="28F6DD61"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szCs w:val="18"/>
                <w:lang w:eastAsia="en-AU"/>
              </w:rPr>
            </w:pPr>
            <w:r w:rsidRPr="00CC541A">
              <w:rPr>
                <w:rFonts w:eastAsia="Times New Roman"/>
                <w:szCs w:val="18"/>
                <w:lang w:eastAsia="en-AU"/>
              </w:rPr>
              <w:t>Survey data</w:t>
            </w:r>
          </w:p>
        </w:tc>
        <w:tc>
          <w:tcPr>
            <w:tcW w:w="0" w:type="dxa"/>
            <w:tcBorders>
              <w:bottom w:val="single" w:sz="4" w:space="0" w:color="1E49E2" w:themeColor="accent2"/>
            </w:tcBorders>
          </w:tcPr>
          <w:p w14:paraId="21978857"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Desktop review</w:t>
            </w:r>
          </w:p>
          <w:p w14:paraId="4D562AA0" w14:textId="77777777"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6D322D">
              <w:t>Participant survey</w:t>
            </w:r>
          </w:p>
          <w:p w14:paraId="3C678275" w14:textId="7DAE1EBA"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rFonts w:eastAsia="Times New Roman"/>
                <w:szCs w:val="18"/>
                <w:lang w:eastAsia="en-AU"/>
              </w:rPr>
            </w:pPr>
            <w:r w:rsidRPr="00CC541A">
              <w:rPr>
                <w:rFonts w:eastAsia="Times New Roman"/>
                <w:szCs w:val="18"/>
                <w:lang w:eastAsia="en-AU"/>
              </w:rPr>
              <w:t>Stakeholder engagement</w:t>
            </w:r>
          </w:p>
        </w:tc>
        <w:tc>
          <w:tcPr>
            <w:tcW w:w="0" w:type="dxa"/>
            <w:tcBorders>
              <w:bottom w:val="single" w:sz="4" w:space="0" w:color="1E49E2" w:themeColor="accent2"/>
              <w:right w:val="nil"/>
            </w:tcBorders>
          </w:tcPr>
          <w:p w14:paraId="1BDDC746"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Descriptive statistics</w:t>
            </w:r>
          </w:p>
          <w:p w14:paraId="26328C18"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Thematic analysis</w:t>
            </w:r>
          </w:p>
          <w:p w14:paraId="7C352904" w14:textId="77777777" w:rsidR="00D67E72" w:rsidRPr="00CC541A"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Data visualisation</w:t>
            </w:r>
          </w:p>
          <w:p w14:paraId="6A049B4B" w14:textId="1E73766A" w:rsidR="00D67E72" w:rsidRPr="006D322D" w:rsidRDefault="00D67E72" w:rsidP="00AE349D">
            <w:pPr>
              <w:pStyle w:val="Tablelistbullet"/>
              <w:cnfStyle w:val="000000000000" w:firstRow="0" w:lastRow="0" w:firstColumn="0" w:lastColumn="0" w:oddVBand="0" w:evenVBand="0" w:oddHBand="0" w:evenHBand="0" w:firstRowFirstColumn="0" w:firstRowLastColumn="0" w:lastRowFirstColumn="0" w:lastRowLastColumn="0"/>
              <w:rPr>
                <w:i/>
              </w:rPr>
            </w:pPr>
            <w:r w:rsidRPr="00CC541A">
              <w:t>Subgroup analysis</w:t>
            </w:r>
          </w:p>
        </w:tc>
      </w:tr>
    </w:tbl>
    <w:p w14:paraId="1CAE293D" w14:textId="495D14C1" w:rsidR="00377A94" w:rsidRDefault="00DD3E39" w:rsidP="00194457">
      <w:pPr>
        <w:pStyle w:val="BodyText"/>
        <w:spacing w:before="0" w:after="0"/>
        <w:sectPr w:rsidR="00377A94" w:rsidSect="00773E5E">
          <w:pgSz w:w="16838" w:h="11906" w:orient="landscape"/>
          <w:pgMar w:top="1134" w:right="1701" w:bottom="1134" w:left="1134" w:header="709" w:footer="454" w:gutter="0"/>
          <w:cols w:space="708"/>
          <w:docGrid w:linePitch="360"/>
        </w:sectPr>
      </w:pPr>
      <w:r w:rsidRPr="00AE349D">
        <w:rPr>
          <w:rStyle w:val="FootnoteTextChar"/>
          <w:rFonts w:eastAsiaTheme="minorHAnsi"/>
        </w:rPr>
        <w:t>Source: KPMG, 2024</w:t>
      </w:r>
      <w:r w:rsidR="00C273B2">
        <w:rPr>
          <w:rFonts w:eastAsia="Times New Roman" w:cs="Times New Roman"/>
          <w:bCs/>
          <w:i/>
          <w:color w:val="00338D" w:themeColor="accent1"/>
          <w:sz w:val="18"/>
          <w:szCs w:val="20"/>
          <w:lang w:eastAsia="en-AU"/>
        </w:rPr>
        <w:t>.</w:t>
      </w:r>
    </w:p>
    <w:p w14:paraId="0D19621B" w14:textId="0C6446C7" w:rsidR="000D2E4F" w:rsidRDefault="00FB04A9" w:rsidP="00687023">
      <w:pPr>
        <w:pStyle w:val="Heading1"/>
      </w:pPr>
      <w:bookmarkStart w:id="247" w:name="_Toc178240810"/>
      <w:bookmarkStart w:id="248" w:name="_Toc184396578"/>
      <w:bookmarkStart w:id="249" w:name="_Toc216711612"/>
      <w:bookmarkStart w:id="250" w:name="_Toc216792006"/>
      <w:r>
        <w:t xml:space="preserve">Appendix </w:t>
      </w:r>
      <w:r w:rsidR="005218C0">
        <w:t>C</w:t>
      </w:r>
      <w:r>
        <w:t xml:space="preserve">: </w:t>
      </w:r>
      <w:r w:rsidR="00A1795C">
        <w:t>L</w:t>
      </w:r>
      <w:r w:rsidR="00F028A6">
        <w:t xml:space="preserve">iterature </w:t>
      </w:r>
      <w:r w:rsidR="003125B4">
        <w:t>scan</w:t>
      </w:r>
      <w:bookmarkEnd w:id="247"/>
      <w:bookmarkEnd w:id="248"/>
      <w:bookmarkEnd w:id="249"/>
      <w:bookmarkEnd w:id="250"/>
    </w:p>
    <w:p w14:paraId="0047867A" w14:textId="7B6452C1" w:rsidR="000C12DE" w:rsidRDefault="000C12DE" w:rsidP="00977857">
      <w:pPr>
        <w:pStyle w:val="BodyText"/>
      </w:pPr>
      <w:r>
        <w:t xml:space="preserve">This literature scan </w:t>
      </w:r>
      <w:r w:rsidR="00743037">
        <w:t>examines</w:t>
      </w:r>
      <w:r>
        <w:t xml:space="preserve"> </w:t>
      </w:r>
      <w:r w:rsidR="00775DD0">
        <w:t xml:space="preserve">best </w:t>
      </w:r>
      <w:r w:rsidR="00743037">
        <w:t xml:space="preserve">practice approaches to supporting the medical </w:t>
      </w:r>
      <w:r w:rsidR="007849C7">
        <w:t>physics</w:t>
      </w:r>
      <w:r w:rsidR="00743037">
        <w:t xml:space="preserve"> and RPS workforce</w:t>
      </w:r>
      <w:r w:rsidR="006C3A0D">
        <w:t>, both in Australia and internationally.</w:t>
      </w:r>
      <w:r w:rsidR="00D071F6">
        <w:t xml:space="preserve"> The findings of this literature scan are structured around</w:t>
      </w:r>
      <w:r w:rsidR="00BD7497">
        <w:t xml:space="preserve"> the following components:</w:t>
      </w:r>
    </w:p>
    <w:p w14:paraId="492E1B60" w14:textId="67FFB106" w:rsidR="00BD7497" w:rsidRDefault="00BD7497" w:rsidP="00584EC6">
      <w:pPr>
        <w:pStyle w:val="BodyText"/>
        <w:numPr>
          <w:ilvl w:val="0"/>
          <w:numId w:val="36"/>
        </w:numPr>
      </w:pPr>
      <w:r>
        <w:t xml:space="preserve">International approaches to supporting the medical physics </w:t>
      </w:r>
      <w:proofErr w:type="gramStart"/>
      <w:r>
        <w:t>workforce;</w:t>
      </w:r>
      <w:proofErr w:type="gramEnd"/>
    </w:p>
    <w:p w14:paraId="4D77F84B" w14:textId="1A1DC1D1" w:rsidR="00C95513" w:rsidRDefault="00C95513" w:rsidP="00584EC6">
      <w:pPr>
        <w:pStyle w:val="BodyText"/>
        <w:numPr>
          <w:ilvl w:val="0"/>
          <w:numId w:val="36"/>
        </w:numPr>
      </w:pPr>
      <w:r w:rsidRPr="00C95513">
        <w:t>Education and training requirements of medical physicists</w:t>
      </w:r>
      <w:r>
        <w:t>; and</w:t>
      </w:r>
    </w:p>
    <w:p w14:paraId="1B608F74" w14:textId="53C13449" w:rsidR="00C95513" w:rsidRDefault="00C95513" w:rsidP="00584EC6">
      <w:pPr>
        <w:pStyle w:val="BodyText"/>
        <w:numPr>
          <w:ilvl w:val="0"/>
          <w:numId w:val="36"/>
        </w:numPr>
      </w:pPr>
      <w:r>
        <w:t xml:space="preserve">Best practice insights for the delivery of structured </w:t>
      </w:r>
      <w:r w:rsidR="00AA4CC9">
        <w:t xml:space="preserve">medical physics </w:t>
      </w:r>
      <w:r>
        <w:t>training programs.</w:t>
      </w:r>
    </w:p>
    <w:p w14:paraId="21D56EF1" w14:textId="4598679B" w:rsidR="000D2E4F" w:rsidRDefault="00977857" w:rsidP="00273E1A">
      <w:pPr>
        <w:pStyle w:val="Heading2"/>
      </w:pPr>
      <w:bookmarkStart w:id="251" w:name="_Toc178240515"/>
      <w:bookmarkStart w:id="252" w:name="_Toc178240711"/>
      <w:bookmarkStart w:id="253" w:name="_Toc178240777"/>
      <w:bookmarkStart w:id="254" w:name="_Toc178240811"/>
      <w:bookmarkStart w:id="255" w:name="_Toc178260490"/>
      <w:bookmarkStart w:id="256" w:name="_Toc184396579"/>
      <w:bookmarkStart w:id="257" w:name="_Toc216711613"/>
      <w:bookmarkStart w:id="258" w:name="_Toc216792007"/>
      <w:r>
        <w:t xml:space="preserve">International approaches to supporting the medical </w:t>
      </w:r>
      <w:r w:rsidR="005F230F">
        <w:t>physics</w:t>
      </w:r>
      <w:r>
        <w:t xml:space="preserve"> workforce</w:t>
      </w:r>
      <w:bookmarkEnd w:id="251"/>
      <w:bookmarkEnd w:id="252"/>
      <w:bookmarkEnd w:id="253"/>
      <w:bookmarkEnd w:id="254"/>
      <w:bookmarkEnd w:id="255"/>
      <w:bookmarkEnd w:id="256"/>
      <w:bookmarkEnd w:id="257"/>
      <w:bookmarkEnd w:id="258"/>
    </w:p>
    <w:p w14:paraId="25CEFC94" w14:textId="0F23F1F4" w:rsidR="00222F74" w:rsidRDefault="00C07BBE" w:rsidP="00A810EB">
      <w:pPr>
        <w:spacing w:before="0" w:after="160" w:line="259" w:lineRule="auto"/>
        <w:rPr>
          <w:rFonts w:eastAsia="Calibri" w:cs="Arial"/>
          <w:szCs w:val="20"/>
        </w:rPr>
      </w:pPr>
      <w:r w:rsidRPr="00C07BBE">
        <w:rPr>
          <w:rFonts w:eastAsia="Calibri" w:cs="Arial"/>
          <w:szCs w:val="20"/>
        </w:rPr>
        <w:t xml:space="preserve">It is important that Federal funding efforts aimed at supporting the medical </w:t>
      </w:r>
      <w:r w:rsidR="005F230F">
        <w:rPr>
          <w:rFonts w:eastAsia="Calibri" w:cs="Arial"/>
          <w:szCs w:val="20"/>
        </w:rPr>
        <w:t>physics</w:t>
      </w:r>
      <w:r w:rsidRPr="00C07BBE">
        <w:rPr>
          <w:rFonts w:eastAsia="Calibri" w:cs="Arial"/>
          <w:szCs w:val="20"/>
        </w:rPr>
        <w:t xml:space="preserve"> workforce are coordinated and informed by current data on the workforce, education pipelines, and projected </w:t>
      </w:r>
      <w:r w:rsidR="00B746A5">
        <w:rPr>
          <w:rFonts w:eastAsia="Calibri" w:cs="Arial"/>
          <w:szCs w:val="20"/>
        </w:rPr>
        <w:t xml:space="preserve">medical physics </w:t>
      </w:r>
      <w:r w:rsidR="007F6AC0">
        <w:rPr>
          <w:rFonts w:eastAsia="Calibri" w:cs="Arial"/>
          <w:szCs w:val="20"/>
        </w:rPr>
        <w:t xml:space="preserve">service </w:t>
      </w:r>
      <w:r w:rsidRPr="00C07BBE">
        <w:rPr>
          <w:rFonts w:eastAsia="Calibri" w:cs="Arial"/>
          <w:szCs w:val="20"/>
        </w:rPr>
        <w:t xml:space="preserve">needs. </w:t>
      </w:r>
      <w:r w:rsidR="00222F74">
        <w:rPr>
          <w:rFonts w:eastAsia="Calibri" w:cs="Arial"/>
          <w:szCs w:val="20"/>
        </w:rPr>
        <w:t>Long-range planning is particularly important given that a major obstacle to increasing the supply of medical physicists is the length of time required for education and training.</w:t>
      </w:r>
      <w:r w:rsidR="00E17539" w:rsidRPr="00E17539">
        <w:rPr>
          <w:rFonts w:eastAsia="Calibri" w:cs="Arial"/>
          <w:szCs w:val="20"/>
          <w:vertAlign w:val="superscript"/>
        </w:rPr>
        <w:fldChar w:fldCharType="begin"/>
      </w:r>
      <w:r w:rsidR="00E17539" w:rsidRPr="00E17539">
        <w:rPr>
          <w:rFonts w:eastAsia="Calibri" w:cs="Arial"/>
          <w:szCs w:val="20"/>
          <w:vertAlign w:val="superscript"/>
        </w:rPr>
        <w:instrText xml:space="preserve"> NOTEREF _Ref174456919 \h </w:instrText>
      </w:r>
      <w:r w:rsidR="00E17539">
        <w:rPr>
          <w:rFonts w:eastAsia="Calibri" w:cs="Arial"/>
          <w:szCs w:val="20"/>
          <w:vertAlign w:val="superscript"/>
        </w:rPr>
        <w:instrText xml:space="preserve"> \* MERGEFORMAT </w:instrText>
      </w:r>
      <w:r w:rsidR="00E17539" w:rsidRPr="00E17539">
        <w:rPr>
          <w:rFonts w:eastAsia="Calibri" w:cs="Arial"/>
          <w:szCs w:val="20"/>
          <w:vertAlign w:val="superscript"/>
        </w:rPr>
      </w:r>
      <w:r w:rsidR="00E17539" w:rsidRPr="00E17539">
        <w:rPr>
          <w:rFonts w:eastAsia="Calibri" w:cs="Arial"/>
          <w:szCs w:val="20"/>
          <w:vertAlign w:val="superscript"/>
        </w:rPr>
        <w:fldChar w:fldCharType="separate"/>
      </w:r>
      <w:r w:rsidR="005F7EBC">
        <w:rPr>
          <w:rFonts w:eastAsia="Calibri" w:cs="Arial"/>
          <w:szCs w:val="20"/>
          <w:vertAlign w:val="superscript"/>
        </w:rPr>
        <w:t>75</w:t>
      </w:r>
      <w:r w:rsidR="00E17539" w:rsidRPr="00E17539">
        <w:rPr>
          <w:rFonts w:eastAsia="Calibri" w:cs="Arial"/>
          <w:szCs w:val="20"/>
          <w:vertAlign w:val="superscript"/>
        </w:rPr>
        <w:fldChar w:fldCharType="end"/>
      </w:r>
    </w:p>
    <w:p w14:paraId="3A01BBB6" w14:textId="0F453F27" w:rsidR="00C07BBE" w:rsidRPr="00C07BBE" w:rsidRDefault="00C07BBE" w:rsidP="00C07BBE">
      <w:pPr>
        <w:spacing w:before="0" w:after="160" w:line="259" w:lineRule="auto"/>
        <w:rPr>
          <w:rFonts w:eastAsia="Calibri" w:cs="Arial"/>
          <w:szCs w:val="20"/>
        </w:rPr>
      </w:pPr>
      <w:r w:rsidRPr="00C07BBE">
        <w:rPr>
          <w:rFonts w:eastAsia="Calibri" w:cs="Arial"/>
          <w:szCs w:val="20"/>
        </w:rPr>
        <w:t>The medical physicist profession and workforce is changing in response to scientific and medical advancements, healthcare reform, as well as long-term trends of population growth, an ageing population, and increasing incidence of cancers.</w:t>
      </w:r>
      <w:bookmarkStart w:id="259" w:name="_Ref174456919"/>
      <w:r w:rsidR="001D1A3C">
        <w:rPr>
          <w:rFonts w:ascii="ZWAdobeF" w:eastAsia="Calibri" w:hAnsi="ZWAdobeF" w:cs="ZWAdobeF"/>
          <w:sz w:val="2"/>
          <w:szCs w:val="2"/>
        </w:rPr>
        <w:t>61F</w:t>
      </w:r>
      <w:r w:rsidR="005F7EBC">
        <w:rPr>
          <w:rFonts w:ascii="ZWAdobeF" w:eastAsia="Calibri" w:hAnsi="ZWAdobeF" w:cs="ZWAdobeF"/>
          <w:sz w:val="2"/>
          <w:szCs w:val="2"/>
        </w:rPr>
        <w:t>74F</w:t>
      </w:r>
      <w:r w:rsidR="003125B4">
        <w:rPr>
          <w:rStyle w:val="FootnoteReference"/>
          <w:rFonts w:eastAsia="Calibri" w:cs="Arial"/>
          <w:szCs w:val="20"/>
        </w:rPr>
        <w:footnoteReference w:id="76"/>
      </w:r>
      <w:bookmarkEnd w:id="259"/>
      <w:r w:rsidR="00867700">
        <w:rPr>
          <w:rFonts w:eastAsia="Calibri" w:cs="Arial"/>
          <w:szCs w:val="20"/>
        </w:rPr>
        <w:t xml:space="preserve"> To</w:t>
      </w:r>
      <w:r w:rsidR="00F4540F">
        <w:rPr>
          <w:rFonts w:eastAsia="Calibri" w:cs="Arial"/>
          <w:szCs w:val="20"/>
        </w:rPr>
        <w:t xml:space="preserve"> account for </w:t>
      </w:r>
      <w:r w:rsidR="00A54F21">
        <w:rPr>
          <w:rFonts w:eastAsia="Calibri" w:cs="Arial"/>
          <w:szCs w:val="20"/>
        </w:rPr>
        <w:t>these continual changes, w</w:t>
      </w:r>
      <w:r w:rsidRPr="00C07BBE">
        <w:rPr>
          <w:rFonts w:eastAsia="Calibri" w:cs="Arial"/>
          <w:szCs w:val="20"/>
        </w:rPr>
        <w:t xml:space="preserve">orkforce surveys and modelling are necessary to inform an understanding of the impact of these advancements and trends on medical </w:t>
      </w:r>
      <w:r w:rsidR="005F230F">
        <w:rPr>
          <w:rFonts w:eastAsia="Calibri" w:cs="Arial"/>
          <w:szCs w:val="20"/>
        </w:rPr>
        <w:t>physics</w:t>
      </w:r>
      <w:r w:rsidRPr="00C07BBE">
        <w:rPr>
          <w:rFonts w:eastAsia="Calibri" w:cs="Arial"/>
          <w:szCs w:val="20"/>
        </w:rPr>
        <w:t xml:space="preserve"> workforce requirements. Annual surveillance of workforce data, longitudinal analysis to understand long-term trends, and the modelling of future projections provide evidence that is critical for informing policy assessments and decision making.</w:t>
      </w:r>
      <w:r w:rsidR="000E38CB" w:rsidRPr="00FA7FC0">
        <w:rPr>
          <w:rFonts w:eastAsia="Calibri" w:cs="Arial"/>
          <w:szCs w:val="20"/>
          <w:vertAlign w:val="superscript"/>
        </w:rPr>
        <w:fldChar w:fldCharType="begin"/>
      </w:r>
      <w:r w:rsidR="000E38CB" w:rsidRPr="00FA7FC0">
        <w:rPr>
          <w:rFonts w:eastAsia="Calibri" w:cs="Arial"/>
          <w:szCs w:val="20"/>
          <w:vertAlign w:val="superscript"/>
        </w:rPr>
        <w:instrText xml:space="preserve"> NOTEREF _Ref174456919 \h </w:instrText>
      </w:r>
      <w:r w:rsidR="00FA7FC0">
        <w:rPr>
          <w:rFonts w:eastAsia="Calibri" w:cs="Arial"/>
          <w:szCs w:val="20"/>
          <w:vertAlign w:val="superscript"/>
        </w:rPr>
        <w:instrText xml:space="preserve"> \* MERGEFORMAT </w:instrText>
      </w:r>
      <w:r w:rsidR="000E38CB" w:rsidRPr="00FA7FC0">
        <w:rPr>
          <w:rFonts w:eastAsia="Calibri" w:cs="Arial"/>
          <w:szCs w:val="20"/>
          <w:vertAlign w:val="superscript"/>
        </w:rPr>
      </w:r>
      <w:r w:rsidR="000E38CB" w:rsidRPr="00FA7FC0">
        <w:rPr>
          <w:rFonts w:eastAsia="Calibri" w:cs="Arial"/>
          <w:szCs w:val="20"/>
          <w:vertAlign w:val="superscript"/>
        </w:rPr>
        <w:fldChar w:fldCharType="separate"/>
      </w:r>
      <w:r w:rsidR="005F7EBC">
        <w:rPr>
          <w:rFonts w:eastAsia="Calibri" w:cs="Arial"/>
          <w:szCs w:val="20"/>
          <w:vertAlign w:val="superscript"/>
        </w:rPr>
        <w:t>75</w:t>
      </w:r>
      <w:r w:rsidR="000E38CB" w:rsidRPr="00FA7FC0">
        <w:rPr>
          <w:rFonts w:eastAsia="Calibri" w:cs="Arial"/>
          <w:szCs w:val="20"/>
          <w:vertAlign w:val="superscript"/>
        </w:rPr>
        <w:fldChar w:fldCharType="end"/>
      </w:r>
      <w:bookmarkStart w:id="260" w:name="_Ref174629079"/>
      <w:r w:rsidR="001313E6">
        <w:rPr>
          <w:rFonts w:eastAsia="Calibri" w:cs="Arial"/>
          <w:szCs w:val="20"/>
          <w:vertAlign w:val="superscript"/>
        </w:rPr>
        <w:t xml:space="preserve">, </w:t>
      </w:r>
      <w:r w:rsidR="001D1A3C">
        <w:rPr>
          <w:rFonts w:ascii="ZWAdobeF" w:eastAsia="Calibri" w:hAnsi="ZWAdobeF" w:cs="ZWAdobeF"/>
          <w:sz w:val="2"/>
          <w:szCs w:val="2"/>
        </w:rPr>
        <w:t>62F</w:t>
      </w:r>
      <w:r w:rsidR="005F7EBC">
        <w:rPr>
          <w:rFonts w:ascii="ZWAdobeF" w:eastAsia="Calibri" w:hAnsi="ZWAdobeF" w:cs="ZWAdobeF"/>
          <w:sz w:val="2"/>
          <w:szCs w:val="2"/>
        </w:rPr>
        <w:t>75F</w:t>
      </w:r>
      <w:r w:rsidR="000E38CB">
        <w:rPr>
          <w:rStyle w:val="FootnoteReference"/>
          <w:rFonts w:eastAsia="Calibri" w:cs="Arial"/>
          <w:szCs w:val="20"/>
        </w:rPr>
        <w:footnoteReference w:id="77"/>
      </w:r>
      <w:bookmarkEnd w:id="260"/>
      <w:r w:rsidRPr="00C07BBE">
        <w:rPr>
          <w:rFonts w:eastAsia="Calibri" w:cs="Arial"/>
          <w:szCs w:val="20"/>
        </w:rPr>
        <w:t xml:space="preserve"> Based on the findings of these analyses and projections, consensus recommendations should be developed and accompanied by an impact assessment that includes both public health and economic analyses, as well as an assessment of the potential consequences of inaction.</w:t>
      </w:r>
      <w:r w:rsidR="0052779E" w:rsidRPr="0052779E">
        <w:rPr>
          <w:rFonts w:eastAsia="Calibri" w:cs="Arial"/>
          <w:szCs w:val="20"/>
          <w:vertAlign w:val="superscript"/>
        </w:rPr>
        <w:fldChar w:fldCharType="begin"/>
      </w:r>
      <w:r w:rsidR="0052779E" w:rsidRPr="0052779E">
        <w:rPr>
          <w:rFonts w:eastAsia="Calibri" w:cs="Arial"/>
          <w:szCs w:val="20"/>
          <w:vertAlign w:val="superscript"/>
        </w:rPr>
        <w:instrText xml:space="preserve"> NOTEREF _Ref174456919 \h </w:instrText>
      </w:r>
      <w:r w:rsidR="0052779E">
        <w:rPr>
          <w:rFonts w:eastAsia="Calibri" w:cs="Arial"/>
          <w:szCs w:val="20"/>
          <w:vertAlign w:val="superscript"/>
        </w:rPr>
        <w:instrText xml:space="preserve"> \* MERGEFORMAT </w:instrText>
      </w:r>
      <w:r w:rsidR="0052779E" w:rsidRPr="0052779E">
        <w:rPr>
          <w:rFonts w:eastAsia="Calibri" w:cs="Arial"/>
          <w:szCs w:val="20"/>
          <w:vertAlign w:val="superscript"/>
        </w:rPr>
      </w:r>
      <w:r w:rsidR="0052779E" w:rsidRPr="0052779E">
        <w:rPr>
          <w:rFonts w:eastAsia="Calibri" w:cs="Arial"/>
          <w:szCs w:val="20"/>
          <w:vertAlign w:val="superscript"/>
        </w:rPr>
        <w:fldChar w:fldCharType="separate"/>
      </w:r>
      <w:r w:rsidR="005F7EBC">
        <w:rPr>
          <w:rFonts w:eastAsia="Calibri" w:cs="Arial"/>
          <w:szCs w:val="20"/>
          <w:vertAlign w:val="superscript"/>
        </w:rPr>
        <w:t>75</w:t>
      </w:r>
      <w:r w:rsidR="0052779E" w:rsidRPr="0052779E">
        <w:rPr>
          <w:rFonts w:eastAsia="Calibri" w:cs="Arial"/>
          <w:szCs w:val="20"/>
          <w:vertAlign w:val="superscript"/>
        </w:rPr>
        <w:fldChar w:fldCharType="end"/>
      </w:r>
      <w:r w:rsidR="004B6A11">
        <w:rPr>
          <w:rFonts w:eastAsia="Calibri" w:cs="Arial"/>
          <w:szCs w:val="20"/>
          <w:vertAlign w:val="superscript"/>
        </w:rPr>
        <w:t xml:space="preserve"> </w:t>
      </w:r>
    </w:p>
    <w:p w14:paraId="6F8AF747" w14:textId="11F978A1" w:rsidR="00C07BBE" w:rsidRPr="00C07BBE" w:rsidRDefault="00C07BBE" w:rsidP="00C07BBE">
      <w:pPr>
        <w:spacing w:before="0" w:after="160" w:line="259" w:lineRule="auto"/>
        <w:rPr>
          <w:rFonts w:eastAsia="Calibri" w:cs="Arial"/>
          <w:szCs w:val="20"/>
        </w:rPr>
      </w:pPr>
      <w:r w:rsidRPr="00C07BBE">
        <w:rPr>
          <w:rFonts w:eastAsia="Calibri" w:cs="Arial"/>
          <w:szCs w:val="20"/>
        </w:rPr>
        <w:t xml:space="preserve">In 2015, representatives from more than 30 European countries met at the Regional Meeting on Medical Physics in Europe to discuss the </w:t>
      </w:r>
      <w:r w:rsidR="00D840FA" w:rsidRPr="00C07BBE">
        <w:rPr>
          <w:rFonts w:eastAsia="Calibri" w:cs="Arial"/>
          <w:szCs w:val="20"/>
        </w:rPr>
        <w:t>status</w:t>
      </w:r>
      <w:r w:rsidRPr="00C07BBE">
        <w:rPr>
          <w:rFonts w:eastAsia="Calibri" w:cs="Arial"/>
          <w:szCs w:val="20"/>
        </w:rPr>
        <w:t xml:space="preserve"> and future perspectives of </w:t>
      </w:r>
      <w:r w:rsidR="00CE560A">
        <w:rPr>
          <w:rFonts w:eastAsia="Calibri" w:cs="Arial"/>
          <w:szCs w:val="20"/>
        </w:rPr>
        <w:t>the</w:t>
      </w:r>
      <w:r w:rsidRPr="00C07BBE">
        <w:rPr>
          <w:rFonts w:eastAsia="Calibri" w:cs="Arial"/>
          <w:szCs w:val="20"/>
        </w:rPr>
        <w:t xml:space="preserve"> medical physic</w:t>
      </w:r>
      <w:r w:rsidR="00CE560A">
        <w:rPr>
          <w:rFonts w:eastAsia="Calibri" w:cs="Arial"/>
          <w:szCs w:val="20"/>
        </w:rPr>
        <w:t>s workforce</w:t>
      </w:r>
      <w:r w:rsidRPr="00C07BBE">
        <w:rPr>
          <w:rFonts w:eastAsia="Calibri" w:cs="Arial"/>
          <w:szCs w:val="20"/>
        </w:rPr>
        <w:t xml:space="preserve"> in Europe.</w:t>
      </w:r>
      <w:bookmarkStart w:id="261" w:name="_Ref174458701"/>
      <w:r w:rsidR="001D1A3C">
        <w:rPr>
          <w:rFonts w:ascii="ZWAdobeF" w:eastAsia="Calibri" w:hAnsi="ZWAdobeF" w:cs="ZWAdobeF"/>
          <w:sz w:val="2"/>
          <w:szCs w:val="2"/>
        </w:rPr>
        <w:t>63F</w:t>
      </w:r>
      <w:r w:rsidR="005F7EBC">
        <w:rPr>
          <w:rFonts w:ascii="ZWAdobeF" w:eastAsia="Calibri" w:hAnsi="ZWAdobeF" w:cs="ZWAdobeF"/>
          <w:sz w:val="2"/>
          <w:szCs w:val="2"/>
        </w:rPr>
        <w:t>76F</w:t>
      </w:r>
      <w:r w:rsidR="00DA7068">
        <w:rPr>
          <w:rStyle w:val="FootnoteReference"/>
          <w:rFonts w:eastAsia="Calibri" w:cs="Arial"/>
          <w:szCs w:val="20"/>
        </w:rPr>
        <w:footnoteReference w:id="78"/>
      </w:r>
      <w:bookmarkEnd w:id="261"/>
      <w:r w:rsidRPr="00C07BBE">
        <w:rPr>
          <w:rFonts w:eastAsia="Calibri" w:cs="Arial"/>
          <w:szCs w:val="20"/>
        </w:rPr>
        <w:t xml:space="preserve"> The purpose of the Meeting was to determine ways to address a lack of harmonisation and full recognition of the medical physics profession and a shortage of well-educated and clinical</w:t>
      </w:r>
      <w:r w:rsidR="002D3592">
        <w:rPr>
          <w:rFonts w:eastAsia="Calibri" w:cs="Arial"/>
          <w:szCs w:val="20"/>
        </w:rPr>
        <w:t>ly</w:t>
      </w:r>
      <w:r w:rsidRPr="00C07BBE">
        <w:rPr>
          <w:rFonts w:eastAsia="Calibri" w:cs="Arial"/>
          <w:szCs w:val="20"/>
        </w:rPr>
        <w:t xml:space="preserve"> trained medical physicists. The outcome of the meeting was recommended approaches for Member States of the European Region to strengthen the medical </w:t>
      </w:r>
      <w:r w:rsidR="005F230F">
        <w:rPr>
          <w:rFonts w:eastAsia="Calibri" w:cs="Arial"/>
          <w:szCs w:val="20"/>
        </w:rPr>
        <w:t>physics</w:t>
      </w:r>
      <w:r w:rsidRPr="00C07BBE">
        <w:rPr>
          <w:rFonts w:eastAsia="Calibri" w:cs="Arial"/>
          <w:szCs w:val="20"/>
        </w:rPr>
        <w:t xml:space="preserve"> workforce, including:</w:t>
      </w:r>
    </w:p>
    <w:p w14:paraId="0DFC4212" w14:textId="77777777" w:rsidR="00DA7068" w:rsidRDefault="00C07BBE" w:rsidP="00584EC6">
      <w:pPr>
        <w:pStyle w:val="ListNumber"/>
        <w:numPr>
          <w:ilvl w:val="0"/>
          <w:numId w:val="76"/>
        </w:numPr>
      </w:pPr>
      <w:r w:rsidRPr="00896985">
        <w:rPr>
          <w:b/>
          <w:bCs/>
        </w:rPr>
        <w:t xml:space="preserve">Recognise medical physics as an independent health profession: </w:t>
      </w:r>
      <w:r w:rsidRPr="00DA7068">
        <w:t>Recognise medical physics as an independent profession in health care with radiation protection responsibilities.</w:t>
      </w:r>
    </w:p>
    <w:p w14:paraId="272C0B78" w14:textId="403D2419" w:rsidR="00DA7068" w:rsidRDefault="00C07BBE" w:rsidP="00896985">
      <w:pPr>
        <w:pStyle w:val="ListNumber"/>
      </w:pPr>
      <w:r w:rsidRPr="00DA7068">
        <w:rPr>
          <w:b/>
          <w:bCs/>
        </w:rPr>
        <w:t xml:space="preserve">Define roles and responsibilities of medical physicists: </w:t>
      </w:r>
      <w:r w:rsidRPr="00DA7068">
        <w:t xml:space="preserve">Ensure that medical physics aspects of therapeutic and diagnostic procedures, including patient and equipment related tasks and activities, are performed by </w:t>
      </w:r>
      <w:r w:rsidR="009B2DC7">
        <w:t>CQMPs</w:t>
      </w:r>
      <w:r w:rsidRPr="00DA7068">
        <w:t xml:space="preserve"> or under their supervision.</w:t>
      </w:r>
    </w:p>
    <w:p w14:paraId="07B5CAB6" w14:textId="57633718" w:rsidR="00DA7068" w:rsidRDefault="00C07BBE" w:rsidP="00584EC6">
      <w:pPr>
        <w:pStyle w:val="ListNumber"/>
        <w:numPr>
          <w:ilvl w:val="0"/>
          <w:numId w:val="77"/>
        </w:numPr>
      </w:pPr>
      <w:r w:rsidRPr="00896985">
        <w:rPr>
          <w:b/>
          <w:bCs/>
        </w:rPr>
        <w:t xml:space="preserve">Establish the appropriate qualification framework: </w:t>
      </w:r>
      <w:r w:rsidRPr="00DA7068">
        <w:t xml:space="preserve">Establish the appropriate qualification framework for </w:t>
      </w:r>
      <w:r w:rsidRPr="009B2DC7">
        <w:t>CQMPs</w:t>
      </w:r>
      <w:r w:rsidRPr="00DA7068">
        <w:t xml:space="preserve">, including education, specialised clinical training, certification, registration and </w:t>
      </w:r>
      <w:r w:rsidR="004C504A">
        <w:t>CPD</w:t>
      </w:r>
      <w:r w:rsidRPr="00DA7068">
        <w:t xml:space="preserve"> in the specialisations of medical physics.</w:t>
      </w:r>
    </w:p>
    <w:p w14:paraId="4B70B038" w14:textId="77777777" w:rsidR="00DA7068" w:rsidRDefault="00C07BBE" w:rsidP="00896985">
      <w:pPr>
        <w:pStyle w:val="ListNumber"/>
      </w:pPr>
      <w:r w:rsidRPr="00DA7068">
        <w:rPr>
          <w:b/>
          <w:bCs/>
        </w:rPr>
        <w:t xml:space="preserve">Improve staffing levels: </w:t>
      </w:r>
      <w:r w:rsidRPr="00DA7068">
        <w:t>Follow and fulfil international recommendations regarding the staffing levels in the field of medical physics.</w:t>
      </w:r>
    </w:p>
    <w:p w14:paraId="5BCFFEC5" w14:textId="77777777" w:rsidR="00DA7068" w:rsidRDefault="00C07BBE" w:rsidP="00896985">
      <w:pPr>
        <w:pStyle w:val="ListNumber"/>
      </w:pPr>
      <w:r w:rsidRPr="00DA7068">
        <w:rPr>
          <w:b/>
          <w:bCs/>
        </w:rPr>
        <w:t xml:space="preserve">Establish independent medical physics departments: </w:t>
      </w:r>
      <w:r w:rsidRPr="00DA7068">
        <w:t>Establish mechanisms for medical physics services integration in all centres practicing radiation medicine, and establish, where appropriate, independent medical physics departments in which accredited clinical training can take place.</w:t>
      </w:r>
    </w:p>
    <w:p w14:paraId="0A21BD62" w14:textId="77777777" w:rsidR="00DA7068" w:rsidRDefault="00C07BBE" w:rsidP="00896985">
      <w:pPr>
        <w:pStyle w:val="ListNumber"/>
      </w:pPr>
      <w:r w:rsidRPr="00DA7068">
        <w:rPr>
          <w:b/>
          <w:bCs/>
        </w:rPr>
        <w:t xml:space="preserve">Involve medical physicists in hospital governance boards: </w:t>
      </w:r>
      <w:r w:rsidRPr="00DA7068">
        <w:t>Promote involvement of CQMPs in hospital governance boards and relevant national health committees.</w:t>
      </w:r>
    </w:p>
    <w:p w14:paraId="063DBBE5" w14:textId="5DA47B79" w:rsidR="00DA7068" w:rsidRPr="00DA7068" w:rsidRDefault="00C07BBE" w:rsidP="00896985">
      <w:pPr>
        <w:pStyle w:val="ListNumber"/>
      </w:pPr>
      <w:r w:rsidRPr="00DA7068">
        <w:rPr>
          <w:b/>
          <w:bCs/>
        </w:rPr>
        <w:t xml:space="preserve">Establish legislative and regulative requirements: </w:t>
      </w:r>
      <w:r w:rsidRPr="00DA7068">
        <w:t>Establish and enforce the legislative and regulatory requirements related to radiation safety in medical imaging and therapy where medical physics is concerned, in accordance with the international and, where applicable, European basic safety standards.</w:t>
      </w:r>
    </w:p>
    <w:p w14:paraId="3DD4C1C6" w14:textId="7A5718BA" w:rsidR="0048769E" w:rsidRDefault="0048769E" w:rsidP="008A2694">
      <w:pPr>
        <w:spacing w:before="0" w:after="160" w:line="259" w:lineRule="auto"/>
        <w:rPr>
          <w:rFonts w:eastAsia="Calibri" w:cs="Arial"/>
          <w:szCs w:val="20"/>
        </w:rPr>
      </w:pPr>
      <w:r>
        <w:rPr>
          <w:rFonts w:eastAsia="Calibri" w:cs="Arial"/>
          <w:szCs w:val="20"/>
        </w:rPr>
        <w:t>In Australia</w:t>
      </w:r>
      <w:r w:rsidR="00752B11">
        <w:rPr>
          <w:rFonts w:eastAsia="Calibri" w:cs="Arial"/>
          <w:szCs w:val="20"/>
        </w:rPr>
        <w:t xml:space="preserve"> and New Zealand</w:t>
      </w:r>
      <w:r>
        <w:rPr>
          <w:rFonts w:eastAsia="Calibri" w:cs="Arial"/>
          <w:szCs w:val="20"/>
        </w:rPr>
        <w:t xml:space="preserve">, </w:t>
      </w:r>
      <w:r w:rsidR="00543A50">
        <w:rPr>
          <w:rFonts w:eastAsia="Calibri" w:cs="Arial"/>
          <w:szCs w:val="20"/>
        </w:rPr>
        <w:t>‘</w:t>
      </w:r>
      <w:r>
        <w:rPr>
          <w:rFonts w:eastAsia="Calibri" w:cs="Arial"/>
          <w:szCs w:val="20"/>
        </w:rPr>
        <w:t xml:space="preserve">Medical </w:t>
      </w:r>
      <w:r w:rsidR="009A7588">
        <w:rPr>
          <w:rFonts w:eastAsia="Calibri" w:cs="Arial"/>
          <w:szCs w:val="20"/>
        </w:rPr>
        <w:t>Physicist</w:t>
      </w:r>
      <w:r w:rsidR="00543A50">
        <w:rPr>
          <w:rFonts w:eastAsia="Calibri" w:cs="Arial"/>
          <w:szCs w:val="20"/>
        </w:rPr>
        <w:t>’</w:t>
      </w:r>
      <w:r>
        <w:rPr>
          <w:rFonts w:eastAsia="Calibri" w:cs="Arial"/>
          <w:szCs w:val="20"/>
        </w:rPr>
        <w:t xml:space="preserve"> is not a protected title </w:t>
      </w:r>
      <w:r w:rsidR="00AA077D">
        <w:rPr>
          <w:rFonts w:eastAsia="Calibri" w:cs="Arial"/>
          <w:szCs w:val="20"/>
        </w:rPr>
        <w:t xml:space="preserve">under the </w:t>
      </w:r>
      <w:r w:rsidR="00A2767C">
        <w:rPr>
          <w:rFonts w:eastAsia="Calibri" w:cs="Arial"/>
          <w:szCs w:val="20"/>
        </w:rPr>
        <w:t>NRAS</w:t>
      </w:r>
      <w:r w:rsidR="00752B11">
        <w:rPr>
          <w:rFonts w:eastAsia="Calibri" w:cs="Arial"/>
          <w:szCs w:val="20"/>
        </w:rPr>
        <w:t xml:space="preserve"> (Australian legislation) </w:t>
      </w:r>
      <w:r w:rsidR="004C7F8D">
        <w:rPr>
          <w:rFonts w:eastAsia="Calibri" w:cs="Arial"/>
          <w:szCs w:val="20"/>
        </w:rPr>
        <w:t xml:space="preserve">or </w:t>
      </w:r>
      <w:r w:rsidR="004C7F8D" w:rsidRPr="004C7F8D">
        <w:rPr>
          <w:rFonts w:eastAsia="Calibri" w:cs="Arial"/>
          <w:szCs w:val="20"/>
        </w:rPr>
        <w:t>Health Practitioners Competence Assurance Act 2003</w:t>
      </w:r>
      <w:r w:rsidR="004C7F8D">
        <w:rPr>
          <w:rFonts w:eastAsia="Calibri" w:cs="Arial"/>
          <w:szCs w:val="20"/>
        </w:rPr>
        <w:t xml:space="preserve"> (New Zealand legislation).</w:t>
      </w:r>
      <w:r w:rsidR="002A6FDC">
        <w:rPr>
          <w:rFonts w:eastAsia="Calibri" w:cs="Arial"/>
          <w:szCs w:val="20"/>
        </w:rPr>
        <w:t xml:space="preserve"> </w:t>
      </w:r>
      <w:r w:rsidR="00266E3C">
        <w:rPr>
          <w:rFonts w:eastAsia="Calibri" w:cs="Arial"/>
          <w:szCs w:val="20"/>
        </w:rPr>
        <w:t xml:space="preserve">However, </w:t>
      </w:r>
      <w:r w:rsidR="00543A50">
        <w:rPr>
          <w:rFonts w:eastAsia="Calibri" w:cs="Arial"/>
          <w:szCs w:val="20"/>
        </w:rPr>
        <w:t>m</w:t>
      </w:r>
      <w:r w:rsidR="00085A13">
        <w:rPr>
          <w:rFonts w:eastAsia="Calibri" w:cs="Arial"/>
          <w:szCs w:val="20"/>
        </w:rPr>
        <w:t xml:space="preserve">edical </w:t>
      </w:r>
      <w:r w:rsidR="00543A50">
        <w:rPr>
          <w:rFonts w:eastAsia="Calibri" w:cs="Arial"/>
          <w:szCs w:val="20"/>
        </w:rPr>
        <w:t>p</w:t>
      </w:r>
      <w:r w:rsidR="00085A13">
        <w:rPr>
          <w:rFonts w:eastAsia="Calibri" w:cs="Arial"/>
          <w:szCs w:val="20"/>
        </w:rPr>
        <w:t>hysicists have a</w:t>
      </w:r>
      <w:r w:rsidR="001022B4">
        <w:rPr>
          <w:rFonts w:eastAsia="Calibri" w:cs="Arial"/>
          <w:szCs w:val="20"/>
        </w:rPr>
        <w:t xml:space="preserve"> </w:t>
      </w:r>
      <w:r w:rsidR="00234798">
        <w:rPr>
          <w:rFonts w:eastAsia="Calibri" w:cs="Arial"/>
          <w:szCs w:val="20"/>
        </w:rPr>
        <w:t xml:space="preserve">national </w:t>
      </w:r>
      <w:r w:rsidR="001022B4">
        <w:rPr>
          <w:rFonts w:eastAsia="Calibri" w:cs="Arial"/>
          <w:szCs w:val="20"/>
        </w:rPr>
        <w:t xml:space="preserve">professional association </w:t>
      </w:r>
      <w:r w:rsidR="00085A13">
        <w:rPr>
          <w:rFonts w:eastAsia="Calibri" w:cs="Arial"/>
          <w:szCs w:val="20"/>
        </w:rPr>
        <w:t>in ACPSEM who are</w:t>
      </w:r>
      <w:r w:rsidR="007C2D7A">
        <w:rPr>
          <w:rFonts w:eastAsia="Calibri" w:cs="Arial"/>
          <w:szCs w:val="20"/>
        </w:rPr>
        <w:t xml:space="preserve"> responsible for </w:t>
      </w:r>
      <w:r w:rsidR="00A17E11">
        <w:rPr>
          <w:rFonts w:eastAsia="Calibri" w:cs="Arial"/>
          <w:szCs w:val="20"/>
        </w:rPr>
        <w:t xml:space="preserve">the development of defined roles and responsibilities </w:t>
      </w:r>
      <w:r w:rsidR="00CD06C7">
        <w:rPr>
          <w:rFonts w:eastAsia="Calibri" w:cs="Arial"/>
          <w:szCs w:val="20"/>
        </w:rPr>
        <w:t xml:space="preserve">and </w:t>
      </w:r>
      <w:r w:rsidR="007E5631">
        <w:rPr>
          <w:rFonts w:eastAsia="Calibri" w:cs="Arial"/>
          <w:szCs w:val="20"/>
        </w:rPr>
        <w:t>curriculum</w:t>
      </w:r>
      <w:r w:rsidR="00BB30AE">
        <w:rPr>
          <w:rFonts w:eastAsia="Calibri" w:cs="Arial"/>
          <w:szCs w:val="20"/>
        </w:rPr>
        <w:t xml:space="preserve"> frameworks</w:t>
      </w:r>
      <w:r w:rsidR="007D4866">
        <w:rPr>
          <w:rFonts w:eastAsia="Calibri" w:cs="Arial"/>
          <w:szCs w:val="20"/>
        </w:rPr>
        <w:t xml:space="preserve"> in both </w:t>
      </w:r>
      <w:r w:rsidR="00160639">
        <w:rPr>
          <w:rFonts w:eastAsia="Calibri" w:cs="Arial"/>
          <w:szCs w:val="20"/>
        </w:rPr>
        <w:t>jurisdictions</w:t>
      </w:r>
      <w:r w:rsidR="00BB30AE">
        <w:rPr>
          <w:rFonts w:eastAsia="Calibri" w:cs="Arial"/>
          <w:szCs w:val="20"/>
        </w:rPr>
        <w:t xml:space="preserve">. </w:t>
      </w:r>
    </w:p>
    <w:p w14:paraId="3364DA63" w14:textId="26FE22D6" w:rsidR="00B0215A" w:rsidRDefault="00C07BBE" w:rsidP="008A2694">
      <w:pPr>
        <w:spacing w:before="0" w:after="160" w:line="259" w:lineRule="auto"/>
        <w:rPr>
          <w:rFonts w:eastAsia="Calibri" w:cs="Arial"/>
          <w:szCs w:val="20"/>
          <w:vertAlign w:val="superscript"/>
        </w:rPr>
      </w:pPr>
      <w:r w:rsidRPr="00C07BBE">
        <w:rPr>
          <w:rFonts w:eastAsia="Calibri" w:cs="Arial"/>
          <w:szCs w:val="20"/>
        </w:rPr>
        <w:t xml:space="preserve">The above recommendations highlight the importance of </w:t>
      </w:r>
      <w:r w:rsidR="009B2DC7">
        <w:rPr>
          <w:rFonts w:eastAsia="Calibri" w:cs="Arial"/>
          <w:szCs w:val="20"/>
        </w:rPr>
        <w:t>CQMPs</w:t>
      </w:r>
      <w:r w:rsidRPr="00C07BBE">
        <w:rPr>
          <w:rFonts w:eastAsia="Calibri" w:cs="Arial"/>
          <w:szCs w:val="20"/>
        </w:rPr>
        <w:t xml:space="preserve"> and an appropriate qualification framework. The development of post-graduate educational and training programs is recognised internationally as critical to developing a </w:t>
      </w:r>
      <w:r w:rsidR="009B2DC7">
        <w:rPr>
          <w:rFonts w:eastAsia="Calibri" w:cs="Arial"/>
          <w:szCs w:val="20"/>
        </w:rPr>
        <w:t>CQMP</w:t>
      </w:r>
      <w:r w:rsidRPr="00C07BBE">
        <w:rPr>
          <w:rFonts w:eastAsia="Calibri" w:cs="Arial"/>
          <w:szCs w:val="20"/>
        </w:rPr>
        <w:t xml:space="preserve"> workforce, with important benefits for strengthening safety and quality in healthcare.</w:t>
      </w:r>
      <w:r w:rsidR="001D1A3C">
        <w:rPr>
          <w:rFonts w:ascii="ZWAdobeF" w:eastAsia="Calibri" w:hAnsi="ZWAdobeF" w:cs="ZWAdobeF"/>
          <w:sz w:val="2"/>
          <w:szCs w:val="2"/>
        </w:rPr>
        <w:t>64F</w:t>
      </w:r>
      <w:r w:rsidR="005F7EBC">
        <w:rPr>
          <w:rFonts w:ascii="ZWAdobeF" w:eastAsia="Calibri" w:hAnsi="ZWAdobeF" w:cs="ZWAdobeF"/>
          <w:sz w:val="2"/>
          <w:szCs w:val="2"/>
        </w:rPr>
        <w:t>77F</w:t>
      </w:r>
      <w:r w:rsidR="00A576A4" w:rsidRPr="00251FFF">
        <w:rPr>
          <w:vertAlign w:val="superscript"/>
        </w:rPr>
        <w:footnoteReference w:id="79"/>
      </w:r>
      <w:r w:rsidR="004355E9" w:rsidRPr="00532EC4">
        <w:rPr>
          <w:rFonts w:eastAsia="Calibri" w:cs="Arial"/>
          <w:szCs w:val="20"/>
          <w:vertAlign w:val="superscript"/>
        </w:rPr>
        <w:t xml:space="preserve">, </w:t>
      </w:r>
      <w:r w:rsidR="001D1A3C">
        <w:rPr>
          <w:rFonts w:ascii="ZWAdobeF" w:eastAsia="Calibri" w:hAnsi="ZWAdobeF" w:cs="ZWAdobeF"/>
          <w:sz w:val="2"/>
          <w:szCs w:val="2"/>
        </w:rPr>
        <w:t>65F</w:t>
      </w:r>
      <w:r w:rsidR="005F7EBC">
        <w:rPr>
          <w:rFonts w:ascii="ZWAdobeF" w:eastAsia="Calibri" w:hAnsi="ZWAdobeF" w:cs="ZWAdobeF"/>
          <w:sz w:val="2"/>
          <w:szCs w:val="2"/>
        </w:rPr>
        <w:t>78F</w:t>
      </w:r>
      <w:r w:rsidR="004355E9" w:rsidRPr="00251FFF">
        <w:rPr>
          <w:vertAlign w:val="superscript"/>
        </w:rPr>
        <w:footnoteReference w:id="80"/>
      </w:r>
      <w:r w:rsidR="008647A4">
        <w:rPr>
          <w:rFonts w:eastAsia="Calibri" w:cs="Arial"/>
          <w:szCs w:val="20"/>
          <w:vertAlign w:val="superscript"/>
        </w:rPr>
        <w:t xml:space="preserve">, </w:t>
      </w:r>
      <w:r w:rsidR="001D1A3C">
        <w:rPr>
          <w:rFonts w:ascii="ZWAdobeF" w:eastAsia="Calibri" w:hAnsi="ZWAdobeF" w:cs="ZWAdobeF"/>
          <w:sz w:val="2"/>
          <w:szCs w:val="2"/>
        </w:rPr>
        <w:t>66F</w:t>
      </w:r>
      <w:r w:rsidR="005F7EBC">
        <w:rPr>
          <w:rFonts w:ascii="ZWAdobeF" w:eastAsia="Calibri" w:hAnsi="ZWAdobeF" w:cs="ZWAdobeF"/>
          <w:sz w:val="2"/>
          <w:szCs w:val="2"/>
        </w:rPr>
        <w:t>79F</w:t>
      </w:r>
      <w:r w:rsidR="008647A4" w:rsidRPr="00251FFF">
        <w:rPr>
          <w:vertAlign w:val="superscript"/>
        </w:rPr>
        <w:footnoteReference w:id="81"/>
      </w:r>
      <w:r w:rsidR="008C66D2">
        <w:rPr>
          <w:rFonts w:eastAsia="Calibri" w:cs="Arial"/>
          <w:szCs w:val="20"/>
          <w:vertAlign w:val="superscript"/>
        </w:rPr>
        <w:t xml:space="preserve">, </w:t>
      </w:r>
      <w:bookmarkStart w:id="262" w:name="_Ref174629959"/>
      <w:r w:rsidR="001D1A3C">
        <w:rPr>
          <w:rFonts w:ascii="ZWAdobeF" w:eastAsia="Calibri" w:hAnsi="ZWAdobeF" w:cs="ZWAdobeF"/>
          <w:sz w:val="2"/>
          <w:szCs w:val="2"/>
        </w:rPr>
        <w:t>67F</w:t>
      </w:r>
      <w:r w:rsidR="005F7EBC">
        <w:rPr>
          <w:rFonts w:ascii="ZWAdobeF" w:eastAsia="Calibri" w:hAnsi="ZWAdobeF" w:cs="ZWAdobeF"/>
          <w:sz w:val="2"/>
          <w:szCs w:val="2"/>
        </w:rPr>
        <w:t>80F</w:t>
      </w:r>
      <w:r w:rsidR="004355E9" w:rsidRPr="00251FFF">
        <w:rPr>
          <w:vertAlign w:val="superscript"/>
        </w:rPr>
        <w:footnoteReference w:id="82"/>
      </w:r>
      <w:bookmarkEnd w:id="262"/>
      <w:r w:rsidRPr="00251FFF">
        <w:rPr>
          <w:rFonts w:eastAsia="Calibri" w:cs="Arial"/>
          <w:szCs w:val="20"/>
          <w:vertAlign w:val="superscript"/>
        </w:rPr>
        <w:t xml:space="preserve"> </w:t>
      </w:r>
    </w:p>
    <w:p w14:paraId="7FC149F5" w14:textId="27174A86" w:rsidR="006148A5" w:rsidRDefault="00C07BBE" w:rsidP="008136F7">
      <w:pPr>
        <w:spacing w:before="0" w:after="160" w:line="259" w:lineRule="auto"/>
        <w:rPr>
          <w:rFonts w:eastAsia="Calibri" w:cs="Arial"/>
          <w:szCs w:val="20"/>
          <w:vertAlign w:val="superscript"/>
        </w:rPr>
      </w:pPr>
      <w:r w:rsidRPr="00C07BBE">
        <w:rPr>
          <w:rFonts w:eastAsia="Calibri" w:cs="Arial"/>
          <w:szCs w:val="20"/>
        </w:rPr>
        <w:t>Failure to have sufficient supply of training programs can exacerbate workforce shortages and have severe consequences for patient care.</w:t>
      </w:r>
      <w:bookmarkStart w:id="263" w:name="_Ref174457362"/>
      <w:r w:rsidR="001D1A3C">
        <w:rPr>
          <w:rFonts w:ascii="ZWAdobeF" w:eastAsia="Calibri" w:hAnsi="ZWAdobeF" w:cs="ZWAdobeF"/>
          <w:sz w:val="2"/>
          <w:szCs w:val="2"/>
        </w:rPr>
        <w:t>68F</w:t>
      </w:r>
      <w:r w:rsidR="005F7EBC">
        <w:rPr>
          <w:rFonts w:ascii="ZWAdobeF" w:eastAsia="Calibri" w:hAnsi="ZWAdobeF" w:cs="ZWAdobeF"/>
          <w:sz w:val="2"/>
          <w:szCs w:val="2"/>
        </w:rPr>
        <w:t>81F</w:t>
      </w:r>
      <w:r w:rsidR="0001107C" w:rsidRPr="00251FFF">
        <w:rPr>
          <w:vertAlign w:val="superscript"/>
        </w:rPr>
        <w:footnoteReference w:id="83"/>
      </w:r>
      <w:bookmarkEnd w:id="263"/>
      <w:r w:rsidRPr="00251FFF">
        <w:rPr>
          <w:rFonts w:eastAsia="Calibri" w:cs="Arial"/>
          <w:szCs w:val="20"/>
          <w:vertAlign w:val="superscript"/>
        </w:rPr>
        <w:t xml:space="preserve"> </w:t>
      </w:r>
      <w:r w:rsidRPr="00C07BBE">
        <w:rPr>
          <w:rFonts w:eastAsia="Calibri" w:cs="Arial"/>
          <w:szCs w:val="20"/>
        </w:rPr>
        <w:t>It is important that investments in medical physicist training are supplemented by efforts to attract and retain young people in the field through the provision of competitive salaries, career development opportunities, and promoting the importance of medical physics in healthcare.</w:t>
      </w:r>
      <w:r w:rsidR="004D2D93" w:rsidRPr="004D2D93">
        <w:rPr>
          <w:rFonts w:eastAsia="Calibri" w:cs="Arial"/>
          <w:szCs w:val="20"/>
          <w:vertAlign w:val="superscript"/>
        </w:rPr>
        <w:fldChar w:fldCharType="begin"/>
      </w:r>
      <w:r w:rsidR="004D2D93" w:rsidRPr="004D2D93">
        <w:rPr>
          <w:rFonts w:eastAsia="Calibri" w:cs="Arial"/>
          <w:szCs w:val="20"/>
          <w:vertAlign w:val="superscript"/>
        </w:rPr>
        <w:instrText xml:space="preserve"> NOTEREF _Ref174457362 \h </w:instrText>
      </w:r>
      <w:r w:rsidR="004D2D93">
        <w:rPr>
          <w:rFonts w:eastAsia="Calibri" w:cs="Arial"/>
          <w:szCs w:val="20"/>
          <w:vertAlign w:val="superscript"/>
        </w:rPr>
        <w:instrText xml:space="preserve"> \* MERGEFORMAT </w:instrText>
      </w:r>
      <w:r w:rsidR="004D2D93" w:rsidRPr="004D2D93">
        <w:rPr>
          <w:rFonts w:eastAsia="Calibri" w:cs="Arial"/>
          <w:szCs w:val="20"/>
          <w:vertAlign w:val="superscript"/>
        </w:rPr>
      </w:r>
      <w:r w:rsidR="004D2D93" w:rsidRPr="004D2D93">
        <w:rPr>
          <w:rFonts w:eastAsia="Calibri" w:cs="Arial"/>
          <w:szCs w:val="20"/>
          <w:vertAlign w:val="superscript"/>
        </w:rPr>
        <w:fldChar w:fldCharType="separate"/>
      </w:r>
      <w:r w:rsidR="005F7EBC">
        <w:rPr>
          <w:rFonts w:eastAsia="Calibri" w:cs="Arial"/>
          <w:szCs w:val="20"/>
          <w:vertAlign w:val="superscript"/>
        </w:rPr>
        <w:t>82</w:t>
      </w:r>
      <w:r w:rsidR="004D2D93" w:rsidRPr="004D2D93">
        <w:rPr>
          <w:rFonts w:eastAsia="Calibri" w:cs="Arial"/>
          <w:szCs w:val="20"/>
          <w:vertAlign w:val="superscript"/>
        </w:rPr>
        <w:fldChar w:fldCharType="end"/>
      </w:r>
    </w:p>
    <w:p w14:paraId="548E3F3E" w14:textId="09F62773" w:rsidR="006148A5" w:rsidRDefault="00816518" w:rsidP="006148A5">
      <w:pPr>
        <w:shd w:val="clear" w:color="auto" w:fill="97014E" w:themeFill="accent6" w:themeFillShade="80"/>
        <w:spacing w:before="0" w:after="160" w:line="259" w:lineRule="auto"/>
        <w:rPr>
          <w:rFonts w:eastAsia="Calibri" w:cs="Arial"/>
          <w:b/>
          <w:bCs/>
          <w:szCs w:val="20"/>
        </w:rPr>
      </w:pPr>
      <w:r>
        <w:rPr>
          <w:rFonts w:cs="Arial"/>
          <w:b/>
          <w:bCs/>
          <w:noProof/>
        </w:rPr>
        <w:drawing>
          <wp:inline distT="0" distB="0" distL="0" distR="0" wp14:anchorId="7CB670DF" wp14:editId="7E151956">
            <wp:extent cx="283464" cy="283464"/>
            <wp:effectExtent l="0" t="0" r="0" b="0"/>
            <wp:docPr id="27601935"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05660" name="Graphic 40">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92979" cy="292979"/>
                    </a:xfrm>
                    <a:prstGeom prst="rect">
                      <a:avLst/>
                    </a:prstGeom>
                  </pic:spPr>
                </pic:pic>
              </a:graphicData>
            </a:graphic>
          </wp:inline>
        </w:drawing>
      </w:r>
      <w:r>
        <w:rPr>
          <w:rFonts w:cs="Arial"/>
          <w:b/>
          <w:bCs/>
        </w:rPr>
        <w:t xml:space="preserve"> </w:t>
      </w:r>
      <w:r w:rsidR="006148A5">
        <w:rPr>
          <w:rFonts w:cs="Arial"/>
          <w:b/>
          <w:bCs/>
        </w:rPr>
        <w:t xml:space="preserve">Case </w:t>
      </w:r>
      <w:proofErr w:type="gramStart"/>
      <w:r w:rsidR="006148A5">
        <w:rPr>
          <w:rFonts w:cs="Arial"/>
          <w:b/>
          <w:bCs/>
        </w:rPr>
        <w:t xml:space="preserve">Study  </w:t>
      </w:r>
      <w:r w:rsidR="006148A5">
        <w:rPr>
          <w:rFonts w:eastAsia="Calibri" w:cs="Arial"/>
          <w:b/>
          <w:bCs/>
          <w:szCs w:val="20"/>
        </w:rPr>
        <w:t>The</w:t>
      </w:r>
      <w:proofErr w:type="gramEnd"/>
      <w:r w:rsidR="006148A5">
        <w:rPr>
          <w:rFonts w:eastAsia="Calibri" w:cs="Arial"/>
          <w:b/>
          <w:bCs/>
          <w:szCs w:val="20"/>
        </w:rPr>
        <w:t xml:space="preserve"> prevalence of medical physics training programs in Europe</w:t>
      </w:r>
    </w:p>
    <w:p w14:paraId="2D798160" w14:textId="7364272A" w:rsidR="006148A5" w:rsidRPr="002D15F7" w:rsidRDefault="006148A5" w:rsidP="006148A5">
      <w:pPr>
        <w:shd w:val="clear" w:color="auto" w:fill="FED6EB" w:themeFill="accent6" w:themeFillTint="33"/>
        <w:spacing w:before="0" w:after="160" w:line="259" w:lineRule="auto"/>
        <w:rPr>
          <w:rFonts w:eastAsia="Calibri" w:cs="Arial"/>
          <w:szCs w:val="20"/>
        </w:rPr>
      </w:pPr>
      <w:r>
        <w:rPr>
          <w:rFonts w:eastAsia="Calibri" w:cs="Arial"/>
          <w:szCs w:val="20"/>
        </w:rPr>
        <w:t xml:space="preserve">In 2015, </w:t>
      </w:r>
      <w:r w:rsidRPr="008A2694">
        <w:rPr>
          <w:rFonts w:eastAsia="Calibri" w:cs="Arial"/>
          <w:szCs w:val="20"/>
        </w:rPr>
        <w:t xml:space="preserve">the survey on medical physics status in Europe conducted by the </w:t>
      </w:r>
      <w:r>
        <w:rPr>
          <w:rFonts w:eastAsia="Calibri" w:cs="Arial"/>
          <w:szCs w:val="20"/>
        </w:rPr>
        <w:t>International Atomic Energy Agency (</w:t>
      </w:r>
      <w:r w:rsidRPr="008A2694">
        <w:rPr>
          <w:rFonts w:eastAsia="Calibri" w:cs="Arial"/>
          <w:szCs w:val="20"/>
        </w:rPr>
        <w:t>IAEA</w:t>
      </w:r>
      <w:r>
        <w:rPr>
          <w:rFonts w:eastAsia="Calibri" w:cs="Arial"/>
          <w:szCs w:val="20"/>
        </w:rPr>
        <w:t>)</w:t>
      </w:r>
      <w:r w:rsidRPr="008A2694">
        <w:rPr>
          <w:rFonts w:eastAsia="Calibri" w:cs="Arial"/>
          <w:szCs w:val="20"/>
        </w:rPr>
        <w:t xml:space="preserve"> and European Federation of Organizations for Medical Physics</w:t>
      </w:r>
      <w:r>
        <w:rPr>
          <w:rFonts w:eastAsia="Calibri" w:cs="Arial"/>
          <w:szCs w:val="20"/>
        </w:rPr>
        <w:t xml:space="preserve"> (EFOMP) found that almost 70% of medical physicists cited lack of structured clinical training as an important issue.</w:t>
      </w:r>
      <w:r>
        <w:rPr>
          <w:rFonts w:ascii="ZWAdobeF" w:eastAsia="Calibri" w:hAnsi="ZWAdobeF" w:cs="ZWAdobeF"/>
          <w:sz w:val="2"/>
          <w:szCs w:val="2"/>
        </w:rPr>
        <w:t>69F82F</w:t>
      </w:r>
      <w:r w:rsidRPr="00251FFF">
        <w:rPr>
          <w:vertAlign w:val="superscript"/>
        </w:rPr>
        <w:footnoteReference w:id="84"/>
      </w:r>
      <w:r>
        <w:rPr>
          <w:rFonts w:eastAsia="Calibri" w:cs="Arial"/>
          <w:szCs w:val="20"/>
        </w:rPr>
        <w:t xml:space="preserve"> A 2019 survey of medical physics national societies across Europe found that over 75% of surveyed countries had a radiotherapy medical physics expert national training scheme.</w:t>
      </w:r>
      <w:r>
        <w:rPr>
          <w:rFonts w:ascii="ZWAdobeF" w:eastAsia="Calibri" w:hAnsi="ZWAdobeF" w:cs="ZWAdobeF"/>
          <w:sz w:val="2"/>
          <w:szCs w:val="2"/>
        </w:rPr>
        <w:t>70F83F</w:t>
      </w:r>
      <w:r>
        <w:rPr>
          <w:rStyle w:val="FootnoteReference"/>
          <w:rFonts w:eastAsia="Calibri" w:cs="Arial"/>
          <w:szCs w:val="20"/>
        </w:rPr>
        <w:footnoteReference w:id="85"/>
      </w:r>
      <w:r>
        <w:rPr>
          <w:rFonts w:eastAsia="Calibri" w:cs="Arial"/>
          <w:szCs w:val="20"/>
        </w:rPr>
        <w:t xml:space="preserve"> The survey also found that the training period varied from 1 to 5 years and residents were paid in 17 of 20 countries.</w:t>
      </w:r>
    </w:p>
    <w:p w14:paraId="6B72DBAD" w14:textId="417C32BE" w:rsidR="00580F0D" w:rsidRDefault="002F50E4" w:rsidP="00273E1A">
      <w:pPr>
        <w:pStyle w:val="Heading2"/>
      </w:pPr>
      <w:bookmarkStart w:id="264" w:name="_Toc178240516"/>
      <w:bookmarkStart w:id="265" w:name="_Toc178240712"/>
      <w:bookmarkStart w:id="266" w:name="_Toc178240778"/>
      <w:bookmarkStart w:id="267" w:name="_Toc178240812"/>
      <w:bookmarkStart w:id="268" w:name="_Toc178260491"/>
      <w:bookmarkStart w:id="269" w:name="_Toc184396580"/>
      <w:bookmarkStart w:id="270" w:name="_Toc216711614"/>
      <w:bookmarkStart w:id="271" w:name="_Toc216792008"/>
      <w:r>
        <w:t>Education and training requirements of medical physicists</w:t>
      </w:r>
      <w:bookmarkEnd w:id="264"/>
      <w:bookmarkEnd w:id="265"/>
      <w:bookmarkEnd w:id="266"/>
      <w:bookmarkEnd w:id="267"/>
      <w:bookmarkEnd w:id="268"/>
      <w:bookmarkEnd w:id="269"/>
      <w:bookmarkEnd w:id="270"/>
      <w:bookmarkEnd w:id="271"/>
    </w:p>
    <w:p w14:paraId="7E1AF915" w14:textId="2763E362" w:rsidR="000834A8" w:rsidRDefault="000834A8" w:rsidP="000834A8">
      <w:pPr>
        <w:pStyle w:val="BodyText"/>
      </w:pPr>
      <w:r>
        <w:t xml:space="preserve">The pathways to becoming a </w:t>
      </w:r>
      <w:r w:rsidR="0063365A">
        <w:t>CQMP</w:t>
      </w:r>
      <w:r>
        <w:t xml:space="preserve"> are well defined and standardised, with education, training and certification structures defined by the IAEA, the International Organisation of Medical Physics (IOMP), and the International Medical Physics Certification Board. The IAEA recommends that the standard route to become a </w:t>
      </w:r>
      <w:r w:rsidR="009B2DC7">
        <w:t>CQMP</w:t>
      </w:r>
      <w:r>
        <w:t xml:space="preserve"> involves an appropriate undergraduate university degree in physics, engineering or equivalent, followed by:</w:t>
      </w:r>
      <w:bookmarkStart w:id="272" w:name="_Ref174457920"/>
      <w:r w:rsidR="001D1A3C">
        <w:rPr>
          <w:rFonts w:ascii="ZWAdobeF" w:hAnsi="ZWAdobeF" w:cs="ZWAdobeF"/>
          <w:sz w:val="2"/>
          <w:szCs w:val="2"/>
        </w:rPr>
        <w:t>71F</w:t>
      </w:r>
      <w:r w:rsidR="005F7EBC">
        <w:rPr>
          <w:rFonts w:ascii="ZWAdobeF" w:hAnsi="ZWAdobeF" w:cs="ZWAdobeF"/>
          <w:sz w:val="2"/>
          <w:szCs w:val="2"/>
        </w:rPr>
        <w:t>84F</w:t>
      </w:r>
      <w:r w:rsidR="00BD54A9" w:rsidRPr="0097757B">
        <w:rPr>
          <w:rStyle w:val="FootnoteReference"/>
        </w:rPr>
        <w:footnoteReference w:id="86"/>
      </w:r>
      <w:bookmarkEnd w:id="272"/>
    </w:p>
    <w:p w14:paraId="6EDB880E" w14:textId="77777777" w:rsidR="000834A8" w:rsidRDefault="000834A8" w:rsidP="00584EC6">
      <w:pPr>
        <w:pStyle w:val="BodyText"/>
        <w:numPr>
          <w:ilvl w:val="0"/>
          <w:numId w:val="35"/>
        </w:numPr>
      </w:pPr>
      <w:r>
        <w:t>A postgraduate degree in medical physics, which could be an MSc or equivalent degree of 1-3 years; and</w:t>
      </w:r>
    </w:p>
    <w:p w14:paraId="734A468F" w14:textId="021C0EC9" w:rsidR="000834A8" w:rsidRDefault="000834A8" w:rsidP="00584EC6">
      <w:pPr>
        <w:pStyle w:val="BodyText"/>
        <w:numPr>
          <w:ilvl w:val="0"/>
          <w:numId w:val="35"/>
        </w:numPr>
      </w:pPr>
      <w:r>
        <w:t>Clinical training for a period of not less than two years in the form of a structured residency programme, supervised by a senior CQMP.</w:t>
      </w:r>
      <w:r w:rsidR="000E3555">
        <w:t xml:space="preserve"> </w:t>
      </w:r>
    </w:p>
    <w:p w14:paraId="2899DC49" w14:textId="4428A530" w:rsidR="000834A8" w:rsidRDefault="000834A8" w:rsidP="000834A8">
      <w:pPr>
        <w:pStyle w:val="BodyText"/>
      </w:pPr>
      <w:r>
        <w:t>Overall, the IAEA advises that the academic education and clinical training should extend over a minimum period of typically seven years.</w:t>
      </w:r>
      <w:r w:rsidR="00FE3FB8" w:rsidRPr="00FE3FB8">
        <w:rPr>
          <w:vertAlign w:val="superscript"/>
        </w:rPr>
        <w:fldChar w:fldCharType="begin"/>
      </w:r>
      <w:r w:rsidR="00FE3FB8" w:rsidRPr="00FE3FB8">
        <w:rPr>
          <w:vertAlign w:val="superscript"/>
        </w:rPr>
        <w:instrText xml:space="preserve"> NOTEREF _Ref174457920 \h  \* MERGEFORMAT </w:instrText>
      </w:r>
      <w:r w:rsidR="00FE3FB8" w:rsidRPr="00FE3FB8">
        <w:rPr>
          <w:vertAlign w:val="superscript"/>
        </w:rPr>
      </w:r>
      <w:r w:rsidR="00FE3FB8" w:rsidRPr="00FE3FB8">
        <w:rPr>
          <w:vertAlign w:val="superscript"/>
        </w:rPr>
        <w:fldChar w:fldCharType="separate"/>
      </w:r>
      <w:r w:rsidR="005F7EBC">
        <w:rPr>
          <w:vertAlign w:val="superscript"/>
        </w:rPr>
        <w:t>85</w:t>
      </w:r>
      <w:r w:rsidR="00FE3FB8" w:rsidRPr="00FE3FB8">
        <w:rPr>
          <w:vertAlign w:val="superscript"/>
        </w:rPr>
        <w:fldChar w:fldCharType="end"/>
      </w:r>
      <w:r>
        <w:t xml:space="preserve"> An overview of elements of the process to becoming a certified medical physicist according to international best practice is outlined below.</w:t>
      </w:r>
    </w:p>
    <w:p w14:paraId="31A49EC2" w14:textId="3519A053" w:rsidR="000834A8" w:rsidRPr="00264821" w:rsidRDefault="00264821" w:rsidP="00264821">
      <w:pPr>
        <w:pStyle w:val="Caption"/>
        <w:rPr>
          <w:szCs w:val="24"/>
        </w:rPr>
      </w:pPr>
      <w:r w:rsidRPr="00264821">
        <w:rPr>
          <w:szCs w:val="24"/>
        </w:rPr>
        <w:t xml:space="preserve">Figure </w:t>
      </w:r>
      <w:r w:rsidRPr="00264821">
        <w:rPr>
          <w:szCs w:val="24"/>
        </w:rPr>
        <w:fldChar w:fldCharType="begin"/>
      </w:r>
      <w:r w:rsidRPr="00264821">
        <w:rPr>
          <w:szCs w:val="24"/>
        </w:rPr>
        <w:instrText xml:space="preserve"> SEQ Figure \* ARABIC </w:instrText>
      </w:r>
      <w:r w:rsidRPr="00264821">
        <w:rPr>
          <w:szCs w:val="24"/>
        </w:rPr>
        <w:fldChar w:fldCharType="separate"/>
      </w:r>
      <w:r w:rsidR="005F7EBC">
        <w:rPr>
          <w:noProof/>
          <w:szCs w:val="24"/>
        </w:rPr>
        <w:t>31</w:t>
      </w:r>
      <w:r w:rsidRPr="00264821">
        <w:rPr>
          <w:szCs w:val="24"/>
        </w:rPr>
        <w:fldChar w:fldCharType="end"/>
      </w:r>
      <w:r>
        <w:rPr>
          <w:szCs w:val="24"/>
        </w:rPr>
        <w:t>:</w:t>
      </w:r>
      <w:r w:rsidRPr="00264821">
        <w:rPr>
          <w:szCs w:val="24"/>
        </w:rPr>
        <w:t xml:space="preserve"> </w:t>
      </w:r>
      <w:r w:rsidR="000834A8" w:rsidRPr="00264821">
        <w:rPr>
          <w:szCs w:val="24"/>
        </w:rPr>
        <w:t xml:space="preserve">Recommended minimum requirements for the academic education and clinical training of a </w:t>
      </w:r>
      <w:r w:rsidR="009B2DC7">
        <w:rPr>
          <w:szCs w:val="24"/>
        </w:rPr>
        <w:t>CQMP</w:t>
      </w:r>
      <w:r w:rsidR="000834A8" w:rsidRPr="00264821">
        <w:rPr>
          <w:szCs w:val="24"/>
        </w:rPr>
        <w:t xml:space="preserve"> according to the IAEA</w:t>
      </w:r>
      <w:r w:rsidR="00B11504">
        <w:rPr>
          <w:szCs w:val="24"/>
        </w:rPr>
        <w:t>.</w:t>
      </w:r>
      <w:r w:rsidR="00B11504" w:rsidRPr="00B11504">
        <w:rPr>
          <w:szCs w:val="24"/>
          <w:vertAlign w:val="superscript"/>
        </w:rPr>
        <w:fldChar w:fldCharType="begin"/>
      </w:r>
      <w:r w:rsidR="00B11504" w:rsidRPr="00B11504">
        <w:rPr>
          <w:szCs w:val="24"/>
          <w:vertAlign w:val="superscript"/>
        </w:rPr>
        <w:instrText xml:space="preserve"> NOTEREF _Ref174457920 \h </w:instrText>
      </w:r>
      <w:r w:rsidR="00B11504">
        <w:rPr>
          <w:szCs w:val="24"/>
          <w:vertAlign w:val="superscript"/>
        </w:rPr>
        <w:instrText xml:space="preserve"> \* MERGEFORMAT </w:instrText>
      </w:r>
      <w:r w:rsidR="00B11504" w:rsidRPr="00B11504">
        <w:rPr>
          <w:szCs w:val="24"/>
          <w:vertAlign w:val="superscript"/>
        </w:rPr>
      </w:r>
      <w:r w:rsidR="00B11504" w:rsidRPr="00B11504">
        <w:rPr>
          <w:szCs w:val="24"/>
          <w:vertAlign w:val="superscript"/>
        </w:rPr>
        <w:fldChar w:fldCharType="separate"/>
      </w:r>
      <w:r w:rsidR="005F7EBC">
        <w:rPr>
          <w:szCs w:val="24"/>
          <w:vertAlign w:val="superscript"/>
        </w:rPr>
        <w:t>85</w:t>
      </w:r>
      <w:r w:rsidR="00B11504" w:rsidRPr="00B11504">
        <w:rPr>
          <w:szCs w:val="24"/>
          <w:vertAlign w:val="superscript"/>
        </w:rPr>
        <w:fldChar w:fldCharType="end"/>
      </w:r>
    </w:p>
    <w:p w14:paraId="136B41D6" w14:textId="7589F72B" w:rsidR="000834A8" w:rsidRDefault="007C1F54" w:rsidP="000203AB">
      <w:r w:rsidRPr="000203AB">
        <w:rPr>
          <w:noProof/>
        </w:rPr>
        <w:drawing>
          <wp:inline distT="0" distB="0" distL="0" distR="0" wp14:anchorId="3C3825DF" wp14:editId="3EE1A14D">
            <wp:extent cx="3915349" cy="4201064"/>
            <wp:effectExtent l="0" t="0" r="9525" b="0"/>
            <wp:docPr id="31" name="Picture 31" descr="Figure 31 is an infographic which shows the Recommended minimum requirements for the academic education and clinical training of a CQMP according to the I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31 is an infographic which shows the Recommended minimum requirements for the academic education and clinical training of a CQMP according to the IAE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5092" cy="4222248"/>
                    </a:xfrm>
                    <a:prstGeom prst="rect">
                      <a:avLst/>
                    </a:prstGeom>
                    <a:noFill/>
                  </pic:spPr>
                </pic:pic>
              </a:graphicData>
            </a:graphic>
          </wp:inline>
        </w:drawing>
      </w:r>
    </w:p>
    <w:p w14:paraId="7BF6FB79" w14:textId="5D9F73D4" w:rsidR="00A2761B" w:rsidRPr="008254BD" w:rsidRDefault="00A2761B" w:rsidP="000203AB">
      <w:pPr>
        <w:pStyle w:val="FootnoteText"/>
      </w:pPr>
      <w:r w:rsidRPr="008254BD">
        <w:t xml:space="preserve">Source: </w:t>
      </w:r>
      <w:r w:rsidR="001624F0">
        <w:t>Adapted from IAEA (2013).</w:t>
      </w:r>
    </w:p>
    <w:p w14:paraId="14C95B8D" w14:textId="58F1535E" w:rsidR="000834A8" w:rsidRDefault="000834A8" w:rsidP="007E2F94">
      <w:pPr>
        <w:pStyle w:val="Heading3"/>
      </w:pPr>
      <w:r>
        <w:t>Supervised clinical training</w:t>
      </w:r>
      <w:r w:rsidR="00834C65">
        <w:t xml:space="preserve"> (residency)</w:t>
      </w:r>
    </w:p>
    <w:p w14:paraId="0BC9FB87" w14:textId="307706F2" w:rsidR="000834A8" w:rsidRDefault="000834A8" w:rsidP="000834A8">
      <w:pPr>
        <w:pStyle w:val="BodyText"/>
      </w:pPr>
      <w:r>
        <w:t>The objective of a medical physics residency training program is to educate and train medical physicists to a level of competency sufficient for independent, professional practice in their specified subfield of medical physics.</w:t>
      </w:r>
      <w:bookmarkStart w:id="273" w:name="_Ref174458021"/>
      <w:r w:rsidR="001D1A3C">
        <w:rPr>
          <w:rFonts w:ascii="ZWAdobeF" w:hAnsi="ZWAdobeF" w:cs="ZWAdobeF"/>
          <w:sz w:val="2"/>
          <w:szCs w:val="2"/>
        </w:rPr>
        <w:t>72F</w:t>
      </w:r>
      <w:r w:rsidR="005F7EBC">
        <w:rPr>
          <w:rFonts w:ascii="ZWAdobeF" w:hAnsi="ZWAdobeF" w:cs="ZWAdobeF"/>
          <w:sz w:val="2"/>
          <w:szCs w:val="2"/>
        </w:rPr>
        <w:t>85F</w:t>
      </w:r>
      <w:r w:rsidR="009B583B">
        <w:rPr>
          <w:rStyle w:val="FootnoteReference"/>
        </w:rPr>
        <w:footnoteReference w:id="87"/>
      </w:r>
      <w:bookmarkEnd w:id="273"/>
      <w:r>
        <w:t xml:space="preserve"> To successfully prepare medical physicists to practice independently and to professional standards, a residency training program should be structured and formal, and requires adequate organisation, facilities, staff, patient resources, and education environments.</w:t>
      </w:r>
      <w:r w:rsidR="004C7FF3" w:rsidRPr="004C7FF3">
        <w:rPr>
          <w:vertAlign w:val="superscript"/>
        </w:rPr>
        <w:fldChar w:fldCharType="begin"/>
      </w:r>
      <w:r w:rsidR="004C7FF3" w:rsidRPr="004C7FF3">
        <w:rPr>
          <w:vertAlign w:val="superscript"/>
        </w:rPr>
        <w:instrText xml:space="preserve"> NOTEREF _Ref174458021 \h </w:instrText>
      </w:r>
      <w:r w:rsidR="004C7FF3">
        <w:rPr>
          <w:vertAlign w:val="superscript"/>
        </w:rPr>
        <w:instrText xml:space="preserve"> \* MERGEFORMAT </w:instrText>
      </w:r>
      <w:r w:rsidR="004C7FF3" w:rsidRPr="004C7FF3">
        <w:rPr>
          <w:vertAlign w:val="superscript"/>
        </w:rPr>
      </w:r>
      <w:r w:rsidR="004C7FF3" w:rsidRPr="004C7FF3">
        <w:rPr>
          <w:vertAlign w:val="superscript"/>
        </w:rPr>
        <w:fldChar w:fldCharType="separate"/>
      </w:r>
      <w:r w:rsidR="005F7EBC">
        <w:rPr>
          <w:vertAlign w:val="superscript"/>
        </w:rPr>
        <w:t>86</w:t>
      </w:r>
      <w:r w:rsidR="004C7FF3" w:rsidRPr="004C7FF3">
        <w:rPr>
          <w:vertAlign w:val="superscript"/>
        </w:rPr>
        <w:fldChar w:fldCharType="end"/>
      </w:r>
      <w:r>
        <w:t xml:space="preserve"> </w:t>
      </w:r>
      <w:r w:rsidR="00252340">
        <w:t>The curriculum should cover core theoretical concepts</w:t>
      </w:r>
      <w:r w:rsidR="00B27665">
        <w:t xml:space="preserve">, practical applications to clinical practice, and should stay contemporary through the incorporation of </w:t>
      </w:r>
      <w:r w:rsidR="00B71E9F">
        <w:t xml:space="preserve">the latest technological and </w:t>
      </w:r>
      <w:r w:rsidR="00DD5945">
        <w:t>medical advancements</w:t>
      </w:r>
      <w:r w:rsidR="00EB4705">
        <w:t xml:space="preserve"> and exposure to emerging technologies</w:t>
      </w:r>
      <w:r w:rsidR="009618F0">
        <w:t>.</w:t>
      </w:r>
      <w:r w:rsidR="009618F0" w:rsidRPr="009618F0">
        <w:rPr>
          <w:vertAlign w:val="superscript"/>
        </w:rPr>
        <w:fldChar w:fldCharType="begin"/>
      </w:r>
      <w:r w:rsidR="009618F0" w:rsidRPr="009618F0">
        <w:rPr>
          <w:vertAlign w:val="superscript"/>
        </w:rPr>
        <w:instrText xml:space="preserve"> NOTEREF _Ref174458565 \h </w:instrText>
      </w:r>
      <w:r w:rsidR="009618F0">
        <w:rPr>
          <w:vertAlign w:val="superscript"/>
        </w:rPr>
        <w:instrText xml:space="preserve"> \* MERGEFORMAT </w:instrText>
      </w:r>
      <w:r w:rsidR="009618F0" w:rsidRPr="009618F0">
        <w:rPr>
          <w:vertAlign w:val="superscript"/>
        </w:rPr>
      </w:r>
      <w:r w:rsidR="009618F0" w:rsidRPr="009618F0">
        <w:rPr>
          <w:vertAlign w:val="superscript"/>
        </w:rPr>
        <w:fldChar w:fldCharType="separate"/>
      </w:r>
      <w:r w:rsidR="005F7EBC">
        <w:rPr>
          <w:vertAlign w:val="superscript"/>
        </w:rPr>
        <w:t>91</w:t>
      </w:r>
      <w:r w:rsidR="009618F0" w:rsidRPr="009618F0">
        <w:rPr>
          <w:vertAlign w:val="superscript"/>
        </w:rPr>
        <w:fldChar w:fldCharType="end"/>
      </w:r>
      <w:r w:rsidR="009618F0">
        <w:t xml:space="preserve"> </w:t>
      </w:r>
      <w:r>
        <w:t>For the effective delivery of supervised clinical training, the IAEA outlines key conditions for clinical residency programmes, including:</w:t>
      </w:r>
      <w:bookmarkStart w:id="274" w:name="_Ref174458755"/>
      <w:r w:rsidR="001D1A3C">
        <w:rPr>
          <w:rFonts w:ascii="ZWAdobeF" w:hAnsi="ZWAdobeF" w:cs="ZWAdobeF"/>
          <w:sz w:val="2"/>
          <w:szCs w:val="2"/>
        </w:rPr>
        <w:t>73F</w:t>
      </w:r>
      <w:r w:rsidR="005F7EBC">
        <w:rPr>
          <w:rFonts w:ascii="ZWAdobeF" w:hAnsi="ZWAdobeF" w:cs="ZWAdobeF"/>
          <w:sz w:val="2"/>
          <w:szCs w:val="2"/>
        </w:rPr>
        <w:t>86F</w:t>
      </w:r>
      <w:r w:rsidR="00476F8C">
        <w:rPr>
          <w:rStyle w:val="FootnoteReference"/>
        </w:rPr>
        <w:footnoteReference w:id="88"/>
      </w:r>
      <w:bookmarkEnd w:id="274"/>
    </w:p>
    <w:p w14:paraId="137BD06C" w14:textId="5CD0D425" w:rsidR="000834A8" w:rsidRDefault="000834A8" w:rsidP="00584EC6">
      <w:pPr>
        <w:pStyle w:val="BodyText"/>
        <w:numPr>
          <w:ilvl w:val="0"/>
          <w:numId w:val="34"/>
        </w:numPr>
      </w:pPr>
      <w:r>
        <w:t xml:space="preserve">The training should be carried out in </w:t>
      </w:r>
      <w:r w:rsidR="00996D4C">
        <w:t>a</w:t>
      </w:r>
      <w:r>
        <w:t xml:space="preserve"> </w:t>
      </w:r>
      <w:proofErr w:type="gramStart"/>
      <w:r>
        <w:t>hospital</w:t>
      </w:r>
      <w:r w:rsidR="00CE15E2">
        <w:t>;</w:t>
      </w:r>
      <w:proofErr w:type="gramEnd"/>
    </w:p>
    <w:p w14:paraId="6F6BF2B4" w14:textId="4BC6F471" w:rsidR="000834A8" w:rsidRDefault="000834A8" w:rsidP="00584EC6">
      <w:pPr>
        <w:pStyle w:val="BodyText"/>
        <w:numPr>
          <w:ilvl w:val="0"/>
          <w:numId w:val="34"/>
        </w:numPr>
      </w:pPr>
      <w:r>
        <w:t xml:space="preserve">Trainees should be formally assessed on their knowledge and </w:t>
      </w:r>
      <w:proofErr w:type="gramStart"/>
      <w:r>
        <w:t>competencies</w:t>
      </w:r>
      <w:r w:rsidR="00CE15E2">
        <w:t>;</w:t>
      </w:r>
      <w:proofErr w:type="gramEnd"/>
    </w:p>
    <w:p w14:paraId="328D083B" w14:textId="1D051BA9" w:rsidR="000834A8" w:rsidRDefault="000834A8" w:rsidP="00584EC6">
      <w:pPr>
        <w:pStyle w:val="BodyText"/>
        <w:numPr>
          <w:ilvl w:val="0"/>
          <w:numId w:val="34"/>
        </w:numPr>
      </w:pPr>
      <w:r>
        <w:t>Clinical training facilities should be equipped with a complete range of dosimetry and QC equipment</w:t>
      </w:r>
      <w:r w:rsidR="00CE15E2">
        <w:t>;</w:t>
      </w:r>
      <w:r>
        <w:t xml:space="preserve"> and</w:t>
      </w:r>
    </w:p>
    <w:p w14:paraId="4E6FC02D" w14:textId="6B1733F7" w:rsidR="000834A8" w:rsidRDefault="000834A8" w:rsidP="00584EC6">
      <w:pPr>
        <w:pStyle w:val="BodyText"/>
        <w:numPr>
          <w:ilvl w:val="0"/>
          <w:numId w:val="34"/>
        </w:numPr>
      </w:pPr>
      <w:r>
        <w:t xml:space="preserve">Residents should be provided with a </w:t>
      </w:r>
      <w:proofErr w:type="gramStart"/>
      <w:r w:rsidR="006D5625">
        <w:t>Supervisor</w:t>
      </w:r>
      <w:proofErr w:type="gramEnd"/>
      <w:r>
        <w:t xml:space="preserve">, with the number of </w:t>
      </w:r>
      <w:r w:rsidR="006D5625">
        <w:t>Trainee</w:t>
      </w:r>
      <w:r>
        <w:t xml:space="preserve">s per </w:t>
      </w:r>
      <w:r w:rsidR="006D5625">
        <w:t>Supervisor</w:t>
      </w:r>
      <w:r>
        <w:t xml:space="preserve"> not to exceed two or three at any given time.</w:t>
      </w:r>
    </w:p>
    <w:p w14:paraId="39FACADC" w14:textId="73005393" w:rsidR="00F25DAF" w:rsidRDefault="000834A8" w:rsidP="00876B9A">
      <w:pPr>
        <w:pStyle w:val="BodyText"/>
      </w:pPr>
      <w:r>
        <w:t>There are specific requirements of medical physics training in countries including Australia</w:t>
      </w:r>
      <w:r w:rsidR="00A82FA6">
        <w:t>,</w:t>
      </w:r>
      <w:r>
        <w:t xml:space="preserve"> New Zealand, the US, UK, Canada, </w:t>
      </w:r>
      <w:r w:rsidR="00ED6241">
        <w:t>and</w:t>
      </w:r>
      <w:r w:rsidR="00C8184A">
        <w:t xml:space="preserve"> countries in</w:t>
      </w:r>
      <w:r>
        <w:t xml:space="preserve"> the European region.</w:t>
      </w:r>
      <w:bookmarkStart w:id="275" w:name="_Ref174458244"/>
      <w:r w:rsidR="001D1A3C">
        <w:rPr>
          <w:rFonts w:ascii="ZWAdobeF" w:hAnsi="ZWAdobeF" w:cs="ZWAdobeF"/>
          <w:sz w:val="2"/>
          <w:szCs w:val="2"/>
        </w:rPr>
        <w:t>74F</w:t>
      </w:r>
      <w:r w:rsidR="005F7EBC">
        <w:rPr>
          <w:rFonts w:ascii="ZWAdobeF" w:hAnsi="ZWAdobeF" w:cs="ZWAdobeF"/>
          <w:sz w:val="2"/>
          <w:szCs w:val="2"/>
        </w:rPr>
        <w:t>87F</w:t>
      </w:r>
      <w:r w:rsidR="007F70E7">
        <w:rPr>
          <w:rStyle w:val="FootnoteReference"/>
        </w:rPr>
        <w:footnoteReference w:id="89"/>
      </w:r>
      <w:bookmarkEnd w:id="275"/>
      <w:r>
        <w:t xml:space="preserve"> </w:t>
      </w:r>
      <w:r w:rsidR="00B50091">
        <w:t xml:space="preserve">It is advised that clinical training programs are </w:t>
      </w:r>
      <w:r w:rsidR="00552D46">
        <w:t xml:space="preserve">formally </w:t>
      </w:r>
      <w:r w:rsidR="00C9701F">
        <w:t xml:space="preserve">accredited </w:t>
      </w:r>
      <w:r w:rsidR="00552D46">
        <w:t xml:space="preserve">by a professional </w:t>
      </w:r>
      <w:bookmarkStart w:id="276" w:name="_Hlk174703790"/>
      <w:r w:rsidR="00552D46">
        <w:t>body</w:t>
      </w:r>
      <w:r w:rsidR="002621CC">
        <w:t xml:space="preserve"> authorised </w:t>
      </w:r>
      <w:bookmarkEnd w:id="276"/>
      <w:r w:rsidR="002621CC">
        <w:t>by the government</w:t>
      </w:r>
      <w:r w:rsidR="00E745FC">
        <w:t xml:space="preserve"> </w:t>
      </w:r>
      <w:r w:rsidR="00C9701F">
        <w:t xml:space="preserve">to </w:t>
      </w:r>
      <w:r w:rsidR="00D30106">
        <w:t xml:space="preserve">ensure </w:t>
      </w:r>
      <w:r w:rsidR="00CD3BF4">
        <w:t>high quality and consistency of training.</w:t>
      </w:r>
      <w:bookmarkStart w:id="277" w:name="_Ref174703302"/>
      <w:r w:rsidR="001D1A3C">
        <w:rPr>
          <w:rFonts w:ascii="ZWAdobeF" w:hAnsi="ZWAdobeF" w:cs="ZWAdobeF"/>
          <w:sz w:val="2"/>
          <w:szCs w:val="2"/>
        </w:rPr>
        <w:t>75F</w:t>
      </w:r>
      <w:r w:rsidR="005F7EBC">
        <w:rPr>
          <w:rFonts w:ascii="ZWAdobeF" w:hAnsi="ZWAdobeF" w:cs="ZWAdobeF"/>
          <w:sz w:val="2"/>
          <w:szCs w:val="2"/>
        </w:rPr>
        <w:t>88F</w:t>
      </w:r>
      <w:r w:rsidR="006E5538">
        <w:rPr>
          <w:rStyle w:val="FootnoteReference"/>
        </w:rPr>
        <w:footnoteReference w:id="90"/>
      </w:r>
      <w:bookmarkEnd w:id="277"/>
      <w:r>
        <w:t xml:space="preserve"> </w:t>
      </w:r>
      <w:r w:rsidR="003E3600">
        <w:t xml:space="preserve">However, </w:t>
      </w:r>
      <w:r w:rsidR="000C6FA6">
        <w:t>a</w:t>
      </w:r>
      <w:r w:rsidR="00F2340A">
        <w:t xml:space="preserve"> </w:t>
      </w:r>
      <w:r w:rsidR="00AB70AF">
        <w:t xml:space="preserve">study </w:t>
      </w:r>
      <w:r w:rsidR="0013073A">
        <w:t xml:space="preserve">on the global status of </w:t>
      </w:r>
      <w:r w:rsidR="00454A15">
        <w:t xml:space="preserve">the </w:t>
      </w:r>
      <w:r w:rsidR="0013073A">
        <w:t>medical physic</w:t>
      </w:r>
      <w:r w:rsidR="00454A15">
        <w:t xml:space="preserve">s workforce </w:t>
      </w:r>
      <w:r w:rsidR="004A15E5">
        <w:t xml:space="preserve">in 2023 </w:t>
      </w:r>
      <w:r w:rsidR="00454A15">
        <w:t>identified a lack of official medical physics training programs in many countries</w:t>
      </w:r>
      <w:r w:rsidR="00353976">
        <w:t xml:space="preserve">; the study received 64 responses covering all continents, and </w:t>
      </w:r>
      <w:r w:rsidR="00A469A9">
        <w:t xml:space="preserve">found </w:t>
      </w:r>
      <w:r w:rsidR="00BE0313">
        <w:t xml:space="preserve">69% </w:t>
      </w:r>
      <w:r w:rsidR="0095716F">
        <w:t>reported the existence of an official medical physicist training program which comprises university courses and in-service training.</w:t>
      </w:r>
      <w:r w:rsidR="001D1A3C">
        <w:rPr>
          <w:rFonts w:ascii="ZWAdobeF" w:hAnsi="ZWAdobeF" w:cs="ZWAdobeF"/>
          <w:sz w:val="2"/>
          <w:szCs w:val="2"/>
        </w:rPr>
        <w:t>76F</w:t>
      </w:r>
      <w:r w:rsidR="005F7EBC">
        <w:rPr>
          <w:rFonts w:ascii="ZWAdobeF" w:hAnsi="ZWAdobeF" w:cs="ZWAdobeF"/>
          <w:sz w:val="2"/>
          <w:szCs w:val="2"/>
        </w:rPr>
        <w:t>89F</w:t>
      </w:r>
      <w:r w:rsidR="004A15E5">
        <w:rPr>
          <w:rStyle w:val="FootnoteReference"/>
        </w:rPr>
        <w:footnoteReference w:id="91"/>
      </w:r>
      <w:r>
        <w:t xml:space="preserve"> </w:t>
      </w:r>
    </w:p>
    <w:p w14:paraId="2131FE82" w14:textId="46D6E83B" w:rsidR="00946DDC" w:rsidRPr="00DC6578" w:rsidRDefault="000F1599" w:rsidP="000F1599">
      <w:pPr>
        <w:shd w:val="clear" w:color="auto" w:fill="97014E" w:themeFill="accent6" w:themeFillShade="80"/>
        <w:rPr>
          <w:rFonts w:cs="Arial"/>
          <w:b/>
          <w:bCs/>
        </w:rPr>
      </w:pPr>
      <w:r>
        <w:rPr>
          <w:rFonts w:cs="Arial"/>
          <w:b/>
          <w:bCs/>
          <w:noProof/>
        </w:rPr>
        <w:drawing>
          <wp:inline distT="0" distB="0" distL="0" distR="0" wp14:anchorId="16DA5F3B" wp14:editId="5284231D">
            <wp:extent cx="283464" cy="283464"/>
            <wp:effectExtent l="0" t="0" r="0" b="0"/>
            <wp:docPr id="767272814"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4589" name="Graphic 40">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92979" cy="292979"/>
                    </a:xfrm>
                    <a:prstGeom prst="rect">
                      <a:avLst/>
                    </a:prstGeom>
                  </pic:spPr>
                </pic:pic>
              </a:graphicData>
            </a:graphic>
          </wp:inline>
        </w:drawing>
      </w:r>
      <w:r>
        <w:rPr>
          <w:rFonts w:cs="Arial"/>
          <w:b/>
          <w:bCs/>
        </w:rPr>
        <w:t xml:space="preserve"> </w:t>
      </w:r>
      <w:r w:rsidR="00946DDC">
        <w:rPr>
          <w:rFonts w:cs="Arial"/>
          <w:b/>
          <w:bCs/>
        </w:rPr>
        <w:t xml:space="preserve">Case Study </w:t>
      </w:r>
      <w:r>
        <w:rPr>
          <w:rFonts w:cs="Arial"/>
          <w:b/>
          <w:bCs/>
        </w:rPr>
        <w:t>-</w:t>
      </w:r>
      <w:r w:rsidR="00946DDC">
        <w:rPr>
          <w:rFonts w:cs="Arial"/>
          <w:b/>
          <w:bCs/>
        </w:rPr>
        <w:t xml:space="preserve"> Medical physicist training and certification in the US</w:t>
      </w:r>
    </w:p>
    <w:p w14:paraId="2691AB08" w14:textId="672ECEEB" w:rsidR="00946DDC" w:rsidRDefault="000F1599" w:rsidP="000F1599">
      <w:pPr>
        <w:pStyle w:val="BodyText"/>
        <w:shd w:val="clear" w:color="auto" w:fill="FED6EB" w:themeFill="accent6" w:themeFillTint="33"/>
      </w:pPr>
      <w:r>
        <w:rPr>
          <w:rFonts w:cs="Arial"/>
        </w:rPr>
        <w:t xml:space="preserve">In </w:t>
      </w:r>
      <w:r w:rsidRPr="006A2C62">
        <w:rPr>
          <w:rFonts w:cs="Arial"/>
        </w:rPr>
        <w:t>the US</w:t>
      </w:r>
      <w:r>
        <w:rPr>
          <w:rFonts w:cs="Arial"/>
        </w:rPr>
        <w:t>,</w:t>
      </w:r>
      <w:r w:rsidRPr="006A2C62">
        <w:rPr>
          <w:rFonts w:cs="Arial"/>
        </w:rPr>
        <w:t xml:space="preserve"> the professional societies of medical physics, including the American Association of Physicists in Medicine (AAPM) and Institute of Physics &amp; Engineering in Medicine (IPEM), determine the curriculum, prepare training material, and seek participation of medical physicists in the development of an evaluation system for board certification.</w:t>
      </w:r>
      <w:r w:rsidRPr="00424140">
        <w:rPr>
          <w:rFonts w:cs="Arial"/>
          <w:vertAlign w:val="superscript"/>
        </w:rPr>
        <w:fldChar w:fldCharType="begin"/>
      </w:r>
      <w:r w:rsidRPr="00424140">
        <w:rPr>
          <w:rFonts w:cs="Arial"/>
          <w:vertAlign w:val="superscript"/>
        </w:rPr>
        <w:instrText xml:space="preserve"> NOTEREF _Ref174458244 \h </w:instrText>
      </w:r>
      <w:r>
        <w:rPr>
          <w:rFonts w:cs="Arial"/>
          <w:vertAlign w:val="superscript"/>
        </w:rPr>
        <w:instrText xml:space="preserve"> \* MERGEFORMAT </w:instrText>
      </w:r>
      <w:r w:rsidRPr="00424140">
        <w:rPr>
          <w:rFonts w:cs="Arial"/>
          <w:vertAlign w:val="superscript"/>
        </w:rPr>
      </w:r>
      <w:r w:rsidRPr="00424140">
        <w:rPr>
          <w:rFonts w:cs="Arial"/>
          <w:vertAlign w:val="superscript"/>
        </w:rPr>
        <w:fldChar w:fldCharType="separate"/>
      </w:r>
      <w:r>
        <w:rPr>
          <w:rFonts w:cs="Arial"/>
          <w:vertAlign w:val="superscript"/>
        </w:rPr>
        <w:t>88</w:t>
      </w:r>
      <w:r w:rsidRPr="00424140">
        <w:rPr>
          <w:rFonts w:cs="Arial"/>
          <w:vertAlign w:val="superscript"/>
        </w:rPr>
        <w:fldChar w:fldCharType="end"/>
      </w:r>
      <w:r w:rsidRPr="00DA1EE3">
        <w:rPr>
          <w:rFonts w:cs="Arial"/>
        </w:rPr>
        <w:t xml:space="preserve"> </w:t>
      </w:r>
      <w:r>
        <w:rPr>
          <w:rFonts w:cs="Arial"/>
        </w:rPr>
        <w:t>Requirements of certification and licensure apply to the overall practice of clinical medical physics but vary among different states, employment settings, and the subspecialties of medical physics. The main certification board is the American Board of Radiology, and continuing education activities are a requirement of maintaining professional certification.</w:t>
      </w:r>
      <w:r w:rsidRPr="0077116F">
        <w:rPr>
          <w:rFonts w:cs="Arial"/>
          <w:vertAlign w:val="superscript"/>
        </w:rPr>
        <w:fldChar w:fldCharType="begin"/>
      </w:r>
      <w:r w:rsidRPr="0077116F">
        <w:rPr>
          <w:rFonts w:cs="Arial"/>
          <w:vertAlign w:val="superscript"/>
        </w:rPr>
        <w:instrText xml:space="preserve"> NOTEREF _Ref174629079 \h </w:instrText>
      </w:r>
      <w:r>
        <w:rPr>
          <w:rFonts w:cs="Arial"/>
          <w:vertAlign w:val="superscript"/>
        </w:rPr>
        <w:instrText xml:space="preserve"> \* MERGEFORMAT </w:instrText>
      </w:r>
      <w:r w:rsidRPr="0077116F">
        <w:rPr>
          <w:rFonts w:cs="Arial"/>
          <w:vertAlign w:val="superscript"/>
        </w:rPr>
      </w:r>
      <w:r w:rsidRPr="0077116F">
        <w:rPr>
          <w:rFonts w:cs="Arial"/>
          <w:vertAlign w:val="superscript"/>
        </w:rPr>
        <w:fldChar w:fldCharType="separate"/>
      </w:r>
      <w:r>
        <w:rPr>
          <w:rFonts w:cs="Arial"/>
          <w:vertAlign w:val="superscript"/>
        </w:rPr>
        <w:t>76</w:t>
      </w:r>
      <w:r w:rsidRPr="0077116F">
        <w:rPr>
          <w:rFonts w:cs="Arial"/>
          <w:vertAlign w:val="superscript"/>
        </w:rPr>
        <w:fldChar w:fldCharType="end"/>
      </w:r>
    </w:p>
    <w:p w14:paraId="73683331" w14:textId="77777777" w:rsidR="00946DDC" w:rsidRDefault="00946DDC" w:rsidP="00876B9A">
      <w:pPr>
        <w:pStyle w:val="BodyText"/>
      </w:pPr>
    </w:p>
    <w:p w14:paraId="310EF1CD" w14:textId="7B7ECBEE" w:rsidR="000834A8" w:rsidRDefault="000834A8" w:rsidP="007E2F94">
      <w:pPr>
        <w:pStyle w:val="Heading3"/>
      </w:pPr>
      <w:r>
        <w:t>Certification</w:t>
      </w:r>
    </w:p>
    <w:p w14:paraId="255F02B1" w14:textId="79D9C20C" w:rsidR="000834A8" w:rsidRDefault="000834A8" w:rsidP="000834A8">
      <w:pPr>
        <w:pStyle w:val="BodyText"/>
      </w:pPr>
      <w:r>
        <w:t>Certification is a formal process involving examinations and practical assessments by which an authorised body (ideally a national board) evaluates and recognises the skills, knowledge and proficiency of an individual against pre-determined criteria encompassing both education and training.</w:t>
      </w:r>
      <w:r w:rsidR="00CB7760" w:rsidRPr="00CB7760">
        <w:rPr>
          <w:vertAlign w:val="superscript"/>
        </w:rPr>
        <w:fldChar w:fldCharType="begin"/>
      </w:r>
      <w:r w:rsidR="00CB7760" w:rsidRPr="00CB7760">
        <w:rPr>
          <w:vertAlign w:val="superscript"/>
        </w:rPr>
        <w:instrText xml:space="preserve"> NOTEREF _Ref174457920 \h </w:instrText>
      </w:r>
      <w:r w:rsidR="00CB7760">
        <w:rPr>
          <w:vertAlign w:val="superscript"/>
        </w:rPr>
        <w:instrText xml:space="preserve"> \* MERGEFORMAT </w:instrText>
      </w:r>
      <w:r w:rsidR="00CB7760" w:rsidRPr="00CB7760">
        <w:rPr>
          <w:vertAlign w:val="superscript"/>
        </w:rPr>
      </w:r>
      <w:r w:rsidR="00CB7760" w:rsidRPr="00CB7760">
        <w:rPr>
          <w:vertAlign w:val="superscript"/>
        </w:rPr>
        <w:fldChar w:fldCharType="separate"/>
      </w:r>
      <w:r w:rsidR="005F7EBC">
        <w:rPr>
          <w:vertAlign w:val="superscript"/>
        </w:rPr>
        <w:t>85</w:t>
      </w:r>
      <w:r w:rsidR="00CB7760" w:rsidRPr="00CB7760">
        <w:rPr>
          <w:vertAlign w:val="superscript"/>
        </w:rPr>
        <w:fldChar w:fldCharType="end"/>
      </w:r>
      <w:r>
        <w:t xml:space="preserve"> The IAEA advises that certification of CQMPs should be mandatory, and the process should consider academic education, clinical training, and continuing education.</w:t>
      </w:r>
      <w:r w:rsidR="00CF2EE9" w:rsidRPr="00CF2EE9">
        <w:rPr>
          <w:vertAlign w:val="superscript"/>
        </w:rPr>
        <w:fldChar w:fldCharType="begin"/>
      </w:r>
      <w:r w:rsidR="00CF2EE9" w:rsidRPr="00CF2EE9">
        <w:rPr>
          <w:vertAlign w:val="superscript"/>
        </w:rPr>
        <w:instrText xml:space="preserve"> NOTEREF _Ref174457920 \h </w:instrText>
      </w:r>
      <w:r w:rsidR="00CF2EE9">
        <w:rPr>
          <w:vertAlign w:val="superscript"/>
        </w:rPr>
        <w:instrText xml:space="preserve"> \* MERGEFORMAT </w:instrText>
      </w:r>
      <w:r w:rsidR="00CF2EE9" w:rsidRPr="00CF2EE9">
        <w:rPr>
          <w:vertAlign w:val="superscript"/>
        </w:rPr>
      </w:r>
      <w:r w:rsidR="00CF2EE9" w:rsidRPr="00CF2EE9">
        <w:rPr>
          <w:vertAlign w:val="superscript"/>
        </w:rPr>
        <w:fldChar w:fldCharType="separate"/>
      </w:r>
      <w:r w:rsidR="005F7EBC">
        <w:rPr>
          <w:vertAlign w:val="superscript"/>
        </w:rPr>
        <w:t>85</w:t>
      </w:r>
      <w:r w:rsidR="00CF2EE9" w:rsidRPr="00CF2EE9">
        <w:rPr>
          <w:vertAlign w:val="superscript"/>
        </w:rPr>
        <w:fldChar w:fldCharType="end"/>
      </w:r>
      <w:r>
        <w:t xml:space="preserve"> This ensures certified professionals have the skills and knowledge to navigate complex clinical scenarios, make informed decisions, and effectively contribute to patient care.</w:t>
      </w:r>
      <w:bookmarkStart w:id="278" w:name="_Ref174458565"/>
      <w:r w:rsidR="001D1A3C">
        <w:rPr>
          <w:rFonts w:ascii="ZWAdobeF" w:hAnsi="ZWAdobeF" w:cs="ZWAdobeF"/>
          <w:sz w:val="2"/>
          <w:szCs w:val="2"/>
        </w:rPr>
        <w:t>77F</w:t>
      </w:r>
      <w:r w:rsidR="005F7EBC">
        <w:rPr>
          <w:rFonts w:ascii="ZWAdobeF" w:hAnsi="ZWAdobeF" w:cs="ZWAdobeF"/>
          <w:sz w:val="2"/>
          <w:szCs w:val="2"/>
        </w:rPr>
        <w:t>90F</w:t>
      </w:r>
      <w:r w:rsidR="00E51FE9">
        <w:rPr>
          <w:rStyle w:val="FootnoteReference"/>
        </w:rPr>
        <w:footnoteReference w:id="92"/>
      </w:r>
      <w:bookmarkEnd w:id="278"/>
      <w:r>
        <w:t xml:space="preserve"> The certification process should be consistent with the certification and recognition system of other health professionals.</w:t>
      </w:r>
      <w:r w:rsidR="009460D8" w:rsidRPr="009460D8">
        <w:rPr>
          <w:vertAlign w:val="superscript"/>
        </w:rPr>
        <w:fldChar w:fldCharType="begin"/>
      </w:r>
      <w:r w:rsidR="009460D8" w:rsidRPr="009460D8">
        <w:rPr>
          <w:vertAlign w:val="superscript"/>
        </w:rPr>
        <w:instrText xml:space="preserve"> NOTEREF _Ref174458701 \h </w:instrText>
      </w:r>
      <w:r w:rsidR="009460D8">
        <w:rPr>
          <w:vertAlign w:val="superscript"/>
        </w:rPr>
        <w:instrText xml:space="preserve"> \* MERGEFORMAT </w:instrText>
      </w:r>
      <w:r w:rsidR="009460D8" w:rsidRPr="009460D8">
        <w:rPr>
          <w:vertAlign w:val="superscript"/>
        </w:rPr>
      </w:r>
      <w:r w:rsidR="009460D8" w:rsidRPr="009460D8">
        <w:rPr>
          <w:vertAlign w:val="superscript"/>
        </w:rPr>
        <w:fldChar w:fldCharType="separate"/>
      </w:r>
      <w:r w:rsidR="005F7EBC">
        <w:rPr>
          <w:vertAlign w:val="superscript"/>
        </w:rPr>
        <w:t>77</w:t>
      </w:r>
      <w:r w:rsidR="009460D8" w:rsidRPr="009460D8">
        <w:rPr>
          <w:vertAlign w:val="superscript"/>
        </w:rPr>
        <w:fldChar w:fldCharType="end"/>
      </w:r>
    </w:p>
    <w:p w14:paraId="759799E6" w14:textId="70525E5E" w:rsidR="001E7094" w:rsidRDefault="000834A8" w:rsidP="007820F1">
      <w:pPr>
        <w:pStyle w:val="BodyText"/>
      </w:pPr>
      <w:r>
        <w:t xml:space="preserve">Certification helps to support the recognition of professionals through maintaining demonstrable adherence to </w:t>
      </w:r>
      <w:proofErr w:type="spellStart"/>
      <w:r>
        <w:t>agreed</w:t>
      </w:r>
      <w:proofErr w:type="spellEnd"/>
      <w:r>
        <w:t xml:space="preserve"> upon best practices and a culture of safety, and certified professionals are often more competitive in the job market and better positioned for leadership roles.</w:t>
      </w:r>
      <w:r w:rsidR="00D840B5" w:rsidRPr="00D840B5">
        <w:rPr>
          <w:vertAlign w:val="superscript"/>
        </w:rPr>
        <w:fldChar w:fldCharType="begin"/>
      </w:r>
      <w:r w:rsidR="00D840B5" w:rsidRPr="00D840B5">
        <w:rPr>
          <w:vertAlign w:val="superscript"/>
        </w:rPr>
        <w:instrText xml:space="preserve"> NOTEREF _Ref174458565 \h </w:instrText>
      </w:r>
      <w:r w:rsidR="00D840B5">
        <w:rPr>
          <w:vertAlign w:val="superscript"/>
        </w:rPr>
        <w:instrText xml:space="preserve"> \* MERGEFORMAT </w:instrText>
      </w:r>
      <w:r w:rsidR="00D840B5" w:rsidRPr="00D840B5">
        <w:rPr>
          <w:vertAlign w:val="superscript"/>
        </w:rPr>
      </w:r>
      <w:r w:rsidR="00D840B5" w:rsidRPr="00D840B5">
        <w:rPr>
          <w:vertAlign w:val="superscript"/>
        </w:rPr>
        <w:fldChar w:fldCharType="separate"/>
      </w:r>
      <w:r w:rsidR="005F7EBC">
        <w:rPr>
          <w:vertAlign w:val="superscript"/>
        </w:rPr>
        <w:t>91</w:t>
      </w:r>
      <w:r w:rsidR="00D840B5" w:rsidRPr="00D840B5">
        <w:rPr>
          <w:vertAlign w:val="superscript"/>
        </w:rPr>
        <w:fldChar w:fldCharType="end"/>
      </w:r>
      <w:r w:rsidR="00D840B5" w:rsidRPr="00D840B5">
        <w:rPr>
          <w:vertAlign w:val="superscript"/>
        </w:rPr>
        <w:t>,</w:t>
      </w:r>
      <w:r w:rsidR="00D840B5">
        <w:t xml:space="preserve"> </w:t>
      </w:r>
      <w:bookmarkStart w:id="279" w:name="_Ref174458632"/>
      <w:r w:rsidR="001D1A3C">
        <w:rPr>
          <w:rFonts w:ascii="ZWAdobeF" w:hAnsi="ZWAdobeF" w:cs="ZWAdobeF"/>
          <w:sz w:val="2"/>
          <w:szCs w:val="2"/>
        </w:rPr>
        <w:t>78F</w:t>
      </w:r>
      <w:r w:rsidR="005F7EBC">
        <w:rPr>
          <w:rFonts w:ascii="ZWAdobeF" w:hAnsi="ZWAdobeF" w:cs="ZWAdobeF"/>
          <w:sz w:val="2"/>
          <w:szCs w:val="2"/>
        </w:rPr>
        <w:t>91F</w:t>
      </w:r>
      <w:r w:rsidR="00D840B5">
        <w:rPr>
          <w:rStyle w:val="FootnoteReference"/>
        </w:rPr>
        <w:footnoteReference w:id="93"/>
      </w:r>
      <w:bookmarkEnd w:id="279"/>
      <w:r>
        <w:t xml:space="preserve"> This process plays an important role in achieving a homogenous professional standard, ensuring quality, safety, and credibility in the profession, and enabling career development and progression for medical physicists.</w:t>
      </w:r>
      <w:r w:rsidR="00243B83" w:rsidRPr="00243B83">
        <w:rPr>
          <w:vertAlign w:val="superscript"/>
        </w:rPr>
        <w:fldChar w:fldCharType="begin"/>
      </w:r>
      <w:r w:rsidR="00243B83" w:rsidRPr="00243B83">
        <w:rPr>
          <w:vertAlign w:val="superscript"/>
        </w:rPr>
        <w:instrText xml:space="preserve"> NOTEREF _Ref174458565 \h </w:instrText>
      </w:r>
      <w:r w:rsidR="00243B83">
        <w:rPr>
          <w:vertAlign w:val="superscript"/>
        </w:rPr>
        <w:instrText xml:space="preserve"> \* MERGEFORMAT </w:instrText>
      </w:r>
      <w:r w:rsidR="00243B83" w:rsidRPr="00243B83">
        <w:rPr>
          <w:vertAlign w:val="superscript"/>
        </w:rPr>
      </w:r>
      <w:r w:rsidR="00243B83" w:rsidRPr="00243B83">
        <w:rPr>
          <w:vertAlign w:val="superscript"/>
        </w:rPr>
        <w:fldChar w:fldCharType="separate"/>
      </w:r>
      <w:r w:rsidR="005F7EBC">
        <w:rPr>
          <w:vertAlign w:val="superscript"/>
        </w:rPr>
        <w:t>91</w:t>
      </w:r>
      <w:r w:rsidR="00243B83" w:rsidRPr="00243B83">
        <w:rPr>
          <w:vertAlign w:val="superscript"/>
        </w:rPr>
        <w:fldChar w:fldCharType="end"/>
      </w:r>
      <w:r w:rsidR="00243B83" w:rsidRPr="00243B83">
        <w:rPr>
          <w:vertAlign w:val="superscript"/>
        </w:rPr>
        <w:t xml:space="preserve">, </w:t>
      </w:r>
      <w:r w:rsidR="00243B83" w:rsidRPr="00243B83">
        <w:rPr>
          <w:vertAlign w:val="superscript"/>
        </w:rPr>
        <w:fldChar w:fldCharType="begin"/>
      </w:r>
      <w:r w:rsidR="00243B83" w:rsidRPr="00243B83">
        <w:rPr>
          <w:vertAlign w:val="superscript"/>
        </w:rPr>
        <w:instrText xml:space="preserve"> NOTEREF _Ref174458632 \h </w:instrText>
      </w:r>
      <w:r w:rsidR="00243B83">
        <w:rPr>
          <w:vertAlign w:val="superscript"/>
        </w:rPr>
        <w:instrText xml:space="preserve"> \* MERGEFORMAT </w:instrText>
      </w:r>
      <w:r w:rsidR="00243B83" w:rsidRPr="00243B83">
        <w:rPr>
          <w:vertAlign w:val="superscript"/>
        </w:rPr>
      </w:r>
      <w:r w:rsidR="00243B83" w:rsidRPr="00243B83">
        <w:rPr>
          <w:vertAlign w:val="superscript"/>
        </w:rPr>
        <w:fldChar w:fldCharType="separate"/>
      </w:r>
      <w:r w:rsidR="005F7EBC">
        <w:rPr>
          <w:vertAlign w:val="superscript"/>
        </w:rPr>
        <w:t>92</w:t>
      </w:r>
      <w:r w:rsidR="00243B83" w:rsidRPr="00243B83">
        <w:rPr>
          <w:vertAlign w:val="superscript"/>
        </w:rPr>
        <w:fldChar w:fldCharType="end"/>
      </w:r>
      <w:r>
        <w:t xml:space="preserve"> Certification processes are established in countries including the US, Canada, and the UK (see case study </w:t>
      </w:r>
      <w:r w:rsidRPr="00EE7656">
        <w:t>below</w:t>
      </w:r>
      <w:r>
        <w:t>).</w:t>
      </w:r>
    </w:p>
    <w:p w14:paraId="5380CCA3" w14:textId="69E6975D" w:rsidR="001E7094" w:rsidRPr="00DC6578" w:rsidRDefault="00DF3DDD" w:rsidP="00CE3070">
      <w:pPr>
        <w:shd w:val="clear" w:color="auto" w:fill="97014E" w:themeFill="accent6" w:themeFillShade="80"/>
        <w:rPr>
          <w:rFonts w:cs="Arial"/>
          <w:b/>
          <w:bCs/>
        </w:rPr>
      </w:pPr>
      <w:r>
        <w:rPr>
          <w:rFonts w:cs="Arial"/>
          <w:b/>
          <w:bCs/>
          <w:noProof/>
        </w:rPr>
        <w:drawing>
          <wp:inline distT="0" distB="0" distL="0" distR="0" wp14:anchorId="01106671" wp14:editId="6D36AE6D">
            <wp:extent cx="283464" cy="283464"/>
            <wp:effectExtent l="0" t="0" r="0" b="0"/>
            <wp:docPr id="542196696"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69723" name="Graphic 40">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92979" cy="292979"/>
                    </a:xfrm>
                    <a:prstGeom prst="rect">
                      <a:avLst/>
                    </a:prstGeom>
                  </pic:spPr>
                </pic:pic>
              </a:graphicData>
            </a:graphic>
          </wp:inline>
        </w:drawing>
      </w:r>
      <w:r>
        <w:rPr>
          <w:rFonts w:cs="Arial"/>
          <w:b/>
          <w:bCs/>
        </w:rPr>
        <w:t xml:space="preserve"> </w:t>
      </w:r>
      <w:r w:rsidR="001E7094">
        <w:rPr>
          <w:rFonts w:cs="Arial"/>
          <w:b/>
          <w:bCs/>
        </w:rPr>
        <w:t>Case Study - Medical physicist certification in the UK</w:t>
      </w:r>
    </w:p>
    <w:p w14:paraId="69D2910D" w14:textId="5BAC1C7C" w:rsidR="001E7094" w:rsidRDefault="001E7094" w:rsidP="00CE3070">
      <w:pPr>
        <w:pStyle w:val="BodyText"/>
        <w:shd w:val="clear" w:color="auto" w:fill="FED6EB" w:themeFill="accent6" w:themeFillTint="33"/>
      </w:pPr>
      <w:r w:rsidRPr="00264821">
        <w:rPr>
          <w:rFonts w:cs="Arial"/>
        </w:rPr>
        <w:t>Certification as a medical physicist in the UK is regulated by the Health &amp; Care Professions Council (HCPC)</w:t>
      </w:r>
      <w:r>
        <w:rPr>
          <w:rFonts w:cs="Arial"/>
        </w:rPr>
        <w:t>. It is a 3-year process that</w:t>
      </w:r>
      <w:r w:rsidRPr="00264821">
        <w:rPr>
          <w:rFonts w:cs="Arial"/>
        </w:rPr>
        <w:t xml:space="preserve"> requires completion of a National Health Service and UK IPEM accredited MSc program, as well as </w:t>
      </w:r>
      <w:r>
        <w:rPr>
          <w:rFonts w:cs="Arial"/>
        </w:rPr>
        <w:t xml:space="preserve">accredited </w:t>
      </w:r>
      <w:r w:rsidRPr="00264821">
        <w:rPr>
          <w:rFonts w:cs="Arial"/>
        </w:rPr>
        <w:t xml:space="preserve">clinical training. </w:t>
      </w:r>
      <w:r>
        <w:rPr>
          <w:rFonts w:cs="Arial"/>
        </w:rPr>
        <w:t>Upon certification, medical physicists are eligible to apply for Registration with the HCPC as a Clinical Scientist, which is a protected title in the UK. Registration as a Clinical Scientist is required for a medical physicist to work in hospitals in the UK.</w:t>
      </w:r>
      <w:r>
        <w:rPr>
          <w:rFonts w:ascii="ZWAdobeF" w:hAnsi="ZWAdobeF" w:cs="ZWAdobeF"/>
          <w:sz w:val="2"/>
          <w:szCs w:val="2"/>
        </w:rPr>
        <w:t>79F92F</w:t>
      </w:r>
      <w:r>
        <w:rPr>
          <w:rStyle w:val="FootnoteReference"/>
          <w:rFonts w:cs="Arial"/>
        </w:rPr>
        <w:footnoteReference w:id="94"/>
      </w:r>
    </w:p>
    <w:p w14:paraId="610DC2BA" w14:textId="77777777" w:rsidR="001E7094" w:rsidRDefault="001E7094" w:rsidP="007820F1">
      <w:pPr>
        <w:pStyle w:val="BodyText"/>
      </w:pPr>
    </w:p>
    <w:p w14:paraId="2487086F" w14:textId="1E5F3420" w:rsidR="00231DB1" w:rsidRDefault="00231DB1" w:rsidP="007E2F94">
      <w:pPr>
        <w:pStyle w:val="Heading3"/>
      </w:pPr>
      <w:r>
        <w:t>Registration</w:t>
      </w:r>
    </w:p>
    <w:p w14:paraId="572D97FA" w14:textId="3F2F7C10" w:rsidR="00F041AE" w:rsidRDefault="000834A8" w:rsidP="00F041AE">
      <w:pPr>
        <w:pStyle w:val="BodyText"/>
      </w:pPr>
      <w:r>
        <w:t>Certification should lead to registration, where records of certified professionals are maintained in a registry.</w:t>
      </w:r>
      <w:r w:rsidR="00B624C1" w:rsidRPr="00A24395">
        <w:rPr>
          <w:vertAlign w:val="superscript"/>
        </w:rPr>
        <w:fldChar w:fldCharType="begin"/>
      </w:r>
      <w:r w:rsidR="00B624C1" w:rsidRPr="00A24395">
        <w:rPr>
          <w:vertAlign w:val="superscript"/>
        </w:rPr>
        <w:instrText xml:space="preserve"> NOTEREF _Ref174458701 \h </w:instrText>
      </w:r>
      <w:r w:rsidR="00A24395">
        <w:rPr>
          <w:vertAlign w:val="superscript"/>
        </w:rPr>
        <w:instrText xml:space="preserve"> \* MERGEFORMAT </w:instrText>
      </w:r>
      <w:r w:rsidR="00B624C1" w:rsidRPr="00A24395">
        <w:rPr>
          <w:vertAlign w:val="superscript"/>
        </w:rPr>
      </w:r>
      <w:r w:rsidR="00B624C1" w:rsidRPr="00A24395">
        <w:rPr>
          <w:vertAlign w:val="superscript"/>
        </w:rPr>
        <w:fldChar w:fldCharType="separate"/>
      </w:r>
      <w:r w:rsidR="005F7EBC">
        <w:rPr>
          <w:vertAlign w:val="superscript"/>
        </w:rPr>
        <w:t>77</w:t>
      </w:r>
      <w:r w:rsidR="00B624C1" w:rsidRPr="00A24395">
        <w:rPr>
          <w:vertAlign w:val="superscript"/>
        </w:rPr>
        <w:fldChar w:fldCharType="end"/>
      </w:r>
      <w:r w:rsidR="000F562F" w:rsidRPr="00A24395">
        <w:rPr>
          <w:vertAlign w:val="superscript"/>
        </w:rPr>
        <w:t xml:space="preserve">, </w:t>
      </w:r>
      <w:r w:rsidR="000F562F" w:rsidRPr="00A24395">
        <w:rPr>
          <w:vertAlign w:val="superscript"/>
        </w:rPr>
        <w:fldChar w:fldCharType="begin"/>
      </w:r>
      <w:r w:rsidR="000F562F" w:rsidRPr="00A24395">
        <w:rPr>
          <w:vertAlign w:val="superscript"/>
        </w:rPr>
        <w:instrText xml:space="preserve"> NOTEREF _Ref174458755 \h </w:instrText>
      </w:r>
      <w:r w:rsidR="00A24395">
        <w:rPr>
          <w:vertAlign w:val="superscript"/>
        </w:rPr>
        <w:instrText xml:space="preserve"> \* MERGEFORMAT </w:instrText>
      </w:r>
      <w:r w:rsidR="000F562F" w:rsidRPr="00A24395">
        <w:rPr>
          <w:vertAlign w:val="superscript"/>
        </w:rPr>
      </w:r>
      <w:r w:rsidR="000F562F" w:rsidRPr="00A24395">
        <w:rPr>
          <w:vertAlign w:val="superscript"/>
        </w:rPr>
        <w:fldChar w:fldCharType="separate"/>
      </w:r>
      <w:r w:rsidR="005F7EBC">
        <w:rPr>
          <w:vertAlign w:val="superscript"/>
        </w:rPr>
        <w:t>87</w:t>
      </w:r>
      <w:r w:rsidR="000F562F" w:rsidRPr="00A24395">
        <w:rPr>
          <w:vertAlign w:val="superscript"/>
        </w:rPr>
        <w:fldChar w:fldCharType="end"/>
      </w:r>
      <w:r w:rsidR="00A24395" w:rsidRPr="00A24395">
        <w:rPr>
          <w:vertAlign w:val="superscript"/>
        </w:rPr>
        <w:t xml:space="preserve">, </w:t>
      </w:r>
      <w:bookmarkStart w:id="280" w:name="_Ref174458809"/>
      <w:r w:rsidR="001D1A3C">
        <w:rPr>
          <w:rFonts w:ascii="ZWAdobeF" w:hAnsi="ZWAdobeF" w:cs="ZWAdobeF"/>
          <w:sz w:val="2"/>
          <w:szCs w:val="2"/>
        </w:rPr>
        <w:t>80F</w:t>
      </w:r>
      <w:r w:rsidR="005F7EBC">
        <w:rPr>
          <w:rFonts w:ascii="ZWAdobeF" w:hAnsi="ZWAdobeF" w:cs="ZWAdobeF"/>
          <w:sz w:val="2"/>
          <w:szCs w:val="2"/>
        </w:rPr>
        <w:t>93F</w:t>
      </w:r>
      <w:r w:rsidR="00A24395">
        <w:rPr>
          <w:rStyle w:val="FootnoteReference"/>
        </w:rPr>
        <w:footnoteReference w:id="95"/>
      </w:r>
      <w:bookmarkEnd w:id="280"/>
      <w:r>
        <w:t xml:space="preserve"> The registry can be in the form of a database or roster at the national level that is ideally operated by a governmental office or by a professional body authorised by the government. A recognised registration scheme provides assurance to patients that the medical physicist has been independently assessed as providing appropriate and quality services. A registration scheme also provides national bodies </w:t>
      </w:r>
      <w:r w:rsidR="0059598C">
        <w:t xml:space="preserve">with </w:t>
      </w:r>
      <w:r>
        <w:t>knowledge of the number of registered medical physicists, which helps to inform decisions on training requirements and staffing levels.</w:t>
      </w:r>
      <w:r w:rsidR="00CA2983" w:rsidRPr="00CA2983">
        <w:rPr>
          <w:vertAlign w:val="superscript"/>
        </w:rPr>
        <w:fldChar w:fldCharType="begin"/>
      </w:r>
      <w:r w:rsidR="00CA2983" w:rsidRPr="00CA2983">
        <w:rPr>
          <w:vertAlign w:val="superscript"/>
        </w:rPr>
        <w:instrText xml:space="preserve"> NOTEREF _Ref174458809 \h </w:instrText>
      </w:r>
      <w:r w:rsidR="00CA2983">
        <w:rPr>
          <w:vertAlign w:val="superscript"/>
        </w:rPr>
        <w:instrText xml:space="preserve"> \* MERGEFORMAT </w:instrText>
      </w:r>
      <w:r w:rsidR="00CA2983" w:rsidRPr="00CA2983">
        <w:rPr>
          <w:vertAlign w:val="superscript"/>
        </w:rPr>
      </w:r>
      <w:r w:rsidR="00CA2983" w:rsidRPr="00CA2983">
        <w:rPr>
          <w:vertAlign w:val="superscript"/>
        </w:rPr>
        <w:fldChar w:fldCharType="separate"/>
      </w:r>
      <w:r w:rsidR="005F7EBC">
        <w:rPr>
          <w:vertAlign w:val="superscript"/>
        </w:rPr>
        <w:t>94</w:t>
      </w:r>
      <w:r w:rsidR="00CA2983" w:rsidRPr="00CA2983">
        <w:rPr>
          <w:vertAlign w:val="superscript"/>
        </w:rPr>
        <w:fldChar w:fldCharType="end"/>
      </w:r>
      <w:r w:rsidR="001D1082">
        <w:t xml:space="preserve"> </w:t>
      </w:r>
    </w:p>
    <w:p w14:paraId="10ED45CC" w14:textId="1BB74583" w:rsidR="004150B5" w:rsidRPr="00F041AE" w:rsidRDefault="008A1245" w:rsidP="00F041AE">
      <w:pPr>
        <w:pStyle w:val="BodyText"/>
      </w:pPr>
      <w:r>
        <w:t xml:space="preserve">A survey </w:t>
      </w:r>
      <w:r w:rsidR="00255B38">
        <w:t xml:space="preserve">of </w:t>
      </w:r>
      <w:r w:rsidR="007B533A">
        <w:t>N</w:t>
      </w:r>
      <w:r w:rsidR="00255B38">
        <w:t xml:space="preserve">ational </w:t>
      </w:r>
      <w:r w:rsidR="007B533A">
        <w:t>M</w:t>
      </w:r>
      <w:r w:rsidR="00255B38">
        <w:t xml:space="preserve">edical </w:t>
      </w:r>
      <w:r w:rsidR="007B533A">
        <w:t>P</w:t>
      </w:r>
      <w:r w:rsidR="00255B38">
        <w:t xml:space="preserve">hysicist </w:t>
      </w:r>
      <w:r w:rsidR="007B533A">
        <w:t>A</w:t>
      </w:r>
      <w:r w:rsidR="00255B38">
        <w:t>ssociation</w:t>
      </w:r>
      <w:r w:rsidR="00EF7F6F">
        <w:t xml:space="preserve">s </w:t>
      </w:r>
      <w:r w:rsidR="00A74A9D">
        <w:t>that are members of the Asia-Oceania Federation of Organizations for Medical Physics (AFOMP)</w:t>
      </w:r>
      <w:r w:rsidR="003029AF">
        <w:t xml:space="preserve"> in 2021</w:t>
      </w:r>
      <w:r w:rsidR="00056F02">
        <w:t xml:space="preserve"> found that </w:t>
      </w:r>
      <w:r w:rsidR="000B60DD">
        <w:t xml:space="preserve">only 45% of countries in the region register </w:t>
      </w:r>
      <w:r w:rsidR="00056F02">
        <w:t xml:space="preserve">medical physicists </w:t>
      </w:r>
      <w:r w:rsidR="00EB63AF">
        <w:t>as health professionals.</w:t>
      </w:r>
      <w:r w:rsidR="00802262" w:rsidRPr="00802262">
        <w:rPr>
          <w:vertAlign w:val="superscript"/>
        </w:rPr>
        <w:fldChar w:fldCharType="begin"/>
      </w:r>
      <w:r w:rsidR="00802262" w:rsidRPr="00802262">
        <w:rPr>
          <w:vertAlign w:val="superscript"/>
        </w:rPr>
        <w:instrText xml:space="preserve"> NOTEREF _Ref174629959 \h </w:instrText>
      </w:r>
      <w:r w:rsidR="00802262">
        <w:rPr>
          <w:vertAlign w:val="superscript"/>
        </w:rPr>
        <w:instrText xml:space="preserve"> \* MERGEFORMAT </w:instrText>
      </w:r>
      <w:r w:rsidR="00802262" w:rsidRPr="00802262">
        <w:rPr>
          <w:vertAlign w:val="superscript"/>
        </w:rPr>
      </w:r>
      <w:r w:rsidR="00802262" w:rsidRPr="00802262">
        <w:rPr>
          <w:vertAlign w:val="superscript"/>
        </w:rPr>
        <w:fldChar w:fldCharType="separate"/>
      </w:r>
      <w:r w:rsidR="005F7EBC">
        <w:rPr>
          <w:vertAlign w:val="superscript"/>
        </w:rPr>
        <w:t>81</w:t>
      </w:r>
      <w:r w:rsidR="00802262" w:rsidRPr="00802262">
        <w:rPr>
          <w:vertAlign w:val="superscript"/>
        </w:rPr>
        <w:fldChar w:fldCharType="end"/>
      </w:r>
      <w:r w:rsidR="005858C5" w:rsidRPr="005858C5">
        <w:t xml:space="preserve"> </w:t>
      </w:r>
      <w:r w:rsidR="00FF1D38">
        <w:t>In Europe, a</w:t>
      </w:r>
      <w:r w:rsidR="00763C70">
        <w:t xml:space="preserve"> 2020 survey </w:t>
      </w:r>
      <w:r w:rsidR="0049603D">
        <w:t>of</w:t>
      </w:r>
      <w:r w:rsidR="00F67AD0">
        <w:t xml:space="preserve"> </w:t>
      </w:r>
      <w:r w:rsidR="001234E3">
        <w:t xml:space="preserve">National Member Organisations of </w:t>
      </w:r>
      <w:r w:rsidR="00FF1D38">
        <w:t>the EFOMP</w:t>
      </w:r>
      <w:r w:rsidR="00842F11">
        <w:t xml:space="preserve"> found that </w:t>
      </w:r>
      <w:r w:rsidR="00F0030D">
        <w:t>2</w:t>
      </w:r>
      <w:r w:rsidR="00D11235">
        <w:t>2</w:t>
      </w:r>
      <w:r w:rsidR="00F0030D">
        <w:t xml:space="preserve"> of </w:t>
      </w:r>
      <w:r w:rsidR="00D11235">
        <w:t xml:space="preserve">33 </w:t>
      </w:r>
      <w:r w:rsidR="00F0030D">
        <w:t>countries</w:t>
      </w:r>
      <w:r w:rsidR="00D11235">
        <w:t xml:space="preserve"> had a National Registration Scheme</w:t>
      </w:r>
      <w:r w:rsidR="00A84C09">
        <w:t xml:space="preserve">, and of </w:t>
      </w:r>
      <w:r w:rsidR="00057C89">
        <w:t>the</w:t>
      </w:r>
      <w:r w:rsidR="00A84C09">
        <w:t>se</w:t>
      </w:r>
      <w:r w:rsidR="00057C89">
        <w:t xml:space="preserve"> 22 countries 21 had a supervising committee</w:t>
      </w:r>
      <w:r w:rsidR="00D56E55">
        <w:t>.</w:t>
      </w:r>
      <w:r w:rsidR="001D1A3C">
        <w:rPr>
          <w:rFonts w:ascii="ZWAdobeF" w:hAnsi="ZWAdobeF" w:cs="ZWAdobeF"/>
          <w:sz w:val="2"/>
          <w:szCs w:val="2"/>
        </w:rPr>
        <w:t>81F</w:t>
      </w:r>
      <w:r w:rsidR="005F7EBC">
        <w:rPr>
          <w:rFonts w:ascii="ZWAdobeF" w:hAnsi="ZWAdobeF" w:cs="ZWAdobeF"/>
          <w:sz w:val="2"/>
          <w:szCs w:val="2"/>
        </w:rPr>
        <w:t>94F</w:t>
      </w:r>
      <w:r w:rsidR="008855BD">
        <w:rPr>
          <w:rStyle w:val="FootnoteReference"/>
        </w:rPr>
        <w:footnoteReference w:id="96"/>
      </w:r>
      <w:r w:rsidR="004610BD">
        <w:t xml:space="preserve"> </w:t>
      </w:r>
      <w:r w:rsidR="00D56E55">
        <w:t>T</w:t>
      </w:r>
      <w:r w:rsidR="004610BD">
        <w:t>he</w:t>
      </w:r>
      <w:r w:rsidR="00902B4C">
        <w:t xml:space="preserve"> study deduced the presence of a supervising committee to guard the quality of the education and training programme should be mandatory.</w:t>
      </w:r>
    </w:p>
    <w:p w14:paraId="6132DBCE" w14:textId="77777777" w:rsidR="000834A8" w:rsidRDefault="000834A8" w:rsidP="007E2F94">
      <w:pPr>
        <w:pStyle w:val="Heading3"/>
      </w:pPr>
      <w:r>
        <w:t>Continuing professional development</w:t>
      </w:r>
    </w:p>
    <w:p w14:paraId="30625D68" w14:textId="435C3448" w:rsidR="00580F0D" w:rsidRDefault="000834A8" w:rsidP="000834A8">
      <w:pPr>
        <w:pStyle w:val="BodyText"/>
        <w:rPr>
          <w:rFonts w:ascii="ZWAdobeF" w:hAnsi="ZWAdobeF" w:cs="ZWAdobeF"/>
          <w:sz w:val="2"/>
          <w:szCs w:val="2"/>
        </w:rPr>
      </w:pPr>
      <w:r>
        <w:t>A regular re-certification system should be implemented to demonstrate that the CQMP maintains current knowledge of modern technologies, methods</w:t>
      </w:r>
      <w:r w:rsidR="0044256F">
        <w:t>,</w:t>
      </w:r>
      <w:r>
        <w:t xml:space="preserve"> and practice standards.</w:t>
      </w:r>
      <w:r w:rsidR="001842EC" w:rsidRPr="00CE2297">
        <w:rPr>
          <w:vertAlign w:val="superscript"/>
        </w:rPr>
        <w:fldChar w:fldCharType="begin"/>
      </w:r>
      <w:r w:rsidR="001842EC" w:rsidRPr="00CE2297">
        <w:rPr>
          <w:vertAlign w:val="superscript"/>
        </w:rPr>
        <w:instrText xml:space="preserve"> NOTEREF _Ref174457920 \h </w:instrText>
      </w:r>
      <w:r w:rsidR="00CE2297">
        <w:rPr>
          <w:vertAlign w:val="superscript"/>
        </w:rPr>
        <w:instrText xml:space="preserve"> \* MERGEFORMAT </w:instrText>
      </w:r>
      <w:r w:rsidR="001842EC" w:rsidRPr="00CE2297">
        <w:rPr>
          <w:vertAlign w:val="superscript"/>
        </w:rPr>
      </w:r>
      <w:r w:rsidR="001842EC" w:rsidRPr="00CE2297">
        <w:rPr>
          <w:vertAlign w:val="superscript"/>
        </w:rPr>
        <w:fldChar w:fldCharType="separate"/>
      </w:r>
      <w:r w:rsidR="005F7EBC">
        <w:rPr>
          <w:vertAlign w:val="superscript"/>
        </w:rPr>
        <w:t>85</w:t>
      </w:r>
      <w:r w:rsidR="001842EC" w:rsidRPr="00CE2297">
        <w:rPr>
          <w:vertAlign w:val="superscript"/>
        </w:rPr>
        <w:fldChar w:fldCharType="end"/>
      </w:r>
      <w:r>
        <w:t xml:space="preserve"> A key part of the criteria for re-certification should be engagement with </w:t>
      </w:r>
      <w:r w:rsidR="00927C24">
        <w:t>CPD</w:t>
      </w:r>
      <w:r>
        <w:t xml:space="preserve"> programs, which promote ongoing learning and aim to keep professional knowledge and skills up to date with advancements and best practice in the dynamic field.</w:t>
      </w:r>
      <w:r w:rsidR="001842EC" w:rsidRPr="00CE2297">
        <w:rPr>
          <w:vertAlign w:val="superscript"/>
        </w:rPr>
        <w:fldChar w:fldCharType="begin"/>
      </w:r>
      <w:r w:rsidR="001842EC" w:rsidRPr="00CE2297">
        <w:rPr>
          <w:vertAlign w:val="superscript"/>
        </w:rPr>
        <w:instrText xml:space="preserve"> NOTEREF _Ref174457920 \h </w:instrText>
      </w:r>
      <w:r w:rsidR="00CE2297">
        <w:rPr>
          <w:vertAlign w:val="superscript"/>
        </w:rPr>
        <w:instrText xml:space="preserve"> \* MERGEFORMAT </w:instrText>
      </w:r>
      <w:r w:rsidR="001842EC" w:rsidRPr="00CE2297">
        <w:rPr>
          <w:vertAlign w:val="superscript"/>
        </w:rPr>
      </w:r>
      <w:r w:rsidR="001842EC" w:rsidRPr="00CE2297">
        <w:rPr>
          <w:vertAlign w:val="superscript"/>
        </w:rPr>
        <w:fldChar w:fldCharType="separate"/>
      </w:r>
      <w:r w:rsidR="005F7EBC">
        <w:rPr>
          <w:vertAlign w:val="superscript"/>
        </w:rPr>
        <w:t>85</w:t>
      </w:r>
      <w:r w:rsidR="001842EC" w:rsidRPr="00CE2297">
        <w:rPr>
          <w:vertAlign w:val="superscript"/>
        </w:rPr>
        <w:fldChar w:fldCharType="end"/>
      </w:r>
      <w:r w:rsidR="001842EC" w:rsidRPr="00CE2297">
        <w:rPr>
          <w:vertAlign w:val="superscript"/>
        </w:rPr>
        <w:t>,</w:t>
      </w:r>
      <w:r w:rsidR="00CE2297" w:rsidRPr="00CE2297">
        <w:rPr>
          <w:vertAlign w:val="superscript"/>
        </w:rPr>
        <w:t xml:space="preserve"> </w:t>
      </w:r>
      <w:r w:rsidR="00CE2297" w:rsidRPr="00CE2297">
        <w:rPr>
          <w:vertAlign w:val="superscript"/>
        </w:rPr>
        <w:fldChar w:fldCharType="begin"/>
      </w:r>
      <w:r w:rsidR="00CE2297" w:rsidRPr="00CE2297">
        <w:rPr>
          <w:vertAlign w:val="superscript"/>
        </w:rPr>
        <w:instrText xml:space="preserve"> NOTEREF _Ref174458565 \h </w:instrText>
      </w:r>
      <w:r w:rsidR="00CE2297">
        <w:rPr>
          <w:vertAlign w:val="superscript"/>
        </w:rPr>
        <w:instrText xml:space="preserve"> \* MERGEFORMAT </w:instrText>
      </w:r>
      <w:r w:rsidR="00CE2297" w:rsidRPr="00CE2297">
        <w:rPr>
          <w:vertAlign w:val="superscript"/>
        </w:rPr>
      </w:r>
      <w:r w:rsidR="00CE2297" w:rsidRPr="00CE2297">
        <w:rPr>
          <w:vertAlign w:val="superscript"/>
        </w:rPr>
        <w:fldChar w:fldCharType="separate"/>
      </w:r>
      <w:r w:rsidR="005F7EBC">
        <w:rPr>
          <w:vertAlign w:val="superscript"/>
        </w:rPr>
        <w:t>91</w:t>
      </w:r>
      <w:r w:rsidR="00CE2297" w:rsidRPr="00CE2297">
        <w:rPr>
          <w:vertAlign w:val="superscript"/>
        </w:rPr>
        <w:fldChar w:fldCharType="end"/>
      </w:r>
      <w:r w:rsidR="00CE2297" w:rsidRPr="00CE2297">
        <w:rPr>
          <w:vertAlign w:val="superscript"/>
        </w:rPr>
        <w:t>,</w:t>
      </w:r>
      <w:r w:rsidR="001842EC">
        <w:t xml:space="preserve"> </w:t>
      </w:r>
      <w:r w:rsidR="001D1A3C">
        <w:rPr>
          <w:rFonts w:ascii="ZWAdobeF" w:hAnsi="ZWAdobeF" w:cs="ZWAdobeF"/>
          <w:sz w:val="2"/>
          <w:szCs w:val="2"/>
        </w:rPr>
        <w:t>82F</w:t>
      </w:r>
      <w:r w:rsidR="005F7EBC">
        <w:rPr>
          <w:rFonts w:ascii="ZWAdobeF" w:hAnsi="ZWAdobeF" w:cs="ZWAdobeF"/>
          <w:sz w:val="2"/>
          <w:szCs w:val="2"/>
        </w:rPr>
        <w:t>95F</w:t>
      </w:r>
      <w:r w:rsidR="001842EC">
        <w:rPr>
          <w:rStyle w:val="FootnoteReference"/>
        </w:rPr>
        <w:footnoteReference w:id="97"/>
      </w:r>
    </w:p>
    <w:p w14:paraId="541C102E" w14:textId="61BB0B2A" w:rsidR="00580F0D" w:rsidRDefault="00274BB5" w:rsidP="00273E1A">
      <w:pPr>
        <w:pStyle w:val="Heading2"/>
      </w:pPr>
      <w:bookmarkStart w:id="281" w:name="_Toc178240517"/>
      <w:bookmarkStart w:id="282" w:name="_Toc178240713"/>
      <w:bookmarkStart w:id="283" w:name="_Toc178240779"/>
      <w:bookmarkStart w:id="284" w:name="_Toc178240813"/>
      <w:bookmarkStart w:id="285" w:name="_Toc178260492"/>
      <w:bookmarkStart w:id="286" w:name="_Toc184396581"/>
      <w:bookmarkStart w:id="287" w:name="_Toc216711615"/>
      <w:bookmarkStart w:id="288" w:name="_Toc216792009"/>
      <w:r>
        <w:t>Best practice insights</w:t>
      </w:r>
      <w:r w:rsidR="00BA4F29">
        <w:t xml:space="preserve"> for the delivery of structured </w:t>
      </w:r>
      <w:r w:rsidR="00AA4CC9">
        <w:t xml:space="preserve">medical physics </w:t>
      </w:r>
      <w:r w:rsidR="00BA4F29">
        <w:t>training programs</w:t>
      </w:r>
      <w:bookmarkEnd w:id="281"/>
      <w:bookmarkEnd w:id="282"/>
      <w:bookmarkEnd w:id="283"/>
      <w:bookmarkEnd w:id="284"/>
      <w:bookmarkEnd w:id="285"/>
      <w:bookmarkEnd w:id="286"/>
      <w:bookmarkEnd w:id="287"/>
      <w:bookmarkEnd w:id="288"/>
      <w:r w:rsidR="00BA4F29">
        <w:t xml:space="preserve"> </w:t>
      </w:r>
    </w:p>
    <w:p w14:paraId="4CCA6FCC" w14:textId="40F01984" w:rsidR="00274BB5" w:rsidRDefault="00A554B7" w:rsidP="00CA469B">
      <w:pPr>
        <w:pStyle w:val="Heading3"/>
      </w:pPr>
      <w:r>
        <w:t>Program g</w:t>
      </w:r>
      <w:r w:rsidR="00274BB5">
        <w:t>overnance</w:t>
      </w:r>
    </w:p>
    <w:p w14:paraId="24387527" w14:textId="434E8EE4" w:rsidR="000E0A40" w:rsidRDefault="000E0A40" w:rsidP="000E0A40">
      <w:pPr>
        <w:pStyle w:val="BodyText"/>
      </w:pPr>
      <w:r>
        <w:t>According to the IAEA, clinical training programmes should be under the direction of a national authority, relevant professional body, or the National Atomic Energy Authority. The IAEA specifies that the responsibilities of this authority include:</w:t>
      </w:r>
      <w:r w:rsidR="005C6399" w:rsidRPr="005C6399">
        <w:rPr>
          <w:vertAlign w:val="superscript"/>
        </w:rPr>
        <w:fldChar w:fldCharType="begin"/>
      </w:r>
      <w:r w:rsidR="005C6399" w:rsidRPr="005C6399">
        <w:rPr>
          <w:vertAlign w:val="superscript"/>
        </w:rPr>
        <w:instrText xml:space="preserve"> NOTEREF _Ref174458755 \h </w:instrText>
      </w:r>
      <w:r w:rsidR="005C6399">
        <w:rPr>
          <w:vertAlign w:val="superscript"/>
        </w:rPr>
        <w:instrText xml:space="preserve"> \* MERGEFORMAT </w:instrText>
      </w:r>
      <w:r w:rsidR="005C6399" w:rsidRPr="005C6399">
        <w:rPr>
          <w:vertAlign w:val="superscript"/>
        </w:rPr>
      </w:r>
      <w:r w:rsidR="005C6399" w:rsidRPr="005C6399">
        <w:rPr>
          <w:vertAlign w:val="superscript"/>
        </w:rPr>
        <w:fldChar w:fldCharType="separate"/>
      </w:r>
      <w:r w:rsidR="005F7EBC">
        <w:rPr>
          <w:vertAlign w:val="superscript"/>
        </w:rPr>
        <w:t>87</w:t>
      </w:r>
      <w:r w:rsidR="005C6399" w:rsidRPr="005C6399">
        <w:rPr>
          <w:vertAlign w:val="superscript"/>
        </w:rPr>
        <w:fldChar w:fldCharType="end"/>
      </w:r>
    </w:p>
    <w:p w14:paraId="2C99A3C0" w14:textId="18A230FE" w:rsidR="000E0A40" w:rsidRDefault="000E0A40" w:rsidP="000203AB">
      <w:pPr>
        <w:pStyle w:val="ListBullet"/>
      </w:pPr>
      <w:r>
        <w:t xml:space="preserve">Establishing a National Steering Committee to oversee the </w:t>
      </w:r>
      <w:proofErr w:type="gramStart"/>
      <w:r>
        <w:t>programme</w:t>
      </w:r>
      <w:r w:rsidR="00FB1166">
        <w:t>;</w:t>
      </w:r>
      <w:proofErr w:type="gramEnd"/>
    </w:p>
    <w:p w14:paraId="6EEACE8D" w14:textId="3D24CEBE" w:rsidR="000E0A40" w:rsidRDefault="000E0A40" w:rsidP="000203AB">
      <w:pPr>
        <w:pStyle w:val="ListBullet"/>
      </w:pPr>
      <w:r>
        <w:t xml:space="preserve">Appointing a National Programme Coordinator to oversee the implementation of the </w:t>
      </w:r>
      <w:proofErr w:type="gramStart"/>
      <w:r>
        <w:t>programme</w:t>
      </w:r>
      <w:r w:rsidR="00FB1166">
        <w:t>;</w:t>
      </w:r>
      <w:proofErr w:type="gramEnd"/>
    </w:p>
    <w:p w14:paraId="1D73EAAF" w14:textId="26A48585" w:rsidR="000E0A40" w:rsidRDefault="000E0A40" w:rsidP="000203AB">
      <w:pPr>
        <w:pStyle w:val="ListBullet"/>
      </w:pPr>
      <w:r>
        <w:t>Ensuring that the Professional Body sets professional standards required to define competency, provides professional support for the programme and has overall responsib</w:t>
      </w:r>
      <w:r w:rsidR="00D74099">
        <w:t>ility</w:t>
      </w:r>
      <w:r>
        <w:t xml:space="preserve"> for the assessment </w:t>
      </w:r>
      <w:proofErr w:type="gramStart"/>
      <w:r>
        <w:t>processes</w:t>
      </w:r>
      <w:r w:rsidR="00256628">
        <w:t>;</w:t>
      </w:r>
      <w:proofErr w:type="gramEnd"/>
    </w:p>
    <w:p w14:paraId="02CFEF18" w14:textId="5DF5A106" w:rsidR="000E0A40" w:rsidRDefault="000E0A40" w:rsidP="000203AB">
      <w:pPr>
        <w:pStyle w:val="ListBullet"/>
      </w:pPr>
      <w:r>
        <w:t>Establishing a Support Group of individuals who agree to assist with Resident training</w:t>
      </w:r>
      <w:r w:rsidR="00F3227E">
        <w:t>; and</w:t>
      </w:r>
    </w:p>
    <w:p w14:paraId="7DFB41F7" w14:textId="5AFBA403" w:rsidR="000E0A40" w:rsidRDefault="000E0A40" w:rsidP="000203AB">
      <w:pPr>
        <w:pStyle w:val="ListBullet"/>
      </w:pPr>
      <w:r>
        <w:t>Ensuring that the programme is financially viable.</w:t>
      </w:r>
    </w:p>
    <w:p w14:paraId="2B1E9B2A" w14:textId="37CC8769" w:rsidR="000E0A40" w:rsidRDefault="000E0A40" w:rsidP="000E0A40">
      <w:pPr>
        <w:pStyle w:val="BodyText"/>
      </w:pPr>
      <w:r>
        <w:t>The role of the program steering committee is to review the status of the residency program, track the progress of individual residents, address specific issues that may arise concerning the program or the residents, and discuss any necessary changes to the program. It is recommended that the steering committee include key staff such as the program director, as well as a physician and a resident representative.</w:t>
      </w:r>
      <w:r w:rsidR="000448BF" w:rsidRPr="000448BF">
        <w:rPr>
          <w:vertAlign w:val="superscript"/>
        </w:rPr>
        <w:fldChar w:fldCharType="begin"/>
      </w:r>
      <w:r w:rsidR="000448BF" w:rsidRPr="000448BF">
        <w:rPr>
          <w:vertAlign w:val="superscript"/>
        </w:rPr>
        <w:instrText xml:space="preserve"> NOTEREF _Ref174458021 \h </w:instrText>
      </w:r>
      <w:r w:rsidR="000448BF">
        <w:rPr>
          <w:vertAlign w:val="superscript"/>
        </w:rPr>
        <w:instrText xml:space="preserve"> \* MERGEFORMAT </w:instrText>
      </w:r>
      <w:r w:rsidR="000448BF" w:rsidRPr="000448BF">
        <w:rPr>
          <w:vertAlign w:val="superscript"/>
        </w:rPr>
      </w:r>
      <w:r w:rsidR="000448BF" w:rsidRPr="000448BF">
        <w:rPr>
          <w:vertAlign w:val="superscript"/>
        </w:rPr>
        <w:fldChar w:fldCharType="separate"/>
      </w:r>
      <w:r w:rsidR="005F7EBC">
        <w:rPr>
          <w:vertAlign w:val="superscript"/>
        </w:rPr>
        <w:t>86</w:t>
      </w:r>
      <w:r w:rsidR="000448BF" w:rsidRPr="000448BF">
        <w:rPr>
          <w:vertAlign w:val="superscript"/>
        </w:rPr>
        <w:fldChar w:fldCharType="end"/>
      </w:r>
    </w:p>
    <w:p w14:paraId="634E7645" w14:textId="3C73A508" w:rsidR="00580F0D" w:rsidRDefault="000E0A40" w:rsidP="000E0A40">
      <w:pPr>
        <w:pStyle w:val="BodyText"/>
      </w:pPr>
      <w:r>
        <w:t>There should be a single, identified program director who is accountable for the operation and quality of the program. The program director is responsible for program organisation and direction, as well as the recruitment, instruction, progress, performance, and supervision of residents.</w:t>
      </w:r>
      <w:r w:rsidR="00BF7175" w:rsidRPr="00BF7175">
        <w:rPr>
          <w:vertAlign w:val="superscript"/>
        </w:rPr>
        <w:fldChar w:fldCharType="begin"/>
      </w:r>
      <w:r w:rsidR="00BF7175" w:rsidRPr="00BF7175">
        <w:rPr>
          <w:vertAlign w:val="superscript"/>
        </w:rPr>
        <w:instrText xml:space="preserve"> NOTEREF _Ref174458021 \h </w:instrText>
      </w:r>
      <w:r w:rsidR="00BF7175">
        <w:rPr>
          <w:vertAlign w:val="superscript"/>
        </w:rPr>
        <w:instrText xml:space="preserve"> \* MERGEFORMAT </w:instrText>
      </w:r>
      <w:r w:rsidR="00BF7175" w:rsidRPr="00BF7175">
        <w:rPr>
          <w:vertAlign w:val="superscript"/>
        </w:rPr>
      </w:r>
      <w:r w:rsidR="00BF7175" w:rsidRPr="00BF7175">
        <w:rPr>
          <w:vertAlign w:val="superscript"/>
        </w:rPr>
        <w:fldChar w:fldCharType="separate"/>
      </w:r>
      <w:r w:rsidR="005F7EBC">
        <w:rPr>
          <w:vertAlign w:val="superscript"/>
        </w:rPr>
        <w:t>86</w:t>
      </w:r>
      <w:r w:rsidR="00BF7175" w:rsidRPr="00BF7175">
        <w:rPr>
          <w:vertAlign w:val="superscript"/>
        </w:rPr>
        <w:fldChar w:fldCharType="end"/>
      </w:r>
    </w:p>
    <w:p w14:paraId="6603032B" w14:textId="7DBFBDF2" w:rsidR="00274BB5" w:rsidRDefault="001E41AC" w:rsidP="00CA469B">
      <w:pPr>
        <w:pStyle w:val="Heading3"/>
      </w:pPr>
      <w:r>
        <w:t>Supervisors</w:t>
      </w:r>
    </w:p>
    <w:p w14:paraId="4828B3B6" w14:textId="0C012B7A" w:rsidR="001E41AC" w:rsidRDefault="001E41AC" w:rsidP="001E41AC">
      <w:pPr>
        <w:pStyle w:val="BodyText"/>
      </w:pPr>
      <w:r>
        <w:t xml:space="preserve">Supervisors are senior CQMPs who play a critical role in overseeing the training of </w:t>
      </w:r>
      <w:r w:rsidR="006D5625">
        <w:t>Trainee</w:t>
      </w:r>
      <w:r>
        <w:t xml:space="preserve">s and providing individual support to </w:t>
      </w:r>
      <w:r w:rsidR="006D5625">
        <w:t>Trainee</w:t>
      </w:r>
      <w:r>
        <w:t xml:space="preserve">s. The IAEA and AAPM advise that a </w:t>
      </w:r>
      <w:r w:rsidR="006D5625">
        <w:t>Supervisor</w:t>
      </w:r>
      <w:r>
        <w:t xml:space="preserve"> must not supervise more than two or three </w:t>
      </w:r>
      <w:r w:rsidR="006D5625">
        <w:t>Trainee</w:t>
      </w:r>
      <w:r>
        <w:t>s at any given time.</w:t>
      </w:r>
      <w:r w:rsidR="00D0186D" w:rsidRPr="006A7C30">
        <w:rPr>
          <w:vertAlign w:val="superscript"/>
        </w:rPr>
        <w:fldChar w:fldCharType="begin"/>
      </w:r>
      <w:r w:rsidR="00D0186D" w:rsidRPr="006A7C30">
        <w:rPr>
          <w:vertAlign w:val="superscript"/>
        </w:rPr>
        <w:instrText xml:space="preserve"> NOTEREF _Ref174458755 \h </w:instrText>
      </w:r>
      <w:r w:rsidR="006A7C30">
        <w:rPr>
          <w:vertAlign w:val="superscript"/>
        </w:rPr>
        <w:instrText xml:space="preserve"> \* MERGEFORMAT </w:instrText>
      </w:r>
      <w:r w:rsidR="00D0186D" w:rsidRPr="006A7C30">
        <w:rPr>
          <w:vertAlign w:val="superscript"/>
        </w:rPr>
      </w:r>
      <w:r w:rsidR="00D0186D" w:rsidRPr="006A7C30">
        <w:rPr>
          <w:vertAlign w:val="superscript"/>
        </w:rPr>
        <w:fldChar w:fldCharType="separate"/>
      </w:r>
      <w:r w:rsidR="005F7EBC">
        <w:rPr>
          <w:vertAlign w:val="superscript"/>
        </w:rPr>
        <w:t>87</w:t>
      </w:r>
      <w:r w:rsidR="00D0186D" w:rsidRPr="006A7C30">
        <w:rPr>
          <w:vertAlign w:val="superscript"/>
        </w:rPr>
        <w:fldChar w:fldCharType="end"/>
      </w:r>
      <w:r w:rsidR="00D0186D" w:rsidRPr="006A7C30">
        <w:rPr>
          <w:vertAlign w:val="superscript"/>
        </w:rPr>
        <w:t>,</w:t>
      </w:r>
      <w:r w:rsidR="00D0186D">
        <w:t xml:space="preserve"> </w:t>
      </w:r>
      <w:bookmarkStart w:id="289" w:name="_Ref174459461"/>
      <w:r w:rsidR="001D1A3C">
        <w:rPr>
          <w:rFonts w:ascii="ZWAdobeF" w:hAnsi="ZWAdobeF" w:cs="ZWAdobeF"/>
          <w:sz w:val="2"/>
          <w:szCs w:val="2"/>
        </w:rPr>
        <w:t>84F</w:t>
      </w:r>
      <w:r w:rsidR="005F7EBC">
        <w:rPr>
          <w:rFonts w:ascii="ZWAdobeF" w:hAnsi="ZWAdobeF" w:cs="ZWAdobeF"/>
          <w:sz w:val="2"/>
          <w:szCs w:val="2"/>
        </w:rPr>
        <w:t>96F</w:t>
      </w:r>
      <w:r w:rsidR="006A7C30">
        <w:rPr>
          <w:rStyle w:val="FootnoteReference"/>
        </w:rPr>
        <w:footnoteReference w:id="98"/>
      </w:r>
      <w:bookmarkEnd w:id="289"/>
      <w:r>
        <w:t xml:space="preserve"> According to the IAEA, responsibilities of a </w:t>
      </w:r>
      <w:r w:rsidR="006D5625">
        <w:t>Supervisor</w:t>
      </w:r>
      <w:r>
        <w:t xml:space="preserve"> include:</w:t>
      </w:r>
      <w:r w:rsidR="000969DB" w:rsidRPr="000969DB">
        <w:rPr>
          <w:vertAlign w:val="superscript"/>
        </w:rPr>
        <w:fldChar w:fldCharType="begin"/>
      </w:r>
      <w:r w:rsidR="000969DB" w:rsidRPr="000969DB">
        <w:rPr>
          <w:vertAlign w:val="superscript"/>
        </w:rPr>
        <w:instrText xml:space="preserve"> NOTEREF _Ref174458755 \h </w:instrText>
      </w:r>
      <w:r w:rsidR="000969DB">
        <w:rPr>
          <w:vertAlign w:val="superscript"/>
        </w:rPr>
        <w:instrText xml:space="preserve"> \* MERGEFORMAT </w:instrText>
      </w:r>
      <w:r w:rsidR="000969DB" w:rsidRPr="000969DB">
        <w:rPr>
          <w:vertAlign w:val="superscript"/>
        </w:rPr>
      </w:r>
      <w:r w:rsidR="000969DB" w:rsidRPr="000969DB">
        <w:rPr>
          <w:vertAlign w:val="superscript"/>
        </w:rPr>
        <w:fldChar w:fldCharType="separate"/>
      </w:r>
      <w:r w:rsidR="005F7EBC">
        <w:rPr>
          <w:vertAlign w:val="superscript"/>
        </w:rPr>
        <w:t>87</w:t>
      </w:r>
      <w:r w:rsidR="000969DB" w:rsidRPr="000969DB">
        <w:rPr>
          <w:vertAlign w:val="superscript"/>
        </w:rPr>
        <w:fldChar w:fldCharType="end"/>
      </w:r>
    </w:p>
    <w:p w14:paraId="7772706C" w14:textId="16940896" w:rsidR="001E41AC" w:rsidRDefault="001E41AC" w:rsidP="000203AB">
      <w:pPr>
        <w:pStyle w:val="ListBullet"/>
      </w:pPr>
      <w:r>
        <w:t xml:space="preserve">Facilitating the structured training </w:t>
      </w:r>
      <w:proofErr w:type="gramStart"/>
      <w:r>
        <w:t>programme</w:t>
      </w:r>
      <w:r w:rsidR="003754E4">
        <w:t>;</w:t>
      </w:r>
      <w:proofErr w:type="gramEnd"/>
    </w:p>
    <w:p w14:paraId="0909D466" w14:textId="0FF2A19C" w:rsidR="001E41AC" w:rsidRDefault="001E41AC" w:rsidP="000203AB">
      <w:pPr>
        <w:pStyle w:val="ListBullet"/>
      </w:pPr>
      <w:r>
        <w:t xml:space="preserve">Meeting regularly with the Resident to discuss progress and </w:t>
      </w:r>
      <w:proofErr w:type="gramStart"/>
      <w:r>
        <w:t>feedback</w:t>
      </w:r>
      <w:r w:rsidR="003754E4">
        <w:t>;</w:t>
      </w:r>
      <w:proofErr w:type="gramEnd"/>
    </w:p>
    <w:p w14:paraId="1E02ECE7" w14:textId="3FE3863C" w:rsidR="001E41AC" w:rsidRDefault="001E41AC" w:rsidP="000203AB">
      <w:pPr>
        <w:pStyle w:val="ListBullet"/>
      </w:pPr>
      <w:r>
        <w:t xml:space="preserve">Providing a six-monthly report on the Resident’s progress to the programme </w:t>
      </w:r>
      <w:proofErr w:type="gramStart"/>
      <w:r w:rsidR="00095F74">
        <w:t>C</w:t>
      </w:r>
      <w:r>
        <w:t>oordinator</w:t>
      </w:r>
      <w:r w:rsidR="003754E4">
        <w:t>;</w:t>
      </w:r>
      <w:proofErr w:type="gramEnd"/>
    </w:p>
    <w:p w14:paraId="68E724E2" w14:textId="225D02BC" w:rsidR="001E41AC" w:rsidRDefault="001E41AC" w:rsidP="000203AB">
      <w:pPr>
        <w:pStyle w:val="ListBullet"/>
      </w:pPr>
      <w:r>
        <w:t xml:space="preserve">Ensuring that the Resident’s clinical training and performance is monitored, documented, assessed and reported as </w:t>
      </w:r>
      <w:proofErr w:type="gramStart"/>
      <w:r>
        <w:t>required</w:t>
      </w:r>
      <w:r w:rsidR="003754E4">
        <w:t>;</w:t>
      </w:r>
      <w:proofErr w:type="gramEnd"/>
    </w:p>
    <w:p w14:paraId="1B30A353" w14:textId="2153E4E6" w:rsidR="001E41AC" w:rsidRDefault="001E41AC" w:rsidP="000203AB">
      <w:pPr>
        <w:pStyle w:val="ListBullet"/>
      </w:pPr>
      <w:r>
        <w:t xml:space="preserve">Ensuring that clinical training is provided to a standard acceptable to the National Steering Committee and providing support to the Resident where </w:t>
      </w:r>
      <w:proofErr w:type="gramStart"/>
      <w:r>
        <w:t>required</w:t>
      </w:r>
      <w:r w:rsidR="003754E4">
        <w:t>;</w:t>
      </w:r>
      <w:proofErr w:type="gramEnd"/>
    </w:p>
    <w:p w14:paraId="3AB93F51" w14:textId="03183C32" w:rsidR="001E41AC" w:rsidRDefault="001E41AC" w:rsidP="000203AB">
      <w:pPr>
        <w:pStyle w:val="ListBullet"/>
      </w:pPr>
      <w:r>
        <w:t xml:space="preserve">Ensuring that the Resident is placed in other hospitals, where possible, for short periods to gain experience in techniques or the use of equipment not available in the Resident’s own </w:t>
      </w:r>
      <w:proofErr w:type="gramStart"/>
      <w:r>
        <w:t>department</w:t>
      </w:r>
      <w:r w:rsidR="007F7EAA">
        <w:t>;</w:t>
      </w:r>
      <w:proofErr w:type="gramEnd"/>
    </w:p>
    <w:p w14:paraId="018B7AF0" w14:textId="55C8B5D4" w:rsidR="001E41AC" w:rsidRDefault="001E41AC" w:rsidP="000203AB">
      <w:pPr>
        <w:pStyle w:val="ListBullet"/>
      </w:pPr>
      <w:r>
        <w:t>Ensuring that the Resident has sufficient opportunity to prepare for all assessments required</w:t>
      </w:r>
      <w:r w:rsidR="007F7EAA">
        <w:t>;</w:t>
      </w:r>
      <w:r>
        <w:t xml:space="preserve"> and</w:t>
      </w:r>
    </w:p>
    <w:p w14:paraId="7C1DC427" w14:textId="70A83F26" w:rsidR="001E41AC" w:rsidRDefault="001E41AC" w:rsidP="000203AB">
      <w:pPr>
        <w:pStyle w:val="ListBullet"/>
      </w:pPr>
      <w:r>
        <w:t>Facilitating external assessments of Residents during their training where possible.</w:t>
      </w:r>
    </w:p>
    <w:p w14:paraId="1C9D6C47" w14:textId="2F10AA9A" w:rsidR="00274BB5" w:rsidRDefault="006A29C8" w:rsidP="001E41AC">
      <w:pPr>
        <w:pStyle w:val="BodyText"/>
      </w:pPr>
      <w:r>
        <w:t>As part of this process,</w:t>
      </w:r>
      <w:r w:rsidR="001E41AC">
        <w:t xml:space="preserve"> the Supervisor works with the Resident to develop and formally adopt a learning agreement and plan within the first two months</w:t>
      </w:r>
      <w:r w:rsidR="00B41E7D">
        <w:t xml:space="preserve"> of the program</w:t>
      </w:r>
      <w:r w:rsidR="001E41AC">
        <w:t>. Th</w:t>
      </w:r>
      <w:r w:rsidR="00491681">
        <w:t>e</w:t>
      </w:r>
      <w:r w:rsidR="001E41AC">
        <w:t xml:space="preserve"> purpose of this plan is to </w:t>
      </w:r>
      <w:r w:rsidR="009B74B9">
        <w:t xml:space="preserve">outline </w:t>
      </w:r>
      <w:r w:rsidR="00EA4A82">
        <w:t xml:space="preserve">the Resident’s </w:t>
      </w:r>
      <w:r w:rsidR="001E41AC">
        <w:t xml:space="preserve">learning needs, schedule of training, objectives, resources and strategies. The learning agreement </w:t>
      </w:r>
      <w:r>
        <w:t>is</w:t>
      </w:r>
      <w:r w:rsidR="001E41AC">
        <w:t xml:space="preserve"> re-examined at regular and six-monthly progress review meetings.</w:t>
      </w:r>
      <w:r w:rsidR="002046E8" w:rsidRPr="002046E8">
        <w:rPr>
          <w:vertAlign w:val="superscript"/>
        </w:rPr>
        <w:fldChar w:fldCharType="begin"/>
      </w:r>
      <w:r w:rsidR="002046E8" w:rsidRPr="002046E8">
        <w:rPr>
          <w:vertAlign w:val="superscript"/>
        </w:rPr>
        <w:instrText xml:space="preserve"> NOTEREF _Ref174458755 \h </w:instrText>
      </w:r>
      <w:r w:rsidR="002046E8">
        <w:rPr>
          <w:vertAlign w:val="superscript"/>
        </w:rPr>
        <w:instrText xml:space="preserve"> \* MERGEFORMAT </w:instrText>
      </w:r>
      <w:r w:rsidR="002046E8" w:rsidRPr="002046E8">
        <w:rPr>
          <w:vertAlign w:val="superscript"/>
        </w:rPr>
      </w:r>
      <w:r w:rsidR="002046E8" w:rsidRPr="002046E8">
        <w:rPr>
          <w:vertAlign w:val="superscript"/>
        </w:rPr>
        <w:fldChar w:fldCharType="separate"/>
      </w:r>
      <w:r w:rsidR="005F7EBC">
        <w:rPr>
          <w:vertAlign w:val="superscript"/>
        </w:rPr>
        <w:t>87</w:t>
      </w:r>
      <w:r w:rsidR="002046E8" w:rsidRPr="002046E8">
        <w:rPr>
          <w:vertAlign w:val="superscript"/>
        </w:rPr>
        <w:fldChar w:fldCharType="end"/>
      </w:r>
      <w:r w:rsidR="002046E8" w:rsidRPr="002046E8">
        <w:rPr>
          <w:vertAlign w:val="superscript"/>
        </w:rPr>
        <w:t xml:space="preserve">, </w:t>
      </w:r>
      <w:r w:rsidR="002046E8" w:rsidRPr="002046E8">
        <w:rPr>
          <w:vertAlign w:val="superscript"/>
        </w:rPr>
        <w:fldChar w:fldCharType="begin"/>
      </w:r>
      <w:r w:rsidR="002046E8" w:rsidRPr="002046E8">
        <w:rPr>
          <w:vertAlign w:val="superscript"/>
        </w:rPr>
        <w:instrText xml:space="preserve"> NOTEREF _Ref174459461 \h </w:instrText>
      </w:r>
      <w:r w:rsidR="002046E8">
        <w:rPr>
          <w:vertAlign w:val="superscript"/>
        </w:rPr>
        <w:instrText xml:space="preserve"> \* MERGEFORMAT </w:instrText>
      </w:r>
      <w:r w:rsidR="002046E8" w:rsidRPr="002046E8">
        <w:rPr>
          <w:vertAlign w:val="superscript"/>
        </w:rPr>
      </w:r>
      <w:r w:rsidR="002046E8" w:rsidRPr="002046E8">
        <w:rPr>
          <w:vertAlign w:val="superscript"/>
        </w:rPr>
        <w:fldChar w:fldCharType="separate"/>
      </w:r>
      <w:r w:rsidR="005F7EBC">
        <w:rPr>
          <w:vertAlign w:val="superscript"/>
        </w:rPr>
        <w:t>97</w:t>
      </w:r>
      <w:r w:rsidR="002046E8" w:rsidRPr="002046E8">
        <w:rPr>
          <w:vertAlign w:val="superscript"/>
        </w:rPr>
        <w:fldChar w:fldCharType="end"/>
      </w:r>
      <w:r w:rsidR="001E41AC">
        <w:t xml:space="preserve"> As the </w:t>
      </w:r>
      <w:r w:rsidR="006D5625">
        <w:t>Trainee</w:t>
      </w:r>
      <w:r w:rsidR="001E41AC">
        <w:t xml:space="preserve"> grows professionally, the </w:t>
      </w:r>
      <w:r w:rsidR="006D5625">
        <w:t>Supervisor</w:t>
      </w:r>
      <w:r w:rsidR="001E41AC">
        <w:t xml:space="preserve"> </w:t>
      </w:r>
      <w:r>
        <w:t>supports</w:t>
      </w:r>
      <w:r w:rsidR="001E41AC">
        <w:t xml:space="preserve"> the </w:t>
      </w:r>
      <w:r w:rsidR="006D5625">
        <w:t>Trainee</w:t>
      </w:r>
      <w:r w:rsidR="001E41AC">
        <w:t xml:space="preserve"> </w:t>
      </w:r>
      <w:r>
        <w:t xml:space="preserve">to undertake </w:t>
      </w:r>
      <w:r w:rsidR="001E41AC">
        <w:t>greater responsibility and autonomy.</w:t>
      </w:r>
      <w:r w:rsidR="002046E8" w:rsidRPr="002046E8">
        <w:rPr>
          <w:vertAlign w:val="superscript"/>
        </w:rPr>
        <w:fldChar w:fldCharType="begin"/>
      </w:r>
      <w:r w:rsidR="002046E8" w:rsidRPr="002046E8">
        <w:rPr>
          <w:vertAlign w:val="superscript"/>
        </w:rPr>
        <w:instrText xml:space="preserve"> NOTEREF _Ref174459461 \h </w:instrText>
      </w:r>
      <w:r w:rsidR="002046E8">
        <w:rPr>
          <w:vertAlign w:val="superscript"/>
        </w:rPr>
        <w:instrText xml:space="preserve"> \* MERGEFORMAT </w:instrText>
      </w:r>
      <w:r w:rsidR="002046E8" w:rsidRPr="002046E8">
        <w:rPr>
          <w:vertAlign w:val="superscript"/>
        </w:rPr>
      </w:r>
      <w:r w:rsidR="002046E8" w:rsidRPr="002046E8">
        <w:rPr>
          <w:vertAlign w:val="superscript"/>
        </w:rPr>
        <w:fldChar w:fldCharType="separate"/>
      </w:r>
      <w:r w:rsidR="005F7EBC">
        <w:rPr>
          <w:vertAlign w:val="superscript"/>
        </w:rPr>
        <w:t>97</w:t>
      </w:r>
      <w:r w:rsidR="002046E8" w:rsidRPr="002046E8">
        <w:rPr>
          <w:vertAlign w:val="superscript"/>
        </w:rPr>
        <w:fldChar w:fldCharType="end"/>
      </w:r>
    </w:p>
    <w:p w14:paraId="4D7D605F" w14:textId="021F7529" w:rsidR="00274BB5" w:rsidRDefault="00BE13BD" w:rsidP="008A1A1F">
      <w:pPr>
        <w:pStyle w:val="Heading3"/>
      </w:pPr>
      <w:r>
        <w:t>Educational and training environment</w:t>
      </w:r>
    </w:p>
    <w:p w14:paraId="5DE700FD" w14:textId="7B15CC78" w:rsidR="00274BB5" w:rsidRDefault="007A5BF6" w:rsidP="00274BB5">
      <w:pPr>
        <w:pStyle w:val="BodyText"/>
      </w:pPr>
      <w:r>
        <w:t>T</w:t>
      </w:r>
      <w:r w:rsidR="00BE13BD" w:rsidRPr="00BE13BD">
        <w:t>raining should be carried out in a hospital environment that encourages the exchange of knowledge, experience, and ideas.</w:t>
      </w:r>
      <w:r w:rsidR="00661261" w:rsidRPr="00661261">
        <w:rPr>
          <w:vertAlign w:val="superscript"/>
        </w:rPr>
        <w:fldChar w:fldCharType="begin"/>
      </w:r>
      <w:r w:rsidR="00661261" w:rsidRPr="00661261">
        <w:rPr>
          <w:vertAlign w:val="superscript"/>
        </w:rPr>
        <w:instrText xml:space="preserve"> NOTEREF _Ref174458021 \h </w:instrText>
      </w:r>
      <w:r w:rsidR="00661261">
        <w:rPr>
          <w:vertAlign w:val="superscript"/>
        </w:rPr>
        <w:instrText xml:space="preserve"> \* MERGEFORMAT </w:instrText>
      </w:r>
      <w:r w:rsidR="00661261" w:rsidRPr="00661261">
        <w:rPr>
          <w:vertAlign w:val="superscript"/>
        </w:rPr>
      </w:r>
      <w:r w:rsidR="00661261" w:rsidRPr="00661261">
        <w:rPr>
          <w:vertAlign w:val="superscript"/>
        </w:rPr>
        <w:fldChar w:fldCharType="separate"/>
      </w:r>
      <w:r w:rsidR="005F7EBC">
        <w:rPr>
          <w:vertAlign w:val="superscript"/>
        </w:rPr>
        <w:t>86</w:t>
      </w:r>
      <w:r w:rsidR="00661261" w:rsidRPr="00661261">
        <w:rPr>
          <w:vertAlign w:val="superscript"/>
        </w:rPr>
        <w:fldChar w:fldCharType="end"/>
      </w:r>
      <w:r w:rsidR="00661261" w:rsidRPr="00661261">
        <w:rPr>
          <w:vertAlign w:val="superscript"/>
        </w:rPr>
        <w:t xml:space="preserve">, </w:t>
      </w:r>
      <w:r w:rsidR="009006D7" w:rsidRPr="00661261">
        <w:rPr>
          <w:vertAlign w:val="superscript"/>
        </w:rPr>
        <w:fldChar w:fldCharType="begin"/>
      </w:r>
      <w:r w:rsidR="009006D7" w:rsidRPr="00661261">
        <w:rPr>
          <w:vertAlign w:val="superscript"/>
        </w:rPr>
        <w:instrText xml:space="preserve"> NOTEREF _Ref174458755 \h </w:instrText>
      </w:r>
      <w:r w:rsidR="00661261">
        <w:rPr>
          <w:vertAlign w:val="superscript"/>
        </w:rPr>
        <w:instrText xml:space="preserve"> \* MERGEFORMAT </w:instrText>
      </w:r>
      <w:r w:rsidR="009006D7" w:rsidRPr="00661261">
        <w:rPr>
          <w:vertAlign w:val="superscript"/>
        </w:rPr>
      </w:r>
      <w:r w:rsidR="009006D7" w:rsidRPr="00661261">
        <w:rPr>
          <w:vertAlign w:val="superscript"/>
        </w:rPr>
        <w:fldChar w:fldCharType="separate"/>
      </w:r>
      <w:r w:rsidR="005F7EBC">
        <w:rPr>
          <w:vertAlign w:val="superscript"/>
        </w:rPr>
        <w:t>87</w:t>
      </w:r>
      <w:r w:rsidR="009006D7" w:rsidRPr="00661261">
        <w:rPr>
          <w:vertAlign w:val="superscript"/>
        </w:rPr>
        <w:fldChar w:fldCharType="end"/>
      </w:r>
      <w:r w:rsidR="00BE13BD" w:rsidRPr="00BE13BD">
        <w:t xml:space="preserve"> This requires open pathways of communication between residents, staff, and other </w:t>
      </w:r>
      <w:r w:rsidR="006D5625">
        <w:t>Trainee</w:t>
      </w:r>
      <w:r w:rsidR="00BE13BD" w:rsidRPr="00BE13BD">
        <w:t xml:space="preserve">s. The clinical culture must stress </w:t>
      </w:r>
      <w:r w:rsidR="00B67265">
        <w:t xml:space="preserve">patient safety and a </w:t>
      </w:r>
      <w:r w:rsidR="00BE13BD" w:rsidRPr="00BE13BD">
        <w:t>personal responsibility for each team member’s role in patient care.</w:t>
      </w:r>
      <w:r w:rsidR="00DC6A9B" w:rsidRPr="00DC6A9B">
        <w:rPr>
          <w:vertAlign w:val="superscript"/>
        </w:rPr>
        <w:fldChar w:fldCharType="begin"/>
      </w:r>
      <w:r w:rsidR="00DC6A9B" w:rsidRPr="00DC6A9B">
        <w:rPr>
          <w:vertAlign w:val="superscript"/>
        </w:rPr>
        <w:instrText xml:space="preserve"> NOTEREF _Ref174458021 \h </w:instrText>
      </w:r>
      <w:r w:rsidR="00DC6A9B">
        <w:rPr>
          <w:vertAlign w:val="superscript"/>
        </w:rPr>
        <w:instrText xml:space="preserve"> \* MERGEFORMAT </w:instrText>
      </w:r>
      <w:r w:rsidR="00DC6A9B" w:rsidRPr="00DC6A9B">
        <w:rPr>
          <w:vertAlign w:val="superscript"/>
        </w:rPr>
      </w:r>
      <w:r w:rsidR="00DC6A9B" w:rsidRPr="00DC6A9B">
        <w:rPr>
          <w:vertAlign w:val="superscript"/>
        </w:rPr>
        <w:fldChar w:fldCharType="separate"/>
      </w:r>
      <w:r w:rsidR="005F7EBC">
        <w:rPr>
          <w:vertAlign w:val="superscript"/>
        </w:rPr>
        <w:t>86</w:t>
      </w:r>
      <w:r w:rsidR="00DC6A9B" w:rsidRPr="00DC6A9B">
        <w:rPr>
          <w:vertAlign w:val="superscript"/>
        </w:rPr>
        <w:fldChar w:fldCharType="end"/>
      </w:r>
    </w:p>
    <w:p w14:paraId="4C793193" w14:textId="41AE72A2" w:rsidR="00274BB5" w:rsidRDefault="00554735" w:rsidP="008A1A1F">
      <w:pPr>
        <w:pStyle w:val="Heading3"/>
      </w:pPr>
      <w:r>
        <w:t>Feedback mechanisms</w:t>
      </w:r>
    </w:p>
    <w:p w14:paraId="34BCB42D" w14:textId="708B8DCD" w:rsidR="00530326" w:rsidRDefault="00554735" w:rsidP="00274BB5">
      <w:pPr>
        <w:pStyle w:val="BodyText"/>
        <w:rPr>
          <w:vertAlign w:val="superscript"/>
        </w:rPr>
      </w:pPr>
      <w:r w:rsidRPr="00554735">
        <w:t xml:space="preserve">It is recommended that residents are given the opportunity to evaluate the program in its entirety upon program completion, including evaluation of teaching abilities, commitment to the training program, clinical knowledge, and professionalism of the staff and program director. </w:t>
      </w:r>
      <w:r w:rsidR="003B4B54" w:rsidRPr="00554735">
        <w:t>The program steering committee should review these program evaluations</w:t>
      </w:r>
      <w:r w:rsidRPr="00554735">
        <w:t>. It is also recommended that the steering committee meet annually to review evaluations of residents, staff, and the program</w:t>
      </w:r>
      <w:r w:rsidR="003B2DF7">
        <w:t xml:space="preserve">, and </w:t>
      </w:r>
      <w:r w:rsidR="00C83DCD">
        <w:t>develop a plan of improvement if necessary</w:t>
      </w:r>
      <w:r w:rsidRPr="00554735">
        <w:t>.</w:t>
      </w:r>
      <w:r w:rsidR="00C87971" w:rsidRPr="00C87971">
        <w:rPr>
          <w:vertAlign w:val="superscript"/>
        </w:rPr>
        <w:fldChar w:fldCharType="begin"/>
      </w:r>
      <w:r w:rsidR="00C87971" w:rsidRPr="00C87971">
        <w:rPr>
          <w:vertAlign w:val="superscript"/>
        </w:rPr>
        <w:instrText xml:space="preserve"> NOTEREF _Ref174458021 \h </w:instrText>
      </w:r>
      <w:r w:rsidR="00C87971">
        <w:rPr>
          <w:vertAlign w:val="superscript"/>
        </w:rPr>
        <w:instrText xml:space="preserve"> \* MERGEFORMAT </w:instrText>
      </w:r>
      <w:r w:rsidR="00C87971" w:rsidRPr="00C87971">
        <w:rPr>
          <w:vertAlign w:val="superscript"/>
        </w:rPr>
      </w:r>
      <w:r w:rsidR="00C87971" w:rsidRPr="00C87971">
        <w:rPr>
          <w:vertAlign w:val="superscript"/>
        </w:rPr>
        <w:fldChar w:fldCharType="separate"/>
      </w:r>
      <w:r w:rsidR="005F7EBC">
        <w:rPr>
          <w:vertAlign w:val="superscript"/>
        </w:rPr>
        <w:t>86</w:t>
      </w:r>
      <w:r w:rsidR="00C87971" w:rsidRPr="00C87971">
        <w:rPr>
          <w:vertAlign w:val="superscript"/>
        </w:rPr>
        <w:fldChar w:fldCharType="end"/>
      </w:r>
    </w:p>
    <w:p w14:paraId="451F36CB" w14:textId="700A198B" w:rsidR="00E916F6" w:rsidRDefault="00E916F6" w:rsidP="00F66A90">
      <w:pPr>
        <w:pStyle w:val="BodyText"/>
        <w:shd w:val="clear" w:color="auto" w:fill="97014E" w:themeFill="accent6" w:themeFillShade="80"/>
        <w:rPr>
          <w:rFonts w:cs="Arial"/>
          <w:b/>
          <w:bCs/>
        </w:rPr>
      </w:pPr>
      <w:r>
        <w:rPr>
          <w:rFonts w:cs="Arial"/>
          <w:b/>
          <w:bCs/>
        </w:rPr>
        <w:t xml:space="preserve">Case Study </w:t>
      </w:r>
      <w:r w:rsidR="00122EBE">
        <w:rPr>
          <w:rFonts w:cs="Arial"/>
          <w:b/>
          <w:bCs/>
        </w:rPr>
        <w:t>-</w:t>
      </w:r>
      <w:r>
        <w:rPr>
          <w:rFonts w:cs="Arial"/>
          <w:b/>
          <w:bCs/>
        </w:rPr>
        <w:t xml:space="preserve"> </w:t>
      </w:r>
      <w:r w:rsidRPr="008C2E6A">
        <w:rPr>
          <w:rFonts w:cs="Arial"/>
          <w:b/>
          <w:bCs/>
        </w:rPr>
        <w:t>Harvard Medical Physics Residency Program</w:t>
      </w:r>
    </w:p>
    <w:p w14:paraId="755DC2CD" w14:textId="77777777" w:rsidR="00F66A90" w:rsidRPr="0051096D" w:rsidRDefault="00F66A90" w:rsidP="00F66A90">
      <w:pPr>
        <w:shd w:val="clear" w:color="auto" w:fill="FED6EB" w:themeFill="accent6" w:themeFillTint="33"/>
        <w:rPr>
          <w:rFonts w:cs="Arial"/>
        </w:rPr>
      </w:pPr>
      <w:r w:rsidRPr="008C2E6A">
        <w:rPr>
          <w:rFonts w:cs="Arial"/>
        </w:rPr>
        <w:t>Harvard Medical Physics Residency Program</w:t>
      </w:r>
      <w:r>
        <w:rPr>
          <w:rFonts w:cs="Arial"/>
        </w:rPr>
        <w:t xml:space="preserve"> </w:t>
      </w:r>
      <w:r w:rsidRPr="0051096D">
        <w:rPr>
          <w:rFonts w:cs="Arial"/>
        </w:rPr>
        <w:t>is a 3-year multi-institutional training program run by three academic hospitals associated with a single medical school. Training consists of one year of research followed by two years of clinical training.</w:t>
      </w:r>
      <w:r>
        <w:rPr>
          <w:rFonts w:ascii="ZWAdobeF" w:hAnsi="ZWAdobeF" w:cs="ZWAdobeF"/>
          <w:sz w:val="2"/>
          <w:szCs w:val="2"/>
        </w:rPr>
        <w:t>85F97F</w:t>
      </w:r>
      <w:r>
        <w:rPr>
          <w:rStyle w:val="FootnoteReference"/>
          <w:rFonts w:cs="Arial"/>
        </w:rPr>
        <w:footnoteReference w:id="99"/>
      </w:r>
      <w:r w:rsidRPr="0051096D">
        <w:rPr>
          <w:rFonts w:cs="Arial"/>
        </w:rPr>
        <w:t xml:space="preserve"> The program is the only Commission on Accreditation of Medical Physics Education Programs (CAMPEP)-accredited multi-institutional medical physics residency program with combined clinical and research training.</w:t>
      </w:r>
      <w:r>
        <w:rPr>
          <w:rFonts w:ascii="ZWAdobeF" w:hAnsi="ZWAdobeF" w:cs="ZWAdobeF"/>
          <w:sz w:val="2"/>
          <w:szCs w:val="2"/>
        </w:rPr>
        <w:t>86F98F</w:t>
      </w:r>
      <w:r>
        <w:rPr>
          <w:rStyle w:val="FootnoteReference"/>
          <w:rFonts w:cs="Arial"/>
        </w:rPr>
        <w:footnoteReference w:id="100"/>
      </w:r>
    </w:p>
    <w:p w14:paraId="29072C4F" w14:textId="5047B0EC" w:rsidR="00F66A90" w:rsidRDefault="00F66A90" w:rsidP="00F66A90">
      <w:pPr>
        <w:shd w:val="clear" w:color="auto" w:fill="FED6EB" w:themeFill="accent6" w:themeFillTint="33"/>
        <w:rPr>
          <w:rFonts w:cs="Arial"/>
        </w:rPr>
      </w:pPr>
      <w:r w:rsidRPr="0051096D">
        <w:rPr>
          <w:rFonts w:cs="Arial"/>
        </w:rPr>
        <w:t>According to a program review, a mai</w:t>
      </w:r>
      <w:r w:rsidRPr="00242835">
        <w:t>n advantage of the multi-institutional structure of the program is the availability of resources that allow access to a large variety of techniques and clinical procedures under expert supervision.</w:t>
      </w:r>
      <w:r w:rsidRPr="00242835">
        <w:fldChar w:fldCharType="begin"/>
      </w:r>
      <w:r w:rsidRPr="00242835">
        <w:instrText xml:space="preserve"> NOTEREF _Ref174459902 \h  \* MERGEFORMAT </w:instrText>
      </w:r>
      <w:r w:rsidRPr="00242835">
        <w:fldChar w:fldCharType="separate"/>
      </w:r>
      <w:r w:rsidRPr="00242835">
        <w:fldChar w:fldCharType="end"/>
      </w:r>
      <w:r w:rsidR="00B42C19">
        <w:t xml:space="preserve"> </w:t>
      </w:r>
      <w:r w:rsidRPr="00242835">
        <w:t>The program’s main challenge however is creating a structure for efficient management of multiple resources, including administrative and financial support, from several participating institutions at different locations</w:t>
      </w:r>
      <w:r w:rsidR="00B42C19">
        <w:t>.</w:t>
      </w:r>
      <w:r w:rsidRPr="00242835">
        <w:t xml:space="preserve"> The program’s governance structure successfully overcomes this challeng</w:t>
      </w:r>
      <w:r w:rsidRPr="0051096D">
        <w:rPr>
          <w:rFonts w:cs="Arial"/>
        </w:rPr>
        <w:t xml:space="preserve">e. </w:t>
      </w:r>
      <w:r>
        <w:rPr>
          <w:rFonts w:cs="Arial"/>
        </w:rPr>
        <w:t>Key elements of the managerial and executive structure include:</w:t>
      </w:r>
    </w:p>
    <w:p w14:paraId="133B93AA" w14:textId="77777777" w:rsidR="00F66A90" w:rsidRDefault="00F66A90" w:rsidP="00F66A90">
      <w:pPr>
        <w:pStyle w:val="ListBullet"/>
        <w:shd w:val="clear" w:color="auto" w:fill="FED6EB" w:themeFill="accent6" w:themeFillTint="33"/>
      </w:pPr>
      <w:r>
        <w:rPr>
          <w:b/>
          <w:bCs/>
        </w:rPr>
        <w:t>A Program Director</w:t>
      </w:r>
      <w:r>
        <w:t xml:space="preserve">, </w:t>
      </w:r>
      <w:r w:rsidRPr="0051096D">
        <w:t xml:space="preserve">responsible for </w:t>
      </w:r>
      <w:r>
        <w:t xml:space="preserve">overall leadership and </w:t>
      </w:r>
      <w:r w:rsidRPr="0051096D">
        <w:t>ensuring compliance with the CAMPEP requirements</w:t>
      </w:r>
      <w:r>
        <w:t>.</w:t>
      </w:r>
    </w:p>
    <w:p w14:paraId="6F9CA6BD" w14:textId="41844AC7" w:rsidR="00F66A90" w:rsidRPr="0051096D" w:rsidRDefault="00F66A90" w:rsidP="00F66A90">
      <w:pPr>
        <w:pStyle w:val="ListBullet"/>
        <w:shd w:val="clear" w:color="auto" w:fill="FED6EB" w:themeFill="accent6" w:themeFillTint="33"/>
      </w:pPr>
      <w:r w:rsidRPr="00C5028F">
        <w:rPr>
          <w:b/>
          <w:bCs/>
        </w:rPr>
        <w:t xml:space="preserve">Associate </w:t>
      </w:r>
      <w:r>
        <w:rPr>
          <w:b/>
          <w:bCs/>
        </w:rPr>
        <w:t>D</w:t>
      </w:r>
      <w:r w:rsidRPr="00C5028F">
        <w:rPr>
          <w:b/>
          <w:bCs/>
        </w:rPr>
        <w:t>irectors</w:t>
      </w:r>
      <w:r w:rsidRPr="00C5028F">
        <w:t>, who represent all involved institutions and are responsible for ensuring financial support, allocating resources, protecting access to infrastructure and equipment, and facilitating communication.</w:t>
      </w:r>
      <w:r w:rsidR="00D81933" w:rsidRPr="0051096D">
        <w:t xml:space="preserve"> </w:t>
      </w:r>
    </w:p>
    <w:p w14:paraId="67B59386" w14:textId="77777777" w:rsidR="00F66A90" w:rsidRDefault="00F66A90" w:rsidP="00F66A90">
      <w:pPr>
        <w:pStyle w:val="ListBullet"/>
        <w:shd w:val="clear" w:color="auto" w:fill="FED6EB" w:themeFill="accent6" w:themeFillTint="33"/>
      </w:pPr>
      <w:r>
        <w:rPr>
          <w:b/>
          <w:bCs/>
        </w:rPr>
        <w:t>An</w:t>
      </w:r>
      <w:r w:rsidRPr="00C5028F">
        <w:rPr>
          <w:b/>
        </w:rPr>
        <w:t xml:space="preserve"> executive committee</w:t>
      </w:r>
      <w:r w:rsidRPr="0051096D">
        <w:t xml:space="preserve">, responsible for </w:t>
      </w:r>
      <w:r>
        <w:t xml:space="preserve">program coordination, </w:t>
      </w:r>
      <w:r w:rsidRPr="0051096D">
        <w:t>selecting candidates</w:t>
      </w:r>
      <w:r>
        <w:t>,</w:t>
      </w:r>
      <w:r w:rsidRPr="0051096D">
        <w:t xml:space="preserve"> operational tasks, and </w:t>
      </w:r>
      <w:r>
        <w:t>exchange of information between Director and Associate Directors.</w:t>
      </w:r>
    </w:p>
    <w:p w14:paraId="3BE9670D" w14:textId="5268D52E" w:rsidR="00F66A90" w:rsidRPr="0051096D" w:rsidRDefault="00F66A90" w:rsidP="00F66A90">
      <w:pPr>
        <w:pStyle w:val="ListBullet"/>
        <w:shd w:val="clear" w:color="auto" w:fill="FED6EB" w:themeFill="accent6" w:themeFillTint="33"/>
      </w:pPr>
      <w:r w:rsidRPr="00530521">
        <w:rPr>
          <w:b/>
          <w:bCs/>
        </w:rPr>
        <w:t>The</w:t>
      </w:r>
      <w:r w:rsidRPr="00530521">
        <w:rPr>
          <w:b/>
        </w:rPr>
        <w:t xml:space="preserve"> steering committee</w:t>
      </w:r>
      <w:r w:rsidRPr="0051096D">
        <w:t xml:space="preserve">, including physicists, two physicians, and a Senior Resident to provide higher level </w:t>
      </w:r>
      <w:r>
        <w:t xml:space="preserve">oversight and </w:t>
      </w:r>
      <w:r w:rsidRPr="0051096D">
        <w:t>support.</w:t>
      </w:r>
      <w:r w:rsidRPr="002C3C28">
        <w:rPr>
          <w:vertAlign w:val="superscript"/>
        </w:rPr>
        <w:fldChar w:fldCharType="begin"/>
      </w:r>
      <w:r w:rsidRPr="002C3C28">
        <w:rPr>
          <w:vertAlign w:val="superscript"/>
        </w:rPr>
        <w:instrText xml:space="preserve"> NOTEREF _Ref174459902 \h </w:instrText>
      </w:r>
      <w:r>
        <w:rPr>
          <w:vertAlign w:val="superscript"/>
        </w:rPr>
        <w:instrText xml:space="preserve"> \* MERGEFORMAT </w:instrText>
      </w:r>
      <w:r w:rsidRPr="002C3C28">
        <w:rPr>
          <w:vertAlign w:val="superscript"/>
        </w:rPr>
      </w:r>
      <w:r w:rsidRPr="002C3C28">
        <w:rPr>
          <w:vertAlign w:val="superscript"/>
        </w:rPr>
        <w:fldChar w:fldCharType="separate"/>
      </w:r>
      <w:r>
        <w:rPr>
          <w:b/>
          <w:bCs/>
          <w:vertAlign w:val="superscript"/>
          <w:lang w:val="en-US"/>
        </w:rPr>
        <w:t>.</w:t>
      </w:r>
      <w:r w:rsidRPr="002C3C28">
        <w:rPr>
          <w:vertAlign w:val="superscript"/>
        </w:rPr>
        <w:fldChar w:fldCharType="end"/>
      </w:r>
      <w:r>
        <w:rPr>
          <w:vertAlign w:val="superscript"/>
        </w:rPr>
        <w:t xml:space="preserve"> </w:t>
      </w:r>
      <w:r w:rsidRPr="00C40B71">
        <w:t>The</w:t>
      </w:r>
      <w:r w:rsidRPr="0051096D">
        <w:t xml:space="preserve"> Senior Resident</w:t>
      </w:r>
      <w:r w:rsidRPr="00C40B71">
        <w:t xml:space="preserve"> </w:t>
      </w:r>
      <w:r>
        <w:t>role</w:t>
      </w:r>
      <w:r w:rsidRPr="0051096D">
        <w:t xml:space="preserve"> was introduced to provide guidance and leadership at a peer level for residents and to help coordinate various activities between residents in different years of enrolment</w:t>
      </w:r>
      <w:r w:rsidRPr="00C40B71">
        <w:t>. As well as enabling mentoring for newer residents, this role provides an opportunity for residents to develop leadership skills.</w:t>
      </w:r>
    </w:p>
    <w:p w14:paraId="042342BB" w14:textId="69CCE527" w:rsidR="00F66A90" w:rsidRPr="0051096D" w:rsidRDefault="00F66A90" w:rsidP="00F66A90">
      <w:pPr>
        <w:shd w:val="clear" w:color="auto" w:fill="FED6EB" w:themeFill="accent6" w:themeFillTint="33"/>
        <w:rPr>
          <w:rFonts w:cs="Arial"/>
        </w:rPr>
      </w:pPr>
      <w:r w:rsidRPr="0051096D">
        <w:rPr>
          <w:rFonts w:cs="Arial"/>
        </w:rPr>
        <w:t>The program has been highly successful, and the creators have attributed its success to the following factors:</w:t>
      </w:r>
      <w:r w:rsidRPr="002C3C28">
        <w:rPr>
          <w:rFonts w:cs="Arial"/>
          <w:vertAlign w:val="superscript"/>
        </w:rPr>
        <w:fldChar w:fldCharType="begin"/>
      </w:r>
      <w:r w:rsidRPr="002C3C28">
        <w:rPr>
          <w:rFonts w:cs="Arial"/>
          <w:vertAlign w:val="superscript"/>
        </w:rPr>
        <w:instrText xml:space="preserve"> NOTEREF _Ref174459907 \h </w:instrText>
      </w:r>
      <w:r>
        <w:rPr>
          <w:rFonts w:cs="Arial"/>
          <w:vertAlign w:val="superscript"/>
        </w:rPr>
        <w:instrText xml:space="preserve"> \* MERGEFORMAT </w:instrText>
      </w:r>
      <w:r w:rsidRPr="002C3C28">
        <w:rPr>
          <w:rFonts w:cs="Arial"/>
          <w:vertAlign w:val="superscript"/>
        </w:rPr>
      </w:r>
      <w:r w:rsidRPr="002C3C28">
        <w:rPr>
          <w:rFonts w:cs="Arial"/>
          <w:vertAlign w:val="superscript"/>
        </w:rPr>
        <w:fldChar w:fldCharType="separate"/>
      </w:r>
      <w:r>
        <w:rPr>
          <w:rFonts w:cs="Arial"/>
          <w:b/>
          <w:bCs/>
          <w:vertAlign w:val="superscript"/>
          <w:lang w:val="en-GB"/>
        </w:rPr>
        <w:t>.</w:t>
      </w:r>
      <w:r w:rsidRPr="002C3C28">
        <w:rPr>
          <w:rFonts w:cs="Arial"/>
          <w:vertAlign w:val="superscript"/>
        </w:rPr>
        <w:fldChar w:fldCharType="end"/>
      </w:r>
    </w:p>
    <w:p w14:paraId="57C3ADB7" w14:textId="77777777" w:rsidR="00F66A90" w:rsidRDefault="00F66A90" w:rsidP="00F66A90">
      <w:pPr>
        <w:pStyle w:val="ListBullet"/>
        <w:shd w:val="clear" w:color="auto" w:fill="FED6EB" w:themeFill="accent6" w:themeFillTint="33"/>
      </w:pPr>
      <w:r>
        <w:t xml:space="preserve">Comprehensive governance </w:t>
      </w:r>
      <w:proofErr w:type="gramStart"/>
      <w:r>
        <w:t>structure;</w:t>
      </w:r>
      <w:proofErr w:type="gramEnd"/>
    </w:p>
    <w:p w14:paraId="08EC1EA6" w14:textId="77777777" w:rsidR="00F66A90" w:rsidRDefault="00F66A90" w:rsidP="00F66A90">
      <w:pPr>
        <w:pStyle w:val="ListBullet"/>
        <w:shd w:val="clear" w:color="auto" w:fill="FED6EB" w:themeFill="accent6" w:themeFillTint="33"/>
      </w:pPr>
      <w:r w:rsidRPr="0051096D">
        <w:t xml:space="preserve">Administrative and financial support from different hospitals from the time of formation of the </w:t>
      </w:r>
      <w:proofErr w:type="gramStart"/>
      <w:r w:rsidRPr="0051096D">
        <w:t>program</w:t>
      </w:r>
      <w:r>
        <w:t>;</w:t>
      </w:r>
      <w:proofErr w:type="gramEnd"/>
    </w:p>
    <w:p w14:paraId="65607F9F" w14:textId="77777777" w:rsidR="00F66A90" w:rsidRDefault="00F66A90" w:rsidP="00F66A90">
      <w:pPr>
        <w:pStyle w:val="ListBullet"/>
        <w:shd w:val="clear" w:color="auto" w:fill="FED6EB" w:themeFill="accent6" w:themeFillTint="33"/>
      </w:pPr>
      <w:r w:rsidRPr="0051096D">
        <w:t xml:space="preserve">A structure with built-in collaboration and coordination between the </w:t>
      </w:r>
      <w:proofErr w:type="gramStart"/>
      <w:r w:rsidRPr="0051096D">
        <w:t>institutions</w:t>
      </w:r>
      <w:r>
        <w:t>;</w:t>
      </w:r>
      <w:proofErr w:type="gramEnd"/>
    </w:p>
    <w:p w14:paraId="420CF53E" w14:textId="77777777" w:rsidR="00F66A90" w:rsidRDefault="00F66A90" w:rsidP="00F66A90">
      <w:pPr>
        <w:pStyle w:val="ListBullet"/>
        <w:shd w:val="clear" w:color="auto" w:fill="FED6EB" w:themeFill="accent6" w:themeFillTint="33"/>
      </w:pPr>
      <w:r w:rsidRPr="0051096D">
        <w:t>Formal curriculum and formal evaluation of the residents by multi-institutional faculty</w:t>
      </w:r>
      <w:r>
        <w:t>; and</w:t>
      </w:r>
    </w:p>
    <w:p w14:paraId="4B32F09F" w14:textId="164AA7BC" w:rsidR="004F60E7" w:rsidRPr="000203AB" w:rsidRDefault="00F66A90" w:rsidP="004C0DD2">
      <w:pPr>
        <w:pStyle w:val="BodyText"/>
        <w:shd w:val="clear" w:color="auto" w:fill="FED6EB" w:themeFill="accent6" w:themeFillTint="33"/>
      </w:pPr>
      <w:r w:rsidRPr="0051096D">
        <w:t>Comprehensive feedback mechanism, frequent review of the program, and adjustments as necessary</w:t>
      </w:r>
      <w:r>
        <w:t>.</w:t>
      </w:r>
      <w:bookmarkStart w:id="290" w:name="_Toc178240814"/>
      <w:bookmarkStart w:id="291" w:name="_Ref182565695"/>
      <w:r w:rsidR="004F60E7" w:rsidRPr="000203AB">
        <w:br w:type="page"/>
      </w:r>
    </w:p>
    <w:p w14:paraId="7BE0C586" w14:textId="77777777" w:rsidR="008D6FC2" w:rsidRDefault="00BD7771" w:rsidP="004C0DD2">
      <w:pPr>
        <w:pStyle w:val="Heading1"/>
      </w:pPr>
      <w:bookmarkStart w:id="292" w:name="_Toc184396582"/>
      <w:bookmarkStart w:id="293" w:name="_Toc216711616"/>
      <w:bookmarkStart w:id="294" w:name="_Toc216792010"/>
      <w:r>
        <w:t xml:space="preserve">Appendix </w:t>
      </w:r>
      <w:r w:rsidR="005218C0">
        <w:t>D</w:t>
      </w:r>
      <w:r>
        <w:t xml:space="preserve">: Available </w:t>
      </w:r>
      <w:r w:rsidR="00C64955">
        <w:t>g</w:t>
      </w:r>
      <w:r>
        <w:t xml:space="preserve">rant </w:t>
      </w:r>
      <w:r w:rsidR="00C64955">
        <w:t>f</w:t>
      </w:r>
      <w:r>
        <w:t xml:space="preserve">unding </w:t>
      </w:r>
      <w:r w:rsidR="00C64955">
        <w:t>r</w:t>
      </w:r>
      <w:r>
        <w:t>eporting</w:t>
      </w:r>
      <w:bookmarkEnd w:id="290"/>
      <w:bookmarkEnd w:id="292"/>
      <w:bookmarkEnd w:id="293"/>
      <w:bookmarkEnd w:id="294"/>
    </w:p>
    <w:p w14:paraId="4620C71D" w14:textId="3850C3BD" w:rsidR="00BD7771" w:rsidRDefault="00371AC9" w:rsidP="00DC27F5">
      <w:pPr>
        <w:pStyle w:val="BodyText"/>
      </w:pPr>
      <w:r>
        <w:t>The</w:t>
      </w:r>
      <w:r w:rsidR="0088469A">
        <w:t xml:space="preserve"> program level data that was available to the evaluation team</w:t>
      </w:r>
      <w:r>
        <w:t xml:space="preserve"> is outlined in </w:t>
      </w:r>
      <w:r>
        <w:fldChar w:fldCharType="begin" w:fldLock="1"/>
      </w:r>
      <w:r>
        <w:instrText xml:space="preserve"> REF _Ref184386511 \h </w:instrText>
      </w:r>
      <w:r>
        <w:fldChar w:fldCharType="separate"/>
      </w:r>
      <w:r>
        <w:t xml:space="preserve">Table </w:t>
      </w:r>
      <w:r w:rsidR="000038C5">
        <w:rPr>
          <w:noProof/>
        </w:rPr>
        <w:t>18</w:t>
      </w:r>
      <w:r>
        <w:fldChar w:fldCharType="end"/>
      </w:r>
      <w:r>
        <w:t xml:space="preserve"> below</w:t>
      </w:r>
      <w:r w:rsidR="0088469A">
        <w:t>. Where possible</w:t>
      </w:r>
      <w:r>
        <w:t>,</w:t>
      </w:r>
      <w:r w:rsidR="0088469A">
        <w:t xml:space="preserve"> multiple data source</w:t>
      </w:r>
      <w:r w:rsidR="00123C42">
        <w:t>s</w:t>
      </w:r>
      <w:r w:rsidR="0088469A">
        <w:t xml:space="preserve"> were used </w:t>
      </w:r>
      <w:r w:rsidR="00123C42">
        <w:t>to fill gaps in the data.</w:t>
      </w:r>
    </w:p>
    <w:p w14:paraId="4B1B5702" w14:textId="42738E4E" w:rsidR="001A4030" w:rsidRDefault="000E7844" w:rsidP="00D00974">
      <w:pPr>
        <w:pStyle w:val="Caption"/>
      </w:pPr>
      <w:bookmarkStart w:id="295" w:name="_Ref184386511"/>
      <w:r>
        <w:t xml:space="preserve">Table </w:t>
      </w:r>
      <w:r>
        <w:fldChar w:fldCharType="begin"/>
      </w:r>
      <w:r>
        <w:instrText xml:space="preserve"> SEQ Table \* ARABIC </w:instrText>
      </w:r>
      <w:r>
        <w:fldChar w:fldCharType="separate"/>
      </w:r>
      <w:r w:rsidR="005F7EBC">
        <w:rPr>
          <w:noProof/>
        </w:rPr>
        <w:t>18</w:t>
      </w:r>
      <w:r>
        <w:fldChar w:fldCharType="end"/>
      </w:r>
      <w:bookmarkEnd w:id="295"/>
      <w:r>
        <w:t xml:space="preserve">: </w:t>
      </w:r>
      <w:r w:rsidRPr="006E2F40">
        <w:t>Available grant funding reporting</w:t>
      </w:r>
      <w:bookmarkEnd w:id="291"/>
    </w:p>
    <w:tbl>
      <w:tblPr>
        <w:tblStyle w:val="GridTable1Light-Accent1"/>
        <w:tblW w:w="0" w:type="auto"/>
        <w:tblLook w:val="04A0" w:firstRow="1" w:lastRow="0" w:firstColumn="1" w:lastColumn="0" w:noHBand="0" w:noVBand="1"/>
      </w:tblPr>
      <w:tblGrid>
        <w:gridCol w:w="2513"/>
        <w:gridCol w:w="1017"/>
        <w:gridCol w:w="1018"/>
        <w:gridCol w:w="1018"/>
        <w:gridCol w:w="1018"/>
        <w:gridCol w:w="1018"/>
        <w:gridCol w:w="1018"/>
        <w:gridCol w:w="1018"/>
      </w:tblGrid>
      <w:tr w:rsidR="00AD305C" w:rsidRPr="000203AB" w14:paraId="2E6ACBBA" w14:textId="77777777" w:rsidTr="000203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3" w:type="dxa"/>
            <w:tcBorders>
              <w:top w:val="nil"/>
              <w:left w:val="nil"/>
            </w:tcBorders>
          </w:tcPr>
          <w:p w14:paraId="71A87BD0" w14:textId="77777777" w:rsidR="00AD305C" w:rsidRPr="000203AB" w:rsidRDefault="00AD305C" w:rsidP="000203AB">
            <w:r w:rsidRPr="000203AB">
              <w:t>Report</w:t>
            </w:r>
          </w:p>
        </w:tc>
        <w:tc>
          <w:tcPr>
            <w:tcW w:w="1017" w:type="dxa"/>
            <w:tcBorders>
              <w:top w:val="nil"/>
            </w:tcBorders>
          </w:tcPr>
          <w:p w14:paraId="67A2D49E" w14:textId="77777777" w:rsidR="00AD305C" w:rsidRPr="000203AB" w:rsidRDefault="00AD305C" w:rsidP="000203AB">
            <w:pPr>
              <w:cnfStyle w:val="100000000000" w:firstRow="1" w:lastRow="0" w:firstColumn="0" w:lastColumn="0" w:oddVBand="0" w:evenVBand="0" w:oddHBand="0" w:evenHBand="0" w:firstRowFirstColumn="0" w:firstRowLastColumn="0" w:lastRowFirstColumn="0" w:lastRowLastColumn="0"/>
            </w:pPr>
            <w:r w:rsidRPr="000203AB">
              <w:t>2018</w:t>
            </w:r>
          </w:p>
        </w:tc>
        <w:tc>
          <w:tcPr>
            <w:tcW w:w="1018" w:type="dxa"/>
            <w:tcBorders>
              <w:top w:val="nil"/>
            </w:tcBorders>
          </w:tcPr>
          <w:p w14:paraId="6CC3AD8D" w14:textId="77777777" w:rsidR="00AD305C" w:rsidRPr="000203AB" w:rsidRDefault="00AD305C" w:rsidP="000203AB">
            <w:pPr>
              <w:cnfStyle w:val="100000000000" w:firstRow="1" w:lastRow="0" w:firstColumn="0" w:lastColumn="0" w:oddVBand="0" w:evenVBand="0" w:oddHBand="0" w:evenHBand="0" w:firstRowFirstColumn="0" w:firstRowLastColumn="0" w:lastRowFirstColumn="0" w:lastRowLastColumn="0"/>
            </w:pPr>
            <w:r w:rsidRPr="000203AB">
              <w:t>2019</w:t>
            </w:r>
          </w:p>
        </w:tc>
        <w:tc>
          <w:tcPr>
            <w:tcW w:w="1018" w:type="dxa"/>
            <w:tcBorders>
              <w:top w:val="nil"/>
            </w:tcBorders>
          </w:tcPr>
          <w:p w14:paraId="29E5F99A" w14:textId="77777777" w:rsidR="00AD305C" w:rsidRPr="000203AB" w:rsidRDefault="00AD305C" w:rsidP="000203AB">
            <w:pPr>
              <w:cnfStyle w:val="100000000000" w:firstRow="1" w:lastRow="0" w:firstColumn="0" w:lastColumn="0" w:oddVBand="0" w:evenVBand="0" w:oddHBand="0" w:evenHBand="0" w:firstRowFirstColumn="0" w:firstRowLastColumn="0" w:lastRowFirstColumn="0" w:lastRowLastColumn="0"/>
            </w:pPr>
            <w:r w:rsidRPr="000203AB">
              <w:t>2020</w:t>
            </w:r>
          </w:p>
        </w:tc>
        <w:tc>
          <w:tcPr>
            <w:tcW w:w="1018" w:type="dxa"/>
            <w:tcBorders>
              <w:top w:val="nil"/>
            </w:tcBorders>
          </w:tcPr>
          <w:p w14:paraId="76A55AB0" w14:textId="77777777" w:rsidR="00AD305C" w:rsidRPr="000203AB" w:rsidRDefault="00AD305C" w:rsidP="000203AB">
            <w:pPr>
              <w:cnfStyle w:val="100000000000" w:firstRow="1" w:lastRow="0" w:firstColumn="0" w:lastColumn="0" w:oddVBand="0" w:evenVBand="0" w:oddHBand="0" w:evenHBand="0" w:firstRowFirstColumn="0" w:firstRowLastColumn="0" w:lastRowFirstColumn="0" w:lastRowLastColumn="0"/>
            </w:pPr>
            <w:r w:rsidRPr="000203AB">
              <w:t>2021</w:t>
            </w:r>
          </w:p>
        </w:tc>
        <w:tc>
          <w:tcPr>
            <w:tcW w:w="1018" w:type="dxa"/>
            <w:tcBorders>
              <w:top w:val="nil"/>
            </w:tcBorders>
          </w:tcPr>
          <w:p w14:paraId="409518A9" w14:textId="77777777" w:rsidR="00AD305C" w:rsidRPr="000203AB" w:rsidRDefault="00AD305C" w:rsidP="000203AB">
            <w:pPr>
              <w:cnfStyle w:val="100000000000" w:firstRow="1" w:lastRow="0" w:firstColumn="0" w:lastColumn="0" w:oddVBand="0" w:evenVBand="0" w:oddHBand="0" w:evenHBand="0" w:firstRowFirstColumn="0" w:firstRowLastColumn="0" w:lastRowFirstColumn="0" w:lastRowLastColumn="0"/>
            </w:pPr>
            <w:r w:rsidRPr="000203AB">
              <w:t>2022</w:t>
            </w:r>
          </w:p>
        </w:tc>
        <w:tc>
          <w:tcPr>
            <w:tcW w:w="1018" w:type="dxa"/>
            <w:tcBorders>
              <w:top w:val="nil"/>
            </w:tcBorders>
          </w:tcPr>
          <w:p w14:paraId="32DFD5A6" w14:textId="77777777" w:rsidR="00AD305C" w:rsidRPr="000203AB" w:rsidRDefault="00AD305C" w:rsidP="000203AB">
            <w:pPr>
              <w:cnfStyle w:val="100000000000" w:firstRow="1" w:lastRow="0" w:firstColumn="0" w:lastColumn="0" w:oddVBand="0" w:evenVBand="0" w:oddHBand="0" w:evenHBand="0" w:firstRowFirstColumn="0" w:firstRowLastColumn="0" w:lastRowFirstColumn="0" w:lastRowLastColumn="0"/>
            </w:pPr>
            <w:r w:rsidRPr="000203AB">
              <w:t>2023</w:t>
            </w:r>
          </w:p>
        </w:tc>
        <w:tc>
          <w:tcPr>
            <w:tcW w:w="1018" w:type="dxa"/>
            <w:tcBorders>
              <w:top w:val="nil"/>
              <w:right w:val="nil"/>
            </w:tcBorders>
          </w:tcPr>
          <w:p w14:paraId="50141B5E" w14:textId="77777777" w:rsidR="00AD305C" w:rsidRPr="000203AB" w:rsidRDefault="00AD305C" w:rsidP="000203AB">
            <w:pPr>
              <w:cnfStyle w:val="100000000000" w:firstRow="1" w:lastRow="0" w:firstColumn="0" w:lastColumn="0" w:oddVBand="0" w:evenVBand="0" w:oddHBand="0" w:evenHBand="0" w:firstRowFirstColumn="0" w:firstRowLastColumn="0" w:lastRowFirstColumn="0" w:lastRowLastColumn="0"/>
            </w:pPr>
            <w:r w:rsidRPr="000203AB">
              <w:t>2024</w:t>
            </w:r>
          </w:p>
        </w:tc>
      </w:tr>
      <w:tr w:rsidR="00AD305C" w:rsidRPr="003473BF" w14:paraId="412A9BEE" w14:textId="77777777" w:rsidTr="00AD305C">
        <w:tc>
          <w:tcPr>
            <w:cnfStyle w:val="001000000000" w:firstRow="0" w:lastRow="0" w:firstColumn="1" w:lastColumn="0" w:oddVBand="0" w:evenVBand="0" w:oddHBand="0" w:evenHBand="0" w:firstRowFirstColumn="0" w:firstRowLastColumn="0" w:lastRowFirstColumn="0" w:lastRowLastColumn="0"/>
            <w:tcW w:w="9638" w:type="dxa"/>
            <w:gridSpan w:val="8"/>
            <w:tcBorders>
              <w:left w:val="nil"/>
              <w:right w:val="nil"/>
            </w:tcBorders>
            <w:shd w:val="clear" w:color="auto" w:fill="F1F4FE"/>
          </w:tcPr>
          <w:p w14:paraId="52166B99" w14:textId="2A4EC0F1" w:rsidR="00AD305C" w:rsidRPr="003473BF" w:rsidRDefault="00AD305C">
            <w:pPr>
              <w:pStyle w:val="BodyText"/>
              <w:rPr>
                <w:i/>
              </w:rPr>
            </w:pPr>
            <w:r>
              <w:t>Medical Physicists Training Support Stream</w:t>
            </w:r>
          </w:p>
        </w:tc>
      </w:tr>
      <w:tr w:rsidR="00AD305C" w:rsidRPr="003B11D2" w14:paraId="7ED401E7" w14:textId="77777777" w:rsidTr="00AD305C">
        <w:tc>
          <w:tcPr>
            <w:cnfStyle w:val="001000000000" w:firstRow="0" w:lastRow="0" w:firstColumn="1" w:lastColumn="0" w:oddVBand="0" w:evenVBand="0" w:oddHBand="0" w:evenHBand="0" w:firstRowFirstColumn="0" w:firstRowLastColumn="0" w:lastRowFirstColumn="0" w:lastRowLastColumn="0"/>
            <w:tcW w:w="2513" w:type="dxa"/>
            <w:tcBorders>
              <w:left w:val="nil"/>
            </w:tcBorders>
          </w:tcPr>
          <w:p w14:paraId="1AACE104" w14:textId="77777777" w:rsidR="00AD305C" w:rsidRDefault="00AD305C" w:rsidP="00AD305C">
            <w:pPr>
              <w:pStyle w:val="BodyText"/>
            </w:pPr>
            <w:r>
              <w:t>Activity Work Plan</w:t>
            </w:r>
          </w:p>
        </w:tc>
        <w:tc>
          <w:tcPr>
            <w:tcW w:w="1017" w:type="dxa"/>
            <w:vAlign w:val="center"/>
          </w:tcPr>
          <w:p w14:paraId="75410AFA" w14:textId="45D58419"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500948">
              <w:t>N/A</w:t>
            </w:r>
          </w:p>
        </w:tc>
        <w:tc>
          <w:tcPr>
            <w:tcW w:w="1018" w:type="dxa"/>
            <w:vAlign w:val="center"/>
          </w:tcPr>
          <w:p w14:paraId="5B4EFF52" w14:textId="2B3989DA"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500948">
              <w:t>N/A</w:t>
            </w:r>
          </w:p>
        </w:tc>
        <w:tc>
          <w:tcPr>
            <w:tcW w:w="1018" w:type="dxa"/>
            <w:vAlign w:val="center"/>
          </w:tcPr>
          <w:p w14:paraId="00A5D937" w14:textId="596A30B5"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500948">
              <w:t>N/A</w:t>
            </w:r>
          </w:p>
        </w:tc>
        <w:tc>
          <w:tcPr>
            <w:tcW w:w="1018" w:type="dxa"/>
            <w:vAlign w:val="center"/>
          </w:tcPr>
          <w:p w14:paraId="758AC016" w14:textId="59DB78A7"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500948">
              <w:t>N/A</w:t>
            </w:r>
          </w:p>
        </w:tc>
        <w:tc>
          <w:tcPr>
            <w:tcW w:w="1018" w:type="dxa"/>
            <w:vAlign w:val="center"/>
          </w:tcPr>
          <w:p w14:paraId="66F7F32B" w14:textId="53B083E5"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Pr>
                <w:rFonts w:ascii="Wingdings 2" w:hAnsi="Wingdings 2"/>
                <w:sz w:val="28"/>
                <w:szCs w:val="32"/>
              </w:rPr>
              <w:t>P</w:t>
            </w:r>
          </w:p>
        </w:tc>
        <w:tc>
          <w:tcPr>
            <w:tcW w:w="1018" w:type="dxa"/>
            <w:vAlign w:val="center"/>
          </w:tcPr>
          <w:p w14:paraId="5138A2A5" w14:textId="35C0D13E"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Pr>
                <w:rFonts w:ascii="Wingdings 2" w:hAnsi="Wingdings 2"/>
                <w:sz w:val="28"/>
                <w:szCs w:val="32"/>
              </w:rPr>
              <w:t>P</w:t>
            </w:r>
          </w:p>
        </w:tc>
        <w:tc>
          <w:tcPr>
            <w:tcW w:w="1018" w:type="dxa"/>
            <w:tcBorders>
              <w:right w:val="nil"/>
            </w:tcBorders>
            <w:vAlign w:val="center"/>
          </w:tcPr>
          <w:p w14:paraId="04C46E9C" w14:textId="41280453"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Pr>
                <w:rFonts w:ascii="Wingdings 2" w:hAnsi="Wingdings 2"/>
                <w:sz w:val="28"/>
                <w:szCs w:val="32"/>
              </w:rPr>
              <w:t>P</w:t>
            </w:r>
          </w:p>
        </w:tc>
      </w:tr>
      <w:tr w:rsidR="00AD305C" w:rsidRPr="003B11D2" w14:paraId="09A47255" w14:textId="77777777" w:rsidTr="00AD305C">
        <w:tc>
          <w:tcPr>
            <w:cnfStyle w:val="001000000000" w:firstRow="0" w:lastRow="0" w:firstColumn="1" w:lastColumn="0" w:oddVBand="0" w:evenVBand="0" w:oddHBand="0" w:evenHBand="0" w:firstRowFirstColumn="0" w:firstRowLastColumn="0" w:lastRowFirstColumn="0" w:lastRowLastColumn="0"/>
            <w:tcW w:w="2513" w:type="dxa"/>
            <w:tcBorders>
              <w:left w:val="nil"/>
            </w:tcBorders>
          </w:tcPr>
          <w:p w14:paraId="2659F3B4" w14:textId="77777777" w:rsidR="00AD305C" w:rsidRDefault="00AD305C" w:rsidP="00AD305C">
            <w:pPr>
              <w:pStyle w:val="BodyText"/>
            </w:pPr>
            <w:r>
              <w:t>Performance Report*</w:t>
            </w:r>
          </w:p>
        </w:tc>
        <w:tc>
          <w:tcPr>
            <w:tcW w:w="1017" w:type="dxa"/>
            <w:vAlign w:val="center"/>
          </w:tcPr>
          <w:p w14:paraId="63E712BC" w14:textId="64A2DEEB"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1E5C50">
              <w:rPr>
                <w:rFonts w:ascii="Wingdings 2" w:hAnsi="Wingdings 2"/>
                <w:sz w:val="28"/>
                <w:szCs w:val="32"/>
              </w:rPr>
              <w:t>P</w:t>
            </w:r>
          </w:p>
        </w:tc>
        <w:tc>
          <w:tcPr>
            <w:tcW w:w="1018" w:type="dxa"/>
            <w:vAlign w:val="center"/>
          </w:tcPr>
          <w:p w14:paraId="32C6A80A" w14:textId="574EB722"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1E5C50">
              <w:rPr>
                <w:rFonts w:ascii="Wingdings 2" w:hAnsi="Wingdings 2"/>
                <w:sz w:val="28"/>
                <w:szCs w:val="32"/>
              </w:rPr>
              <w:t>P</w:t>
            </w:r>
          </w:p>
        </w:tc>
        <w:tc>
          <w:tcPr>
            <w:tcW w:w="1018" w:type="dxa"/>
            <w:vAlign w:val="center"/>
          </w:tcPr>
          <w:p w14:paraId="0A295723" w14:textId="01D4846C"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1E5C50">
              <w:rPr>
                <w:rFonts w:ascii="Wingdings 2" w:hAnsi="Wingdings 2"/>
                <w:sz w:val="28"/>
                <w:szCs w:val="32"/>
              </w:rPr>
              <w:t>P</w:t>
            </w:r>
          </w:p>
        </w:tc>
        <w:tc>
          <w:tcPr>
            <w:tcW w:w="1018" w:type="dxa"/>
            <w:vAlign w:val="center"/>
          </w:tcPr>
          <w:p w14:paraId="6F008279" w14:textId="50E8DA62"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1E5C50">
              <w:rPr>
                <w:rFonts w:ascii="Wingdings 2" w:hAnsi="Wingdings 2"/>
                <w:sz w:val="28"/>
                <w:szCs w:val="32"/>
              </w:rPr>
              <w:t>P</w:t>
            </w:r>
          </w:p>
        </w:tc>
        <w:tc>
          <w:tcPr>
            <w:tcW w:w="1018" w:type="dxa"/>
            <w:vAlign w:val="center"/>
          </w:tcPr>
          <w:p w14:paraId="019A54F8" w14:textId="100EAF75"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1E5C50">
              <w:rPr>
                <w:rFonts w:ascii="Wingdings 2" w:hAnsi="Wingdings 2"/>
                <w:sz w:val="28"/>
                <w:szCs w:val="32"/>
              </w:rPr>
              <w:t>P</w:t>
            </w:r>
          </w:p>
        </w:tc>
        <w:tc>
          <w:tcPr>
            <w:tcW w:w="1018" w:type="dxa"/>
            <w:vAlign w:val="center"/>
          </w:tcPr>
          <w:p w14:paraId="18BA6F0F" w14:textId="1E6DDB6C"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1E5C50">
              <w:rPr>
                <w:rFonts w:ascii="Wingdings 2" w:hAnsi="Wingdings 2"/>
                <w:sz w:val="28"/>
                <w:szCs w:val="32"/>
              </w:rPr>
              <w:t>P</w:t>
            </w:r>
          </w:p>
        </w:tc>
        <w:tc>
          <w:tcPr>
            <w:tcW w:w="1018" w:type="dxa"/>
            <w:tcBorders>
              <w:right w:val="nil"/>
            </w:tcBorders>
            <w:vAlign w:val="center"/>
          </w:tcPr>
          <w:p w14:paraId="4343586F" w14:textId="77876F62"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t>N/A</w:t>
            </w:r>
          </w:p>
        </w:tc>
      </w:tr>
      <w:tr w:rsidR="00AD305C" w:rsidRPr="003B11D2" w14:paraId="5D575E70" w14:textId="77777777" w:rsidTr="00AD305C">
        <w:tc>
          <w:tcPr>
            <w:cnfStyle w:val="001000000000" w:firstRow="0" w:lastRow="0" w:firstColumn="1" w:lastColumn="0" w:oddVBand="0" w:evenVBand="0" w:oddHBand="0" w:evenHBand="0" w:firstRowFirstColumn="0" w:firstRowLastColumn="0" w:lastRowFirstColumn="0" w:lastRowLastColumn="0"/>
            <w:tcW w:w="2513" w:type="dxa"/>
            <w:tcBorders>
              <w:left w:val="nil"/>
            </w:tcBorders>
          </w:tcPr>
          <w:p w14:paraId="04C2D424" w14:textId="77777777" w:rsidR="00AD305C" w:rsidRDefault="00AD305C" w:rsidP="00AD305C">
            <w:pPr>
              <w:pStyle w:val="BodyText"/>
            </w:pPr>
            <w:r>
              <w:t>Income and Expenditure Statement</w:t>
            </w:r>
          </w:p>
        </w:tc>
        <w:tc>
          <w:tcPr>
            <w:tcW w:w="1017" w:type="dxa"/>
            <w:vAlign w:val="center"/>
          </w:tcPr>
          <w:p w14:paraId="41511177" w14:textId="3863603D"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3B11D2">
              <w:rPr>
                <w:rFonts w:ascii="Wingdings 2" w:hAnsi="Wingdings 2"/>
                <w:sz w:val="28"/>
                <w:szCs w:val="32"/>
              </w:rPr>
              <w:t>O</w:t>
            </w:r>
          </w:p>
        </w:tc>
        <w:tc>
          <w:tcPr>
            <w:tcW w:w="1018" w:type="dxa"/>
            <w:vAlign w:val="center"/>
          </w:tcPr>
          <w:p w14:paraId="5E17D866" w14:textId="576FCDBD"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4F092D">
              <w:rPr>
                <w:rFonts w:ascii="Wingdings 2" w:hAnsi="Wingdings 2"/>
                <w:sz w:val="28"/>
                <w:szCs w:val="32"/>
              </w:rPr>
              <w:t>P</w:t>
            </w:r>
          </w:p>
        </w:tc>
        <w:tc>
          <w:tcPr>
            <w:tcW w:w="1018" w:type="dxa"/>
            <w:vAlign w:val="center"/>
          </w:tcPr>
          <w:p w14:paraId="53D5968C" w14:textId="7734B3BC"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4F092D">
              <w:rPr>
                <w:rFonts w:ascii="Wingdings 2" w:hAnsi="Wingdings 2"/>
                <w:sz w:val="28"/>
                <w:szCs w:val="32"/>
              </w:rPr>
              <w:t>P</w:t>
            </w:r>
          </w:p>
        </w:tc>
        <w:tc>
          <w:tcPr>
            <w:tcW w:w="1018" w:type="dxa"/>
            <w:vAlign w:val="center"/>
          </w:tcPr>
          <w:p w14:paraId="43FD5C5D" w14:textId="3BE0189A"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4F092D">
              <w:rPr>
                <w:rFonts w:ascii="Wingdings 2" w:hAnsi="Wingdings 2"/>
                <w:sz w:val="28"/>
                <w:szCs w:val="32"/>
              </w:rPr>
              <w:t>P</w:t>
            </w:r>
          </w:p>
        </w:tc>
        <w:tc>
          <w:tcPr>
            <w:tcW w:w="1018" w:type="dxa"/>
            <w:vAlign w:val="center"/>
          </w:tcPr>
          <w:p w14:paraId="69CD3E04" w14:textId="1F1C959A"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4F092D">
              <w:rPr>
                <w:rFonts w:ascii="Wingdings 2" w:hAnsi="Wingdings 2"/>
                <w:sz w:val="28"/>
                <w:szCs w:val="32"/>
              </w:rPr>
              <w:t>P</w:t>
            </w:r>
          </w:p>
        </w:tc>
        <w:tc>
          <w:tcPr>
            <w:tcW w:w="1018" w:type="dxa"/>
            <w:vAlign w:val="center"/>
          </w:tcPr>
          <w:p w14:paraId="01D0FE51" w14:textId="26A3FDA1"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rsidRPr="004F092D">
              <w:rPr>
                <w:rFonts w:ascii="Wingdings 2" w:hAnsi="Wingdings 2"/>
                <w:sz w:val="28"/>
                <w:szCs w:val="32"/>
              </w:rPr>
              <w:t>P</w:t>
            </w:r>
          </w:p>
        </w:tc>
        <w:tc>
          <w:tcPr>
            <w:tcW w:w="1018" w:type="dxa"/>
            <w:tcBorders>
              <w:right w:val="nil"/>
            </w:tcBorders>
            <w:vAlign w:val="center"/>
          </w:tcPr>
          <w:p w14:paraId="49B91B41" w14:textId="7C45C44E" w:rsidR="00AD305C" w:rsidRPr="003B11D2"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Wingdings 2" w:hAnsi="Wingdings 2"/>
                <w:sz w:val="28"/>
                <w:szCs w:val="32"/>
              </w:rPr>
            </w:pPr>
            <w:r>
              <w:t>N/A</w:t>
            </w:r>
          </w:p>
        </w:tc>
      </w:tr>
      <w:tr w:rsidR="00AD305C" w14:paraId="6E3A1888" w14:textId="77777777" w:rsidTr="00AD305C">
        <w:tc>
          <w:tcPr>
            <w:cnfStyle w:val="001000000000" w:firstRow="0" w:lastRow="0" w:firstColumn="1" w:lastColumn="0" w:oddVBand="0" w:evenVBand="0" w:oddHBand="0" w:evenHBand="0" w:firstRowFirstColumn="0" w:firstRowLastColumn="0" w:lastRowFirstColumn="0" w:lastRowLastColumn="0"/>
            <w:tcW w:w="2513" w:type="dxa"/>
            <w:tcBorders>
              <w:left w:val="nil"/>
            </w:tcBorders>
          </w:tcPr>
          <w:p w14:paraId="7BCEC6A6" w14:textId="77777777" w:rsidR="00AD305C" w:rsidRDefault="00AD305C" w:rsidP="00AD305C">
            <w:pPr>
              <w:pStyle w:val="BodyText"/>
            </w:pPr>
            <w:r>
              <w:t>Financial Acquittal Report</w:t>
            </w:r>
          </w:p>
        </w:tc>
        <w:tc>
          <w:tcPr>
            <w:tcW w:w="1017" w:type="dxa"/>
            <w:vAlign w:val="center"/>
          </w:tcPr>
          <w:p w14:paraId="46A7D7F3" w14:textId="6B55CF17"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c>
          <w:tcPr>
            <w:tcW w:w="1018" w:type="dxa"/>
            <w:vAlign w:val="center"/>
          </w:tcPr>
          <w:p w14:paraId="301452AE" w14:textId="55F6984B"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c>
          <w:tcPr>
            <w:tcW w:w="1018" w:type="dxa"/>
            <w:vAlign w:val="center"/>
          </w:tcPr>
          <w:p w14:paraId="16B4A90B" w14:textId="703D67A9"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3B11D2">
              <w:rPr>
                <w:rFonts w:ascii="Wingdings 2" w:hAnsi="Wingdings 2"/>
                <w:sz w:val="28"/>
                <w:szCs w:val="32"/>
              </w:rPr>
              <w:t>O</w:t>
            </w:r>
          </w:p>
        </w:tc>
        <w:tc>
          <w:tcPr>
            <w:tcW w:w="1018" w:type="dxa"/>
            <w:vAlign w:val="center"/>
          </w:tcPr>
          <w:p w14:paraId="2BC5B794" w14:textId="7EBEA63E"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Pr>
                <w:rFonts w:ascii="Wingdings 2" w:hAnsi="Wingdings 2"/>
                <w:sz w:val="28"/>
                <w:szCs w:val="32"/>
              </w:rPr>
              <w:t>P</w:t>
            </w:r>
          </w:p>
        </w:tc>
        <w:tc>
          <w:tcPr>
            <w:tcW w:w="1018" w:type="dxa"/>
            <w:vAlign w:val="center"/>
          </w:tcPr>
          <w:p w14:paraId="5B208587" w14:textId="72FC8F6F"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c>
          <w:tcPr>
            <w:tcW w:w="1018" w:type="dxa"/>
            <w:vAlign w:val="center"/>
          </w:tcPr>
          <w:p w14:paraId="09AF60F1" w14:textId="5E17795A"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c>
          <w:tcPr>
            <w:tcW w:w="1018" w:type="dxa"/>
            <w:tcBorders>
              <w:right w:val="nil"/>
            </w:tcBorders>
            <w:vAlign w:val="center"/>
          </w:tcPr>
          <w:p w14:paraId="2826A950" w14:textId="45975E6B"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r>
      <w:tr w:rsidR="00AD305C" w:rsidRPr="003473BF" w14:paraId="424CE401" w14:textId="77777777" w:rsidTr="00AD305C">
        <w:tc>
          <w:tcPr>
            <w:cnfStyle w:val="001000000000" w:firstRow="0" w:lastRow="0" w:firstColumn="1" w:lastColumn="0" w:oddVBand="0" w:evenVBand="0" w:oddHBand="0" w:evenHBand="0" w:firstRowFirstColumn="0" w:firstRowLastColumn="0" w:lastRowFirstColumn="0" w:lastRowLastColumn="0"/>
            <w:tcW w:w="9638" w:type="dxa"/>
            <w:gridSpan w:val="8"/>
            <w:tcBorders>
              <w:left w:val="nil"/>
              <w:right w:val="nil"/>
            </w:tcBorders>
            <w:shd w:val="clear" w:color="auto" w:fill="F1F4FE"/>
          </w:tcPr>
          <w:p w14:paraId="45CC1BA2" w14:textId="55B2A859" w:rsidR="00AD305C" w:rsidRPr="003473BF" w:rsidRDefault="00AD305C">
            <w:pPr>
              <w:pStyle w:val="BodyText"/>
              <w:rPr>
                <w:i/>
              </w:rPr>
            </w:pPr>
            <w:r w:rsidRPr="006F4CA3">
              <w:t>Training, Education and Assessment Stream</w:t>
            </w:r>
          </w:p>
        </w:tc>
      </w:tr>
      <w:tr w:rsidR="00AD305C" w14:paraId="4AB145D4" w14:textId="77777777" w:rsidTr="00AD305C">
        <w:tc>
          <w:tcPr>
            <w:cnfStyle w:val="001000000000" w:firstRow="0" w:lastRow="0" w:firstColumn="1" w:lastColumn="0" w:oddVBand="0" w:evenVBand="0" w:oddHBand="0" w:evenHBand="0" w:firstRowFirstColumn="0" w:firstRowLastColumn="0" w:lastRowFirstColumn="0" w:lastRowLastColumn="0"/>
            <w:tcW w:w="2513" w:type="dxa"/>
            <w:tcBorders>
              <w:left w:val="nil"/>
            </w:tcBorders>
          </w:tcPr>
          <w:p w14:paraId="1AD3BF26" w14:textId="77777777" w:rsidR="00AD305C" w:rsidRDefault="00AD305C" w:rsidP="00AD305C">
            <w:pPr>
              <w:pStyle w:val="BodyText"/>
            </w:pPr>
            <w:r>
              <w:t>Activity Work Plan</w:t>
            </w:r>
          </w:p>
        </w:tc>
        <w:tc>
          <w:tcPr>
            <w:tcW w:w="1017" w:type="dxa"/>
            <w:vAlign w:val="center"/>
          </w:tcPr>
          <w:p w14:paraId="4858E4E7" w14:textId="768614B0"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163E3F">
              <w:t>N/A</w:t>
            </w:r>
          </w:p>
        </w:tc>
        <w:tc>
          <w:tcPr>
            <w:tcW w:w="1018" w:type="dxa"/>
            <w:vAlign w:val="center"/>
          </w:tcPr>
          <w:p w14:paraId="1552526E" w14:textId="10D4A677"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163E3F">
              <w:t>N/A</w:t>
            </w:r>
          </w:p>
        </w:tc>
        <w:tc>
          <w:tcPr>
            <w:tcW w:w="1018" w:type="dxa"/>
            <w:vAlign w:val="center"/>
          </w:tcPr>
          <w:p w14:paraId="1230F7A4" w14:textId="4902E6E4"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163E3F">
              <w:t>N/A</w:t>
            </w:r>
          </w:p>
        </w:tc>
        <w:tc>
          <w:tcPr>
            <w:tcW w:w="1018" w:type="dxa"/>
            <w:vAlign w:val="center"/>
          </w:tcPr>
          <w:p w14:paraId="7B991276" w14:textId="0F60937F"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163E3F">
              <w:t>N/A</w:t>
            </w:r>
          </w:p>
        </w:tc>
        <w:tc>
          <w:tcPr>
            <w:tcW w:w="1018" w:type="dxa"/>
            <w:vAlign w:val="center"/>
          </w:tcPr>
          <w:p w14:paraId="3A662870" w14:textId="07071A60"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Pr>
                <w:rFonts w:ascii="Wingdings 2" w:hAnsi="Wingdings 2"/>
                <w:sz w:val="28"/>
                <w:szCs w:val="32"/>
              </w:rPr>
              <w:t>P</w:t>
            </w:r>
          </w:p>
        </w:tc>
        <w:tc>
          <w:tcPr>
            <w:tcW w:w="1018" w:type="dxa"/>
            <w:vAlign w:val="center"/>
          </w:tcPr>
          <w:p w14:paraId="7C2A15FE" w14:textId="368B80EF"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Pr>
                <w:rFonts w:ascii="Wingdings 2" w:hAnsi="Wingdings 2"/>
                <w:sz w:val="28"/>
                <w:szCs w:val="32"/>
              </w:rPr>
              <w:t>P</w:t>
            </w:r>
          </w:p>
        </w:tc>
        <w:tc>
          <w:tcPr>
            <w:tcW w:w="1018" w:type="dxa"/>
            <w:tcBorders>
              <w:right w:val="nil"/>
            </w:tcBorders>
            <w:vAlign w:val="center"/>
          </w:tcPr>
          <w:p w14:paraId="759AB226" w14:textId="20DE232C"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Pr>
                <w:rFonts w:ascii="Wingdings 2" w:hAnsi="Wingdings 2"/>
                <w:sz w:val="28"/>
                <w:szCs w:val="32"/>
              </w:rPr>
              <w:t>P</w:t>
            </w:r>
          </w:p>
        </w:tc>
      </w:tr>
      <w:tr w:rsidR="00AD305C" w14:paraId="3D98E72A" w14:textId="77777777" w:rsidTr="00AD305C">
        <w:tc>
          <w:tcPr>
            <w:cnfStyle w:val="001000000000" w:firstRow="0" w:lastRow="0" w:firstColumn="1" w:lastColumn="0" w:oddVBand="0" w:evenVBand="0" w:oddHBand="0" w:evenHBand="0" w:firstRowFirstColumn="0" w:firstRowLastColumn="0" w:lastRowFirstColumn="0" w:lastRowLastColumn="0"/>
            <w:tcW w:w="2513" w:type="dxa"/>
            <w:tcBorders>
              <w:left w:val="nil"/>
            </w:tcBorders>
          </w:tcPr>
          <w:p w14:paraId="0DD0B0C2" w14:textId="77777777" w:rsidR="00AD305C" w:rsidRDefault="00AD305C" w:rsidP="00AD305C">
            <w:pPr>
              <w:pStyle w:val="BodyText"/>
            </w:pPr>
            <w:r>
              <w:t>Performance Report*</w:t>
            </w:r>
          </w:p>
        </w:tc>
        <w:tc>
          <w:tcPr>
            <w:tcW w:w="1017" w:type="dxa"/>
            <w:vAlign w:val="center"/>
          </w:tcPr>
          <w:p w14:paraId="1A19B4AE" w14:textId="04F81A5E"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Pr>
                <w:rFonts w:ascii="Wingdings 2" w:hAnsi="Wingdings 2"/>
                <w:sz w:val="28"/>
                <w:szCs w:val="32"/>
              </w:rPr>
              <w:t>P</w:t>
            </w:r>
          </w:p>
        </w:tc>
        <w:tc>
          <w:tcPr>
            <w:tcW w:w="1018" w:type="dxa"/>
            <w:vAlign w:val="center"/>
          </w:tcPr>
          <w:p w14:paraId="67354582" w14:textId="3D183149"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3B11D2">
              <w:rPr>
                <w:rFonts w:ascii="Wingdings 2" w:hAnsi="Wingdings 2"/>
                <w:sz w:val="28"/>
                <w:szCs w:val="32"/>
              </w:rPr>
              <w:t>O</w:t>
            </w:r>
          </w:p>
        </w:tc>
        <w:tc>
          <w:tcPr>
            <w:tcW w:w="1018" w:type="dxa"/>
            <w:vAlign w:val="center"/>
          </w:tcPr>
          <w:p w14:paraId="01B88551" w14:textId="64278CA4"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Pr>
                <w:rFonts w:ascii="Wingdings 2" w:hAnsi="Wingdings 2"/>
                <w:sz w:val="28"/>
                <w:szCs w:val="32"/>
              </w:rPr>
              <w:t>P</w:t>
            </w:r>
          </w:p>
        </w:tc>
        <w:tc>
          <w:tcPr>
            <w:tcW w:w="1018" w:type="dxa"/>
            <w:vAlign w:val="center"/>
          </w:tcPr>
          <w:p w14:paraId="1EDF15EC" w14:textId="5C4B6896"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Pr>
                <w:rFonts w:ascii="Wingdings 2" w:hAnsi="Wingdings 2"/>
                <w:sz w:val="28"/>
                <w:szCs w:val="32"/>
              </w:rPr>
              <w:t>P</w:t>
            </w:r>
          </w:p>
        </w:tc>
        <w:tc>
          <w:tcPr>
            <w:tcW w:w="1018" w:type="dxa"/>
            <w:vAlign w:val="center"/>
          </w:tcPr>
          <w:p w14:paraId="6F58B9A1" w14:textId="53F829BE"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8F7040">
              <w:rPr>
                <w:rFonts w:ascii="Wingdings 2" w:hAnsi="Wingdings 2"/>
                <w:sz w:val="28"/>
                <w:szCs w:val="32"/>
              </w:rPr>
              <w:t>P</w:t>
            </w:r>
          </w:p>
        </w:tc>
        <w:tc>
          <w:tcPr>
            <w:tcW w:w="1018" w:type="dxa"/>
            <w:vAlign w:val="center"/>
          </w:tcPr>
          <w:p w14:paraId="39D63D7D" w14:textId="72664366"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8F7040">
              <w:rPr>
                <w:rFonts w:ascii="Wingdings 2" w:hAnsi="Wingdings 2"/>
                <w:sz w:val="28"/>
                <w:szCs w:val="32"/>
              </w:rPr>
              <w:t>P</w:t>
            </w:r>
          </w:p>
        </w:tc>
        <w:tc>
          <w:tcPr>
            <w:tcW w:w="1018" w:type="dxa"/>
            <w:tcBorders>
              <w:right w:val="nil"/>
            </w:tcBorders>
            <w:vAlign w:val="center"/>
          </w:tcPr>
          <w:p w14:paraId="6B01C2BE" w14:textId="5834970A"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r>
      <w:tr w:rsidR="00AD305C" w14:paraId="7337E94C" w14:textId="77777777" w:rsidTr="00AD305C">
        <w:tc>
          <w:tcPr>
            <w:cnfStyle w:val="001000000000" w:firstRow="0" w:lastRow="0" w:firstColumn="1" w:lastColumn="0" w:oddVBand="0" w:evenVBand="0" w:oddHBand="0" w:evenHBand="0" w:firstRowFirstColumn="0" w:firstRowLastColumn="0" w:lastRowFirstColumn="0" w:lastRowLastColumn="0"/>
            <w:tcW w:w="2513" w:type="dxa"/>
            <w:tcBorders>
              <w:left w:val="nil"/>
            </w:tcBorders>
          </w:tcPr>
          <w:p w14:paraId="2DE8FEB7" w14:textId="77777777" w:rsidR="00AD305C" w:rsidRDefault="00AD305C" w:rsidP="00AD305C">
            <w:pPr>
              <w:pStyle w:val="BodyText"/>
            </w:pPr>
            <w:r>
              <w:t>Income and Expenditure Statement</w:t>
            </w:r>
          </w:p>
        </w:tc>
        <w:tc>
          <w:tcPr>
            <w:tcW w:w="1017" w:type="dxa"/>
            <w:vAlign w:val="center"/>
          </w:tcPr>
          <w:p w14:paraId="5E807EC2" w14:textId="7493458D"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934F3C">
              <w:rPr>
                <w:rFonts w:ascii="Wingdings 2" w:hAnsi="Wingdings 2"/>
                <w:sz w:val="28"/>
                <w:szCs w:val="32"/>
              </w:rPr>
              <w:t>P</w:t>
            </w:r>
          </w:p>
        </w:tc>
        <w:tc>
          <w:tcPr>
            <w:tcW w:w="1018" w:type="dxa"/>
            <w:vAlign w:val="center"/>
          </w:tcPr>
          <w:p w14:paraId="028BAEDF" w14:textId="50E03A24"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934F3C">
              <w:rPr>
                <w:rFonts w:ascii="Wingdings 2" w:hAnsi="Wingdings 2"/>
                <w:sz w:val="28"/>
                <w:szCs w:val="32"/>
              </w:rPr>
              <w:t>P</w:t>
            </w:r>
          </w:p>
        </w:tc>
        <w:tc>
          <w:tcPr>
            <w:tcW w:w="1018" w:type="dxa"/>
            <w:vAlign w:val="center"/>
          </w:tcPr>
          <w:p w14:paraId="43C0650C" w14:textId="45236419"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3B11D2">
              <w:rPr>
                <w:rFonts w:ascii="Wingdings 2" w:hAnsi="Wingdings 2"/>
                <w:sz w:val="28"/>
                <w:szCs w:val="32"/>
              </w:rPr>
              <w:t>O</w:t>
            </w:r>
          </w:p>
        </w:tc>
        <w:tc>
          <w:tcPr>
            <w:tcW w:w="1018" w:type="dxa"/>
            <w:vAlign w:val="center"/>
          </w:tcPr>
          <w:p w14:paraId="46F15481" w14:textId="79C3F7EF"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Pr>
                <w:rFonts w:ascii="Wingdings 2" w:hAnsi="Wingdings 2"/>
                <w:sz w:val="28"/>
                <w:szCs w:val="32"/>
              </w:rPr>
              <w:t>P</w:t>
            </w:r>
          </w:p>
        </w:tc>
        <w:tc>
          <w:tcPr>
            <w:tcW w:w="1018" w:type="dxa"/>
            <w:vAlign w:val="center"/>
          </w:tcPr>
          <w:p w14:paraId="3343ACDC" w14:textId="6E0B7865"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066E41">
              <w:rPr>
                <w:rFonts w:ascii="Wingdings 2" w:hAnsi="Wingdings 2"/>
                <w:sz w:val="28"/>
                <w:szCs w:val="32"/>
              </w:rPr>
              <w:t>P</w:t>
            </w:r>
          </w:p>
        </w:tc>
        <w:tc>
          <w:tcPr>
            <w:tcW w:w="1018" w:type="dxa"/>
            <w:vAlign w:val="center"/>
          </w:tcPr>
          <w:p w14:paraId="464B3F26" w14:textId="49169C2C"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066E41">
              <w:rPr>
                <w:rFonts w:ascii="Wingdings 2" w:hAnsi="Wingdings 2"/>
                <w:sz w:val="28"/>
                <w:szCs w:val="32"/>
              </w:rPr>
              <w:t>P</w:t>
            </w:r>
          </w:p>
        </w:tc>
        <w:tc>
          <w:tcPr>
            <w:tcW w:w="1018" w:type="dxa"/>
            <w:tcBorders>
              <w:right w:val="nil"/>
            </w:tcBorders>
            <w:vAlign w:val="center"/>
          </w:tcPr>
          <w:p w14:paraId="4FC27CBB" w14:textId="037229F7"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r>
      <w:tr w:rsidR="00AD305C" w14:paraId="62C72CF5" w14:textId="77777777" w:rsidTr="00AD305C">
        <w:tc>
          <w:tcPr>
            <w:cnfStyle w:val="001000000000" w:firstRow="0" w:lastRow="0" w:firstColumn="1" w:lastColumn="0" w:oddVBand="0" w:evenVBand="0" w:oddHBand="0" w:evenHBand="0" w:firstRowFirstColumn="0" w:firstRowLastColumn="0" w:lastRowFirstColumn="0" w:lastRowLastColumn="0"/>
            <w:tcW w:w="2513" w:type="dxa"/>
            <w:tcBorders>
              <w:left w:val="nil"/>
              <w:bottom w:val="nil"/>
            </w:tcBorders>
          </w:tcPr>
          <w:p w14:paraId="42FE00DF" w14:textId="77777777" w:rsidR="00AD305C" w:rsidRDefault="00AD305C" w:rsidP="00AD305C">
            <w:pPr>
              <w:pStyle w:val="BodyText"/>
            </w:pPr>
            <w:r>
              <w:t>Financial Acquittal Report</w:t>
            </w:r>
          </w:p>
        </w:tc>
        <w:tc>
          <w:tcPr>
            <w:tcW w:w="1017" w:type="dxa"/>
            <w:tcBorders>
              <w:bottom w:val="nil"/>
            </w:tcBorders>
            <w:vAlign w:val="center"/>
          </w:tcPr>
          <w:p w14:paraId="25743305" w14:textId="4DC0A45F"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c>
          <w:tcPr>
            <w:tcW w:w="1018" w:type="dxa"/>
            <w:tcBorders>
              <w:bottom w:val="nil"/>
            </w:tcBorders>
            <w:vAlign w:val="center"/>
          </w:tcPr>
          <w:p w14:paraId="75D60FA5" w14:textId="726EC0D4"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c>
          <w:tcPr>
            <w:tcW w:w="1018" w:type="dxa"/>
            <w:tcBorders>
              <w:bottom w:val="nil"/>
            </w:tcBorders>
            <w:vAlign w:val="center"/>
          </w:tcPr>
          <w:p w14:paraId="30231C10" w14:textId="1DE86992"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t>N/A</w:t>
            </w:r>
          </w:p>
        </w:tc>
        <w:tc>
          <w:tcPr>
            <w:tcW w:w="1018" w:type="dxa"/>
            <w:tcBorders>
              <w:bottom w:val="nil"/>
            </w:tcBorders>
            <w:vAlign w:val="center"/>
          </w:tcPr>
          <w:p w14:paraId="4DF853AD" w14:textId="7826D6E2" w:rsidR="00AD305C" w:rsidRDefault="00AD305C" w:rsidP="00AD305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Pr>
                <w:rFonts w:ascii="Wingdings 2" w:hAnsi="Wingdings 2"/>
                <w:sz w:val="28"/>
                <w:szCs w:val="32"/>
              </w:rPr>
              <w:t>P</w:t>
            </w:r>
          </w:p>
        </w:tc>
        <w:tc>
          <w:tcPr>
            <w:tcW w:w="1018" w:type="dxa"/>
            <w:tcBorders>
              <w:bottom w:val="nil"/>
            </w:tcBorders>
            <w:vAlign w:val="center"/>
          </w:tcPr>
          <w:p w14:paraId="4AAEE0B9" w14:textId="050E9BEF"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c>
          <w:tcPr>
            <w:tcW w:w="1018" w:type="dxa"/>
            <w:tcBorders>
              <w:bottom w:val="nil"/>
            </w:tcBorders>
            <w:vAlign w:val="center"/>
          </w:tcPr>
          <w:p w14:paraId="31F000FC" w14:textId="1C80CECF"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c>
          <w:tcPr>
            <w:tcW w:w="1018" w:type="dxa"/>
            <w:tcBorders>
              <w:bottom w:val="nil"/>
              <w:right w:val="nil"/>
            </w:tcBorders>
            <w:vAlign w:val="center"/>
          </w:tcPr>
          <w:p w14:paraId="5F628CFA" w14:textId="148A8A68" w:rsidR="00AD305C" w:rsidRDefault="00AD305C" w:rsidP="00AD305C">
            <w:pPr>
              <w:pStyle w:val="BodyText"/>
              <w:jc w:val="center"/>
              <w:cnfStyle w:val="000000000000" w:firstRow="0" w:lastRow="0" w:firstColumn="0" w:lastColumn="0" w:oddVBand="0" w:evenVBand="0" w:oddHBand="0" w:evenHBand="0" w:firstRowFirstColumn="0" w:firstRowLastColumn="0" w:lastRowFirstColumn="0" w:lastRowLastColumn="0"/>
            </w:pPr>
            <w:r>
              <w:t>N/A</w:t>
            </w:r>
          </w:p>
        </w:tc>
      </w:tr>
    </w:tbl>
    <w:p w14:paraId="6BA7B437" w14:textId="353CDE10" w:rsidR="004B715A" w:rsidRDefault="009D1FA2" w:rsidP="000203AB">
      <w:pPr>
        <w:pStyle w:val="FootnoteText"/>
      </w:pPr>
      <w:r>
        <w:t>*</w:t>
      </w:r>
      <w:r w:rsidR="00DD1478">
        <w:t>For</w:t>
      </w:r>
      <w:r>
        <w:t xml:space="preserve"> 2018-2021, the performance report was titled a general progress report. </w:t>
      </w:r>
    </w:p>
    <w:p w14:paraId="630ECFCA" w14:textId="271600F6" w:rsidR="000D2E4F" w:rsidRDefault="000E7844" w:rsidP="000203AB">
      <w:pPr>
        <w:pStyle w:val="FootnoteText"/>
      </w:pPr>
      <w:r>
        <w:t>Source: KPMG</w:t>
      </w:r>
      <w:r w:rsidR="00DD3E39">
        <w:t>,</w:t>
      </w:r>
      <w:r>
        <w:t xml:space="preserve"> 2024</w:t>
      </w:r>
      <w:r w:rsidR="00DD3E39">
        <w:t>.</w:t>
      </w:r>
    </w:p>
    <w:p w14:paraId="6F18944F" w14:textId="7CD0F400" w:rsidR="001D652B" w:rsidRDefault="001D652B">
      <w:pPr>
        <w:spacing w:before="0" w:after="160" w:line="259" w:lineRule="auto"/>
      </w:pPr>
      <w:r>
        <w:br w:type="page"/>
      </w:r>
    </w:p>
    <w:p w14:paraId="4F472029" w14:textId="77777777" w:rsidR="00044390" w:rsidRDefault="00044390">
      <w:pPr>
        <w:spacing w:before="0" w:after="160" w:line="259" w:lineRule="auto"/>
        <w:sectPr w:rsidR="00044390" w:rsidSect="000E5308">
          <w:headerReference w:type="default" r:id="rId67"/>
          <w:pgSz w:w="11906" w:h="16838"/>
          <w:pgMar w:top="1701" w:right="1134" w:bottom="1134" w:left="1134" w:header="709" w:footer="454" w:gutter="0"/>
          <w:cols w:space="708"/>
          <w:docGrid w:linePitch="360"/>
        </w:sectPr>
      </w:pPr>
    </w:p>
    <w:p w14:paraId="3921082F" w14:textId="0BCB050E" w:rsidR="000311B7" w:rsidRDefault="000311B7" w:rsidP="00A05401">
      <w:pPr>
        <w:pStyle w:val="Heading1"/>
      </w:pPr>
      <w:bookmarkStart w:id="296" w:name="_Ref180566981"/>
      <w:bookmarkStart w:id="297" w:name="_Toc184396583"/>
      <w:bookmarkStart w:id="298" w:name="_Toc216711617"/>
      <w:bookmarkStart w:id="299" w:name="_Toc216792011"/>
      <w:r w:rsidRPr="00F6591D">
        <w:t xml:space="preserve">Appendix </w:t>
      </w:r>
      <w:r w:rsidR="005218C0">
        <w:t>E</w:t>
      </w:r>
      <w:r w:rsidRPr="00F6591D">
        <w:t xml:space="preserve">: </w:t>
      </w:r>
      <w:r>
        <w:t>Stakeholder consultation</w:t>
      </w:r>
      <w:bookmarkEnd w:id="296"/>
      <w:bookmarkEnd w:id="297"/>
      <w:bookmarkEnd w:id="298"/>
      <w:bookmarkEnd w:id="299"/>
    </w:p>
    <w:p w14:paraId="5E45AA77" w14:textId="77777777" w:rsidR="009E5C00" w:rsidRDefault="009E5C00" w:rsidP="00273E1A">
      <w:pPr>
        <w:pStyle w:val="Heading2"/>
      </w:pPr>
      <w:bookmarkStart w:id="300" w:name="_Toc184396584"/>
      <w:bookmarkStart w:id="301" w:name="_Toc216711618"/>
      <w:bookmarkStart w:id="302" w:name="_Toc216792012"/>
      <w:r>
        <w:t>Methodology overview</w:t>
      </w:r>
      <w:bookmarkEnd w:id="300"/>
      <w:bookmarkEnd w:id="301"/>
      <w:bookmarkEnd w:id="302"/>
    </w:p>
    <w:p w14:paraId="0C7D9448" w14:textId="24B187B3" w:rsidR="00271CB7" w:rsidRDefault="000720F3" w:rsidP="000311B7">
      <w:pPr>
        <w:pStyle w:val="BodyText"/>
      </w:pPr>
      <w:r w:rsidRPr="00E820B2">
        <w:t xml:space="preserve">Stakeholder consultations </w:t>
      </w:r>
      <w:r>
        <w:t>were identified as</w:t>
      </w:r>
      <w:r w:rsidRPr="00E820B2">
        <w:t xml:space="preserve"> a key source of information regarding the effectiveness of the program and </w:t>
      </w:r>
      <w:r>
        <w:t xml:space="preserve">was </w:t>
      </w:r>
      <w:r w:rsidRPr="00E820B2">
        <w:t>crucial to augment the program data collected through the desktop review, literature scan and survey</w:t>
      </w:r>
      <w:r>
        <w:t xml:space="preserve">. </w:t>
      </w:r>
      <w:r w:rsidR="00271CB7">
        <w:t xml:space="preserve">As part of the evaluation a broad range of stakeholders </w:t>
      </w:r>
      <w:r w:rsidR="001A11FE">
        <w:t xml:space="preserve">were engaged to provide insight into the MPS Program. </w:t>
      </w:r>
    </w:p>
    <w:p w14:paraId="4343C0B3" w14:textId="55E6B598" w:rsidR="000311B7" w:rsidRDefault="000C5485" w:rsidP="000311B7">
      <w:pPr>
        <w:pStyle w:val="BodyText"/>
      </w:pPr>
      <w:r>
        <w:t xml:space="preserve">An initial list of stakeholders </w:t>
      </w:r>
      <w:proofErr w:type="gramStart"/>
      <w:r>
        <w:t>were</w:t>
      </w:r>
      <w:proofErr w:type="gramEnd"/>
      <w:r>
        <w:t xml:space="preserve"> provided by PSG members and included </w:t>
      </w:r>
      <w:r w:rsidR="002177BE">
        <w:t>representatives from State and Territory health departments</w:t>
      </w:r>
      <w:r w:rsidR="00A7273C">
        <w:t xml:space="preserve">, </w:t>
      </w:r>
      <w:r w:rsidR="000D0933">
        <w:t xml:space="preserve">Registrars </w:t>
      </w:r>
      <w:r w:rsidR="00A7273C">
        <w:t xml:space="preserve">and </w:t>
      </w:r>
      <w:r w:rsidR="009B6D3A">
        <w:t>S</w:t>
      </w:r>
      <w:r w:rsidR="00A7273C">
        <w:t>upervisors from the three streams (DIMP, ROMP and RPS)</w:t>
      </w:r>
      <w:r w:rsidR="00E85149">
        <w:t>, experienced medical physicists</w:t>
      </w:r>
      <w:r w:rsidR="00DA1004">
        <w:t>, ACPSEM and other key external stakeholders</w:t>
      </w:r>
      <w:r w:rsidR="00B110F2">
        <w:t>.</w:t>
      </w:r>
      <w:r w:rsidR="00E85149">
        <w:t xml:space="preserve"> </w:t>
      </w:r>
      <w:r w:rsidR="0002001E">
        <w:t>Over the course of the evaluation</w:t>
      </w:r>
      <w:r w:rsidR="000311B7">
        <w:t xml:space="preserve">, KPMG consulted </w:t>
      </w:r>
      <w:r w:rsidR="00F62DBD">
        <w:t xml:space="preserve">48 </w:t>
      </w:r>
      <w:r w:rsidR="000311B7">
        <w:t>stakeholders across six stakeholder groups.</w:t>
      </w:r>
      <w:r w:rsidR="00387D5B">
        <w:t xml:space="preserve"> </w:t>
      </w:r>
      <w:r w:rsidR="00387D5B">
        <w:fldChar w:fldCharType="begin" w:fldLock="1"/>
      </w:r>
      <w:r w:rsidR="00387D5B">
        <w:instrText xml:space="preserve"> REF _Ref182815469 \h </w:instrText>
      </w:r>
      <w:r w:rsidR="00387D5B">
        <w:fldChar w:fldCharType="separate"/>
      </w:r>
      <w:r w:rsidR="00387D5B">
        <w:t xml:space="preserve">Table </w:t>
      </w:r>
      <w:r w:rsidR="000038C5">
        <w:rPr>
          <w:noProof/>
        </w:rPr>
        <w:t>19</w:t>
      </w:r>
      <w:r w:rsidR="00387D5B">
        <w:fldChar w:fldCharType="end"/>
      </w:r>
      <w:r w:rsidR="000311B7">
        <w:t xml:space="preserve"> below provides detail on the stakeholder consultations conducted as part of this evaluation. </w:t>
      </w:r>
    </w:p>
    <w:p w14:paraId="54649AF7" w14:textId="77777777" w:rsidR="004356EC" w:rsidRDefault="004356EC" w:rsidP="004356EC">
      <w:pPr>
        <w:tabs>
          <w:tab w:val="left" w:pos="1590"/>
        </w:tabs>
      </w:pPr>
      <w:r>
        <w:t>Stakeholder consultations were undertaken virtually, with consultation guides (see Appendix F) developed for each stakeholder group to help guide discussions. Consultation guides were developed and refined with input from the Department and PSG members. Questions were mapped to individual KEQs to ensure conversations provide the required insights needed to answer KEQs.</w:t>
      </w:r>
    </w:p>
    <w:p w14:paraId="09FBA65B" w14:textId="2E3EF9BF" w:rsidR="004356EC" w:rsidRDefault="004356EC" w:rsidP="004356EC">
      <w:pPr>
        <w:pStyle w:val="BodyText"/>
      </w:pPr>
      <w:r>
        <w:t>Consultations were conducted in a semi-structured form</w:t>
      </w:r>
      <w:r w:rsidR="00EF06FF">
        <w:t>at</w:t>
      </w:r>
      <w:r>
        <w:t xml:space="preserve"> with conversations guided by consultation guide</w:t>
      </w:r>
      <w:r w:rsidR="00B00E65">
        <w:t xml:space="preserve">s which were </w:t>
      </w:r>
      <w:r w:rsidR="00B7755C">
        <w:t>provided to participants in advance</w:t>
      </w:r>
      <w:r>
        <w:t>. Guides provided a basis for a broader discussion of the MPS Program, and other key issues such as workforce, training outcomes</w:t>
      </w:r>
      <w:r w:rsidR="00FF5630">
        <w:t>,</w:t>
      </w:r>
      <w:r>
        <w:t xml:space="preserve"> and career pathways.</w:t>
      </w:r>
      <w:r w:rsidR="0001025D">
        <w:t xml:space="preserve"> </w:t>
      </w:r>
    </w:p>
    <w:p w14:paraId="194473C3" w14:textId="139B7360" w:rsidR="000311B7" w:rsidRDefault="000E7844" w:rsidP="000311B7">
      <w:pPr>
        <w:pStyle w:val="Caption"/>
      </w:pPr>
      <w:bookmarkStart w:id="303" w:name="_Ref182815469"/>
      <w:bookmarkStart w:id="304" w:name="_Ref180566742"/>
      <w:r>
        <w:t xml:space="preserve">Table </w:t>
      </w:r>
      <w:r>
        <w:fldChar w:fldCharType="begin"/>
      </w:r>
      <w:r>
        <w:instrText xml:space="preserve"> SEQ Table \* ARABIC </w:instrText>
      </w:r>
      <w:r>
        <w:fldChar w:fldCharType="separate"/>
      </w:r>
      <w:r w:rsidR="005F7EBC">
        <w:rPr>
          <w:noProof/>
        </w:rPr>
        <w:t>19</w:t>
      </w:r>
      <w:r>
        <w:fldChar w:fldCharType="end"/>
      </w:r>
      <w:bookmarkEnd w:id="303"/>
      <w:r>
        <w:t xml:space="preserve">: </w:t>
      </w:r>
      <w:r w:rsidRPr="00614878">
        <w:t>Stakeholder consultations conducted by stakeholder group</w:t>
      </w:r>
      <w:bookmarkEnd w:id="304"/>
    </w:p>
    <w:tbl>
      <w:tblPr>
        <w:tblStyle w:val="GridTable1Light-Accent1"/>
        <w:tblW w:w="0" w:type="auto"/>
        <w:tblLook w:val="04A0" w:firstRow="1" w:lastRow="0" w:firstColumn="1" w:lastColumn="0" w:noHBand="0" w:noVBand="1"/>
      </w:tblPr>
      <w:tblGrid>
        <w:gridCol w:w="4814"/>
        <w:gridCol w:w="4814"/>
      </w:tblGrid>
      <w:tr w:rsidR="00120ECD" w14:paraId="480B29EF" w14:textId="77777777" w:rsidTr="000203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Borders>
              <w:top w:val="nil"/>
              <w:left w:val="nil"/>
            </w:tcBorders>
            <w:shd w:val="clear" w:color="auto" w:fill="F1F4FE"/>
          </w:tcPr>
          <w:p w14:paraId="12E5F03A" w14:textId="77777777" w:rsidR="00120ECD" w:rsidRPr="000203AB" w:rsidRDefault="00120ECD" w:rsidP="000203AB">
            <w:r w:rsidRPr="000203AB">
              <w:t>Stakeholder group</w:t>
            </w:r>
          </w:p>
        </w:tc>
        <w:tc>
          <w:tcPr>
            <w:tcW w:w="4814" w:type="dxa"/>
            <w:tcBorders>
              <w:top w:val="nil"/>
              <w:right w:val="nil"/>
            </w:tcBorders>
          </w:tcPr>
          <w:p w14:paraId="1A3D985F" w14:textId="77777777" w:rsidR="00120ECD" w:rsidRPr="000203AB" w:rsidRDefault="00120ECD" w:rsidP="000203AB">
            <w:pPr>
              <w:cnfStyle w:val="100000000000" w:firstRow="1" w:lastRow="0" w:firstColumn="0" w:lastColumn="0" w:oddVBand="0" w:evenVBand="0" w:oddHBand="0" w:evenHBand="0" w:firstRowFirstColumn="0" w:firstRowLastColumn="0" w:lastRowFirstColumn="0" w:lastRowLastColumn="0"/>
            </w:pPr>
            <w:r w:rsidRPr="000203AB">
              <w:t>Number of stakeholders consulted</w:t>
            </w:r>
          </w:p>
        </w:tc>
      </w:tr>
      <w:tr w:rsidR="00120ECD" w14:paraId="1CE9D0E4" w14:textId="77777777">
        <w:tc>
          <w:tcPr>
            <w:cnfStyle w:val="001000000000" w:firstRow="0" w:lastRow="0" w:firstColumn="1" w:lastColumn="0" w:oddVBand="0" w:evenVBand="0" w:oddHBand="0" w:evenHBand="0" w:firstRowFirstColumn="0" w:firstRowLastColumn="0" w:lastRowFirstColumn="0" w:lastRowLastColumn="0"/>
            <w:tcW w:w="4814" w:type="dxa"/>
            <w:tcBorders>
              <w:left w:val="nil"/>
            </w:tcBorders>
            <w:shd w:val="clear" w:color="auto" w:fill="F1F4FE"/>
          </w:tcPr>
          <w:p w14:paraId="6F54A338" w14:textId="5F972A25" w:rsidR="00120ECD" w:rsidRPr="000203AB" w:rsidRDefault="00120ECD" w:rsidP="000203AB">
            <w:r w:rsidRPr="000203AB">
              <w:t>ACPSEM</w:t>
            </w:r>
          </w:p>
        </w:tc>
        <w:tc>
          <w:tcPr>
            <w:tcW w:w="4814" w:type="dxa"/>
            <w:tcBorders>
              <w:right w:val="nil"/>
            </w:tcBorders>
          </w:tcPr>
          <w:p w14:paraId="1D067CAE" w14:textId="4538AAA7" w:rsidR="00120ECD" w:rsidRPr="000203AB" w:rsidRDefault="00120ECD" w:rsidP="000203AB">
            <w:pPr>
              <w:cnfStyle w:val="000000000000" w:firstRow="0" w:lastRow="0" w:firstColumn="0" w:lastColumn="0" w:oddVBand="0" w:evenVBand="0" w:oddHBand="0" w:evenHBand="0" w:firstRowFirstColumn="0" w:firstRowLastColumn="0" w:lastRowFirstColumn="0" w:lastRowLastColumn="0"/>
            </w:pPr>
            <w:r w:rsidRPr="000203AB">
              <w:t>3</w:t>
            </w:r>
          </w:p>
        </w:tc>
      </w:tr>
      <w:tr w:rsidR="00120ECD" w14:paraId="2B40542C" w14:textId="77777777">
        <w:tc>
          <w:tcPr>
            <w:cnfStyle w:val="001000000000" w:firstRow="0" w:lastRow="0" w:firstColumn="1" w:lastColumn="0" w:oddVBand="0" w:evenVBand="0" w:oddHBand="0" w:evenHBand="0" w:firstRowFirstColumn="0" w:firstRowLastColumn="0" w:lastRowFirstColumn="0" w:lastRowLastColumn="0"/>
            <w:tcW w:w="4814" w:type="dxa"/>
            <w:tcBorders>
              <w:left w:val="nil"/>
            </w:tcBorders>
            <w:shd w:val="clear" w:color="auto" w:fill="F1F4FE"/>
          </w:tcPr>
          <w:p w14:paraId="50FF7EB6" w14:textId="29F7A103" w:rsidR="00120ECD" w:rsidRPr="000203AB" w:rsidRDefault="00120ECD" w:rsidP="000203AB">
            <w:r w:rsidRPr="000203AB">
              <w:t xml:space="preserve">External organisations (ACER, ARPANSA, RANZCR, </w:t>
            </w:r>
            <w:proofErr w:type="spellStart"/>
            <w:r w:rsidRPr="000203AB">
              <w:t>Amplexa</w:t>
            </w:r>
            <w:proofErr w:type="spellEnd"/>
            <w:r w:rsidRPr="000203AB">
              <w:t xml:space="preserve">, HETI, </w:t>
            </w:r>
            <w:proofErr w:type="spellStart"/>
            <w:r w:rsidRPr="000203AB">
              <w:t>Venndelta</w:t>
            </w:r>
            <w:proofErr w:type="spellEnd"/>
            <w:r w:rsidRPr="000203AB">
              <w:t>)</w:t>
            </w:r>
          </w:p>
        </w:tc>
        <w:tc>
          <w:tcPr>
            <w:tcW w:w="4814" w:type="dxa"/>
            <w:tcBorders>
              <w:right w:val="nil"/>
            </w:tcBorders>
            <w:vAlign w:val="bottom"/>
          </w:tcPr>
          <w:p w14:paraId="74ACFBAF" w14:textId="1BE8A97D" w:rsidR="00120ECD" w:rsidRPr="000203AB" w:rsidRDefault="00120ECD" w:rsidP="000203AB">
            <w:pPr>
              <w:cnfStyle w:val="000000000000" w:firstRow="0" w:lastRow="0" w:firstColumn="0" w:lastColumn="0" w:oddVBand="0" w:evenVBand="0" w:oddHBand="0" w:evenHBand="0" w:firstRowFirstColumn="0" w:firstRowLastColumn="0" w:lastRowFirstColumn="0" w:lastRowLastColumn="0"/>
            </w:pPr>
            <w:r w:rsidRPr="000203AB">
              <w:t>8</w:t>
            </w:r>
          </w:p>
        </w:tc>
      </w:tr>
      <w:tr w:rsidR="00120ECD" w14:paraId="255597BA" w14:textId="77777777">
        <w:tc>
          <w:tcPr>
            <w:cnfStyle w:val="001000000000" w:firstRow="0" w:lastRow="0" w:firstColumn="1" w:lastColumn="0" w:oddVBand="0" w:evenVBand="0" w:oddHBand="0" w:evenHBand="0" w:firstRowFirstColumn="0" w:firstRowLastColumn="0" w:lastRowFirstColumn="0" w:lastRowLastColumn="0"/>
            <w:tcW w:w="4814" w:type="dxa"/>
            <w:tcBorders>
              <w:left w:val="nil"/>
            </w:tcBorders>
            <w:shd w:val="clear" w:color="auto" w:fill="F1F4FE"/>
          </w:tcPr>
          <w:p w14:paraId="5DE9EF87" w14:textId="47BAD921" w:rsidR="00120ECD" w:rsidRPr="000203AB" w:rsidRDefault="00120ECD" w:rsidP="000203AB">
            <w:r w:rsidRPr="000203AB">
              <w:t>Experienced medical physicists</w:t>
            </w:r>
          </w:p>
        </w:tc>
        <w:tc>
          <w:tcPr>
            <w:tcW w:w="4814" w:type="dxa"/>
            <w:tcBorders>
              <w:right w:val="nil"/>
            </w:tcBorders>
          </w:tcPr>
          <w:p w14:paraId="7296FC2F" w14:textId="6628B415" w:rsidR="00120ECD" w:rsidRPr="000203AB" w:rsidRDefault="00120ECD" w:rsidP="000203AB">
            <w:pPr>
              <w:cnfStyle w:val="000000000000" w:firstRow="0" w:lastRow="0" w:firstColumn="0" w:lastColumn="0" w:oddVBand="0" w:evenVBand="0" w:oddHBand="0" w:evenHBand="0" w:firstRowFirstColumn="0" w:firstRowLastColumn="0" w:lastRowFirstColumn="0" w:lastRowLastColumn="0"/>
            </w:pPr>
            <w:r w:rsidRPr="000203AB">
              <w:t>21</w:t>
            </w:r>
          </w:p>
        </w:tc>
      </w:tr>
      <w:tr w:rsidR="00120ECD" w14:paraId="749DF317" w14:textId="77777777">
        <w:tc>
          <w:tcPr>
            <w:cnfStyle w:val="001000000000" w:firstRow="0" w:lastRow="0" w:firstColumn="1" w:lastColumn="0" w:oddVBand="0" w:evenVBand="0" w:oddHBand="0" w:evenHBand="0" w:firstRowFirstColumn="0" w:firstRowLastColumn="0" w:lastRowFirstColumn="0" w:lastRowLastColumn="0"/>
            <w:tcW w:w="4814" w:type="dxa"/>
            <w:tcBorders>
              <w:left w:val="nil"/>
            </w:tcBorders>
            <w:shd w:val="clear" w:color="auto" w:fill="F1F4FE"/>
          </w:tcPr>
          <w:p w14:paraId="5FAA8FC3" w14:textId="42917573" w:rsidR="00120ECD" w:rsidRPr="000203AB" w:rsidRDefault="00120ECD" w:rsidP="000203AB">
            <w:r w:rsidRPr="000203AB">
              <w:t>ROAC</w:t>
            </w:r>
          </w:p>
        </w:tc>
        <w:tc>
          <w:tcPr>
            <w:tcW w:w="4814" w:type="dxa"/>
            <w:tcBorders>
              <w:right w:val="nil"/>
            </w:tcBorders>
          </w:tcPr>
          <w:p w14:paraId="2D5A19D6" w14:textId="6153A53A" w:rsidR="00120ECD" w:rsidRPr="000203AB" w:rsidRDefault="00120ECD" w:rsidP="000203AB">
            <w:pPr>
              <w:cnfStyle w:val="000000000000" w:firstRow="0" w:lastRow="0" w:firstColumn="0" w:lastColumn="0" w:oddVBand="0" w:evenVBand="0" w:oddHBand="0" w:evenHBand="0" w:firstRowFirstColumn="0" w:firstRowLastColumn="0" w:lastRowFirstColumn="0" w:lastRowLastColumn="0"/>
            </w:pPr>
            <w:r w:rsidRPr="000203AB">
              <w:t>4</w:t>
            </w:r>
          </w:p>
        </w:tc>
      </w:tr>
      <w:tr w:rsidR="00120ECD" w14:paraId="32E401C1" w14:textId="77777777">
        <w:tc>
          <w:tcPr>
            <w:cnfStyle w:val="001000000000" w:firstRow="0" w:lastRow="0" w:firstColumn="1" w:lastColumn="0" w:oddVBand="0" w:evenVBand="0" w:oddHBand="0" w:evenHBand="0" w:firstRowFirstColumn="0" w:firstRowLastColumn="0" w:lastRowFirstColumn="0" w:lastRowLastColumn="0"/>
            <w:tcW w:w="4814" w:type="dxa"/>
            <w:tcBorders>
              <w:left w:val="nil"/>
            </w:tcBorders>
            <w:shd w:val="clear" w:color="auto" w:fill="F1F4FE"/>
          </w:tcPr>
          <w:p w14:paraId="6A83BD14" w14:textId="60F683DA" w:rsidR="00120ECD" w:rsidRPr="000203AB" w:rsidRDefault="00120ECD" w:rsidP="000203AB">
            <w:r w:rsidRPr="000203AB">
              <w:t>Registrars</w:t>
            </w:r>
          </w:p>
        </w:tc>
        <w:tc>
          <w:tcPr>
            <w:tcW w:w="4814" w:type="dxa"/>
            <w:tcBorders>
              <w:right w:val="nil"/>
            </w:tcBorders>
          </w:tcPr>
          <w:p w14:paraId="5AF98EB1" w14:textId="6C2D1D9B" w:rsidR="00120ECD" w:rsidRPr="000203AB" w:rsidRDefault="00120ECD" w:rsidP="000203AB">
            <w:pPr>
              <w:cnfStyle w:val="000000000000" w:firstRow="0" w:lastRow="0" w:firstColumn="0" w:lastColumn="0" w:oddVBand="0" w:evenVBand="0" w:oddHBand="0" w:evenHBand="0" w:firstRowFirstColumn="0" w:firstRowLastColumn="0" w:lastRowFirstColumn="0" w:lastRowLastColumn="0"/>
            </w:pPr>
            <w:r w:rsidRPr="000203AB">
              <w:t>6</w:t>
            </w:r>
          </w:p>
        </w:tc>
      </w:tr>
      <w:tr w:rsidR="00120ECD" w14:paraId="7BCDB9BB" w14:textId="77777777">
        <w:tc>
          <w:tcPr>
            <w:cnfStyle w:val="001000000000" w:firstRow="0" w:lastRow="0" w:firstColumn="1" w:lastColumn="0" w:oddVBand="0" w:evenVBand="0" w:oddHBand="0" w:evenHBand="0" w:firstRowFirstColumn="0" w:firstRowLastColumn="0" w:lastRowFirstColumn="0" w:lastRowLastColumn="0"/>
            <w:tcW w:w="4814" w:type="dxa"/>
            <w:tcBorders>
              <w:left w:val="nil"/>
              <w:bottom w:val="nil"/>
            </w:tcBorders>
            <w:shd w:val="clear" w:color="auto" w:fill="F1F4FE"/>
          </w:tcPr>
          <w:p w14:paraId="702420B4" w14:textId="19D5B43A" w:rsidR="00120ECD" w:rsidRPr="000203AB" w:rsidRDefault="00120ECD" w:rsidP="000203AB">
            <w:r w:rsidRPr="000203AB">
              <w:t>Supervisors</w:t>
            </w:r>
          </w:p>
        </w:tc>
        <w:tc>
          <w:tcPr>
            <w:tcW w:w="4814" w:type="dxa"/>
            <w:tcBorders>
              <w:bottom w:val="nil"/>
              <w:right w:val="nil"/>
            </w:tcBorders>
          </w:tcPr>
          <w:p w14:paraId="35078031" w14:textId="366FE4B8" w:rsidR="00120ECD" w:rsidRPr="000203AB" w:rsidRDefault="00120ECD" w:rsidP="000203AB">
            <w:pPr>
              <w:cnfStyle w:val="000000000000" w:firstRow="0" w:lastRow="0" w:firstColumn="0" w:lastColumn="0" w:oddVBand="0" w:evenVBand="0" w:oddHBand="0" w:evenHBand="0" w:firstRowFirstColumn="0" w:firstRowLastColumn="0" w:lastRowFirstColumn="0" w:lastRowLastColumn="0"/>
            </w:pPr>
            <w:r w:rsidRPr="000203AB">
              <w:t>6</w:t>
            </w:r>
          </w:p>
        </w:tc>
      </w:tr>
    </w:tbl>
    <w:p w14:paraId="626107C5" w14:textId="7B77AC63" w:rsidR="00EE4A60" w:rsidRDefault="00D03CDF" w:rsidP="000203AB">
      <w:pPr>
        <w:pStyle w:val="FootnoteText"/>
      </w:pPr>
      <w:r>
        <w:t>Source: KPMG</w:t>
      </w:r>
      <w:r w:rsidR="00DD3E39">
        <w:t>,</w:t>
      </w:r>
      <w:r>
        <w:t xml:space="preserve"> 2024</w:t>
      </w:r>
      <w:r w:rsidR="00DD3E39">
        <w:t>.</w:t>
      </w:r>
    </w:p>
    <w:p w14:paraId="5E72B840" w14:textId="1CD7F8BC" w:rsidR="004D5DF1" w:rsidRDefault="004D5DF1" w:rsidP="004D5DF1">
      <w:pPr>
        <w:tabs>
          <w:tab w:val="left" w:pos="1590"/>
        </w:tabs>
      </w:pPr>
    </w:p>
    <w:p w14:paraId="732618B8" w14:textId="77777777" w:rsidR="00487616" w:rsidRDefault="00487616" w:rsidP="00487616">
      <w:pPr>
        <w:spacing w:before="0" w:after="160" w:line="259" w:lineRule="auto"/>
        <w:sectPr w:rsidR="00487616" w:rsidSect="000E5308">
          <w:pgSz w:w="11906" w:h="16838"/>
          <w:pgMar w:top="1701" w:right="1134" w:bottom="1134" w:left="1134" w:header="709" w:footer="454" w:gutter="0"/>
          <w:cols w:space="708"/>
          <w:docGrid w:linePitch="360"/>
        </w:sectPr>
      </w:pPr>
    </w:p>
    <w:p w14:paraId="7D2D1B45" w14:textId="021F5285" w:rsidR="004F2CD7" w:rsidRDefault="00487616" w:rsidP="00804824">
      <w:pPr>
        <w:pStyle w:val="Heading1"/>
      </w:pPr>
      <w:bookmarkStart w:id="305" w:name="_Ref184369330"/>
      <w:bookmarkStart w:id="306" w:name="_Ref184369336"/>
      <w:bookmarkStart w:id="307" w:name="_Ref184369345"/>
      <w:bookmarkStart w:id="308" w:name="_Toc184396585"/>
      <w:bookmarkStart w:id="309" w:name="_Toc216711619"/>
      <w:bookmarkStart w:id="310" w:name="_Toc216792013"/>
      <w:r w:rsidRPr="00F6591D">
        <w:t xml:space="preserve">Appendix </w:t>
      </w:r>
      <w:r w:rsidR="004C1698">
        <w:t>F</w:t>
      </w:r>
      <w:r w:rsidR="004F2CD7">
        <w:t>: Consultation guides</w:t>
      </w:r>
      <w:bookmarkEnd w:id="305"/>
      <w:bookmarkEnd w:id="306"/>
      <w:bookmarkEnd w:id="307"/>
      <w:bookmarkEnd w:id="308"/>
      <w:bookmarkEnd w:id="309"/>
      <w:bookmarkEnd w:id="310"/>
    </w:p>
    <w:p w14:paraId="0ECE5A7D" w14:textId="32129F1E" w:rsidR="003750DA" w:rsidRPr="00AA51E9" w:rsidRDefault="0054163E" w:rsidP="00FC336C">
      <w:pPr>
        <w:pStyle w:val="Heading2"/>
      </w:pPr>
      <w:bookmarkStart w:id="311" w:name="_Toc184396586"/>
      <w:bookmarkStart w:id="312" w:name="_Toc216711620"/>
      <w:bookmarkStart w:id="313" w:name="_Toc216792014"/>
      <w:r w:rsidRPr="00FC336C">
        <w:t>General</w:t>
      </w:r>
      <w:bookmarkEnd w:id="311"/>
      <w:bookmarkEnd w:id="312"/>
      <w:bookmarkEnd w:id="313"/>
    </w:p>
    <w:p w14:paraId="1C59C4E7" w14:textId="77777777" w:rsidR="0054163E" w:rsidRPr="0054163E" w:rsidRDefault="0054163E" w:rsidP="0054163E">
      <w:pPr>
        <w:pStyle w:val="BodyText"/>
        <w:rPr>
          <w:b/>
        </w:rPr>
      </w:pPr>
      <w:r w:rsidRPr="0054163E">
        <w:rPr>
          <w:b/>
        </w:rPr>
        <w:t>Introduction</w:t>
      </w:r>
    </w:p>
    <w:p w14:paraId="3AE38219" w14:textId="77777777" w:rsidR="0054163E" w:rsidRPr="0054163E" w:rsidRDefault="0054163E" w:rsidP="00584EC6">
      <w:pPr>
        <w:pStyle w:val="ListNumber"/>
        <w:numPr>
          <w:ilvl w:val="0"/>
          <w:numId w:val="78"/>
        </w:numPr>
      </w:pPr>
      <w:r w:rsidRPr="0054163E">
        <w:t xml:space="preserve">Please provide some detail on your professional background, your current role and your experience/involvement with the ACPSEM and/or TEAP. </w:t>
      </w:r>
    </w:p>
    <w:p w14:paraId="4502CB0E" w14:textId="77777777" w:rsidR="0054163E" w:rsidRPr="0054163E" w:rsidRDefault="0054163E" w:rsidP="0054163E">
      <w:pPr>
        <w:pStyle w:val="BodyText"/>
        <w:rPr>
          <w:b/>
        </w:rPr>
      </w:pPr>
      <w:r w:rsidRPr="0054163E">
        <w:rPr>
          <w:b/>
        </w:rPr>
        <w:t>Your experience with TEAP</w:t>
      </w:r>
    </w:p>
    <w:p w14:paraId="1734A6FD" w14:textId="77777777" w:rsidR="0054163E" w:rsidRPr="0054163E" w:rsidRDefault="0054163E" w:rsidP="00896985">
      <w:pPr>
        <w:pStyle w:val="ListNumber"/>
      </w:pPr>
      <w:r w:rsidRPr="0054163E">
        <w:t>From your perspective, is the TEAP program design fit for purpose?</w:t>
      </w:r>
    </w:p>
    <w:p w14:paraId="59F6F5A6" w14:textId="77777777" w:rsidR="0054163E" w:rsidRPr="0054163E" w:rsidRDefault="0054163E" w:rsidP="00896985">
      <w:pPr>
        <w:pStyle w:val="ListNumber2"/>
      </w:pPr>
      <w:r w:rsidRPr="0054163E">
        <w:t>Is TEAP providing trainees with the required knowledge, practical skills, and experience needed in the profession?</w:t>
      </w:r>
    </w:p>
    <w:p w14:paraId="723AD4EB" w14:textId="77777777" w:rsidR="0054163E" w:rsidRPr="0054163E" w:rsidRDefault="0054163E" w:rsidP="00896985">
      <w:pPr>
        <w:pStyle w:val="ListNumber"/>
      </w:pPr>
      <w:r w:rsidRPr="0054163E">
        <w:t>Are the administration aspects supporting the operation of TEAP effective?</w:t>
      </w:r>
    </w:p>
    <w:p w14:paraId="56071FA0" w14:textId="77777777" w:rsidR="0054163E" w:rsidRPr="0054163E" w:rsidRDefault="0054163E" w:rsidP="00896985">
      <w:pPr>
        <w:pStyle w:val="ListNumber2"/>
      </w:pPr>
      <w:r w:rsidRPr="0054163E">
        <w:t>Are you involved in any TEAP operational activities that require administration or reporting? If yes, are these processes clear, appropriate, and efficient?</w:t>
      </w:r>
    </w:p>
    <w:p w14:paraId="6A551876" w14:textId="77777777" w:rsidR="0054163E" w:rsidRPr="0054163E" w:rsidRDefault="0054163E" w:rsidP="00896985">
      <w:pPr>
        <w:pStyle w:val="ListNumber2"/>
      </w:pPr>
      <w:r w:rsidRPr="0054163E">
        <w:t xml:space="preserve">Do you have any suggested changes to improve administration aspects supporting the operation of TEAP? </w:t>
      </w:r>
    </w:p>
    <w:p w14:paraId="5D9850D0" w14:textId="77777777" w:rsidR="0054163E" w:rsidRPr="0054163E" w:rsidRDefault="0054163E" w:rsidP="00896985">
      <w:pPr>
        <w:pStyle w:val="ListNumber"/>
      </w:pPr>
      <w:r w:rsidRPr="0054163E">
        <w:t>What are the enablers and/or barriers of TEAP?</w:t>
      </w:r>
    </w:p>
    <w:p w14:paraId="3761359F" w14:textId="77777777" w:rsidR="0054163E" w:rsidRPr="0054163E" w:rsidRDefault="0054163E" w:rsidP="000203AB">
      <w:pPr>
        <w:pStyle w:val="ListBullet"/>
      </w:pPr>
      <w:r w:rsidRPr="0054163E">
        <w:t>In your experience, what have been enablers and/or barriers to:</w:t>
      </w:r>
    </w:p>
    <w:p w14:paraId="2752EA7B" w14:textId="77777777" w:rsidR="0054163E" w:rsidRPr="0054163E" w:rsidRDefault="0054163E" w:rsidP="00584EC6">
      <w:pPr>
        <w:pStyle w:val="BodyText"/>
        <w:numPr>
          <w:ilvl w:val="0"/>
          <w:numId w:val="46"/>
        </w:numPr>
        <w:rPr>
          <w:bCs/>
          <w:iCs/>
        </w:rPr>
      </w:pPr>
      <w:r w:rsidRPr="0054163E">
        <w:rPr>
          <w:bCs/>
          <w:iCs/>
        </w:rPr>
        <w:t>The recruitment and retention of trainees?</w:t>
      </w:r>
    </w:p>
    <w:p w14:paraId="32FA42BB" w14:textId="77777777" w:rsidR="0054163E" w:rsidRPr="0054163E" w:rsidRDefault="0054163E" w:rsidP="00584EC6">
      <w:pPr>
        <w:pStyle w:val="BodyText"/>
        <w:numPr>
          <w:ilvl w:val="0"/>
          <w:numId w:val="46"/>
        </w:numPr>
        <w:rPr>
          <w:bCs/>
          <w:iCs/>
        </w:rPr>
      </w:pPr>
      <w:r w:rsidRPr="0054163E">
        <w:rPr>
          <w:bCs/>
          <w:iCs/>
        </w:rPr>
        <w:t>Supervision of trainees by supervisors?</w:t>
      </w:r>
    </w:p>
    <w:p w14:paraId="45DED5CD" w14:textId="77777777" w:rsidR="0054163E" w:rsidRPr="0054163E" w:rsidRDefault="0054163E" w:rsidP="00584EC6">
      <w:pPr>
        <w:pStyle w:val="BodyText"/>
        <w:numPr>
          <w:ilvl w:val="0"/>
          <w:numId w:val="46"/>
        </w:numPr>
        <w:rPr>
          <w:bCs/>
          <w:iCs/>
        </w:rPr>
      </w:pPr>
      <w:r w:rsidRPr="0054163E">
        <w:rPr>
          <w:bCs/>
          <w:iCs/>
        </w:rPr>
        <w:t>The effective delivery of training through TEAP?</w:t>
      </w:r>
    </w:p>
    <w:p w14:paraId="10BCF976" w14:textId="77777777" w:rsidR="0054163E" w:rsidRPr="0054163E" w:rsidRDefault="0054163E" w:rsidP="00584EC6">
      <w:pPr>
        <w:pStyle w:val="BodyText"/>
        <w:numPr>
          <w:ilvl w:val="0"/>
          <w:numId w:val="46"/>
        </w:numPr>
        <w:rPr>
          <w:bCs/>
          <w:iCs/>
        </w:rPr>
      </w:pPr>
      <w:r w:rsidRPr="0054163E">
        <w:rPr>
          <w:bCs/>
          <w:iCs/>
        </w:rPr>
        <w:t xml:space="preserve">Supporting the medical physicist workforce? </w:t>
      </w:r>
    </w:p>
    <w:p w14:paraId="3CBACB21" w14:textId="77777777" w:rsidR="0054163E" w:rsidRPr="0054163E" w:rsidRDefault="0054163E" w:rsidP="0054163E">
      <w:pPr>
        <w:pStyle w:val="BodyText"/>
        <w:rPr>
          <w:b/>
        </w:rPr>
      </w:pPr>
      <w:r w:rsidRPr="0054163E">
        <w:rPr>
          <w:b/>
        </w:rPr>
        <w:t>TEAP outcomes</w:t>
      </w:r>
    </w:p>
    <w:p w14:paraId="650F91B8" w14:textId="77777777" w:rsidR="0054163E" w:rsidRPr="0054163E" w:rsidRDefault="0054163E" w:rsidP="00896985">
      <w:pPr>
        <w:pStyle w:val="ListNumber"/>
      </w:pPr>
      <w:r w:rsidRPr="0054163E">
        <w:t>How effective has TEAP been in supporting the medical physicist and RPS workforce?</w:t>
      </w:r>
    </w:p>
    <w:p w14:paraId="21562CCB" w14:textId="77777777" w:rsidR="0054163E" w:rsidRPr="0054163E" w:rsidRDefault="0054163E" w:rsidP="000203AB">
      <w:pPr>
        <w:pStyle w:val="ListBullet"/>
      </w:pPr>
      <w:r w:rsidRPr="0054163E">
        <w:t>Does TEAP support and improve the development of skills needed to be a medical physicist?</w:t>
      </w:r>
    </w:p>
    <w:p w14:paraId="02011F46" w14:textId="77777777" w:rsidR="0054163E" w:rsidRPr="0054163E" w:rsidRDefault="0054163E" w:rsidP="000203AB">
      <w:pPr>
        <w:pStyle w:val="ListBullet"/>
      </w:pPr>
      <w:r w:rsidRPr="0054163E">
        <w:t>Has the certification of medical physicists through TEAP improved the quality of services provided by medical physicists?</w:t>
      </w:r>
    </w:p>
    <w:p w14:paraId="00196466" w14:textId="77777777" w:rsidR="0054163E" w:rsidRPr="0054163E" w:rsidRDefault="0054163E" w:rsidP="00896985">
      <w:pPr>
        <w:pStyle w:val="ListNumber"/>
      </w:pPr>
      <w:r w:rsidRPr="0054163E">
        <w:t>Have you observed any other benefits of TEAP?</w:t>
      </w:r>
    </w:p>
    <w:p w14:paraId="692D57B9" w14:textId="77777777" w:rsidR="0054163E" w:rsidRPr="0054163E" w:rsidRDefault="0054163E" w:rsidP="000203AB">
      <w:pPr>
        <w:pStyle w:val="ListBullet"/>
      </w:pPr>
      <w:r w:rsidRPr="0054163E">
        <w:t>Benefits may relate to trainees, supervisors, patients, and the health system more broadly.</w:t>
      </w:r>
    </w:p>
    <w:p w14:paraId="0B8B4DAA" w14:textId="77777777" w:rsidR="0054163E" w:rsidRPr="0054163E" w:rsidRDefault="0054163E" w:rsidP="00896985">
      <w:pPr>
        <w:pStyle w:val="ListNumber"/>
      </w:pPr>
      <w:r w:rsidRPr="0054163E">
        <w:t>Is TEAP aligned with broader workforce initiatives?</w:t>
      </w:r>
    </w:p>
    <w:p w14:paraId="7A2F2628" w14:textId="77777777" w:rsidR="0054163E" w:rsidRPr="0054163E" w:rsidRDefault="0054163E" w:rsidP="00896985">
      <w:pPr>
        <w:pStyle w:val="ListNumber2"/>
        <w:ind w:left="850"/>
        <w:rPr>
          <w:bCs/>
          <w:iCs/>
        </w:rPr>
      </w:pPr>
      <w:r w:rsidRPr="0054163E">
        <w:rPr>
          <w:bCs/>
          <w:iCs/>
        </w:rPr>
        <w:t>Are you aware of any other state/territory level workforce initiatives aimed at supporting the medical physicist workforce? If yes, does TEAP align with these other initiatives?</w:t>
      </w:r>
    </w:p>
    <w:p w14:paraId="7DD7BD98" w14:textId="77777777" w:rsidR="0054163E" w:rsidRPr="0054163E" w:rsidRDefault="0054163E" w:rsidP="00896985">
      <w:pPr>
        <w:pStyle w:val="ListNumber"/>
      </w:pPr>
      <w:r w:rsidRPr="0054163E">
        <w:t xml:space="preserve">Are you aware of any unintended outcomes (either positive or negative) </w:t>
      </w:r>
      <w:proofErr w:type="gramStart"/>
      <w:r w:rsidRPr="0054163E">
        <w:t>as a result of</w:t>
      </w:r>
      <w:proofErr w:type="gramEnd"/>
      <w:r w:rsidRPr="0054163E">
        <w:t xml:space="preserve"> TEAP?</w:t>
      </w:r>
    </w:p>
    <w:p w14:paraId="5891742B" w14:textId="77777777" w:rsidR="0054163E" w:rsidRPr="0054163E" w:rsidRDefault="0054163E" w:rsidP="0054163E">
      <w:pPr>
        <w:pStyle w:val="BodyText"/>
        <w:rPr>
          <w:b/>
        </w:rPr>
      </w:pPr>
      <w:r w:rsidRPr="0054163E">
        <w:rPr>
          <w:b/>
        </w:rPr>
        <w:t xml:space="preserve">Other ACPSEM activities </w:t>
      </w:r>
    </w:p>
    <w:p w14:paraId="5F226A83" w14:textId="77777777" w:rsidR="0054163E" w:rsidRPr="0054163E" w:rsidRDefault="0054163E" w:rsidP="00896985">
      <w:pPr>
        <w:pStyle w:val="ListNumber"/>
      </w:pPr>
      <w:r w:rsidRPr="0054163E">
        <w:t xml:space="preserve">Have you been involved with other ACPSEM activities outside of TEAP? If yes, </w:t>
      </w:r>
    </w:p>
    <w:p w14:paraId="465D1C13" w14:textId="77777777" w:rsidR="0054163E" w:rsidRPr="0054163E" w:rsidRDefault="0054163E" w:rsidP="00896985">
      <w:pPr>
        <w:pStyle w:val="ListNumber2"/>
        <w:ind w:left="850"/>
      </w:pPr>
      <w:r w:rsidRPr="0054163E">
        <w:t xml:space="preserve">What activities were you involved in and what was your role? </w:t>
      </w:r>
    </w:p>
    <w:p w14:paraId="7D0AE1BC" w14:textId="77777777" w:rsidR="0054163E" w:rsidRPr="0054163E" w:rsidRDefault="0054163E" w:rsidP="00896985">
      <w:pPr>
        <w:pStyle w:val="ListNumber2"/>
        <w:ind w:left="850"/>
      </w:pPr>
      <w:r w:rsidRPr="0054163E">
        <w:t xml:space="preserve">How did the activity support the medical physicist workforce? </w:t>
      </w:r>
    </w:p>
    <w:p w14:paraId="2582EB86" w14:textId="77777777" w:rsidR="0054163E" w:rsidRPr="0054163E" w:rsidRDefault="0054163E" w:rsidP="00896985">
      <w:pPr>
        <w:pStyle w:val="ListNumber2"/>
        <w:ind w:left="850"/>
      </w:pPr>
      <w:r w:rsidRPr="0054163E">
        <w:t xml:space="preserve">Was the activity effectively implemented and delivered? </w:t>
      </w:r>
    </w:p>
    <w:p w14:paraId="2A9241D5" w14:textId="66F94F0A" w:rsidR="0054163E" w:rsidRPr="0054163E" w:rsidRDefault="0054163E" w:rsidP="00436064">
      <w:pPr>
        <w:spacing w:before="0" w:after="160" w:line="259" w:lineRule="auto"/>
        <w:rPr>
          <w:b/>
        </w:rPr>
      </w:pPr>
      <w:r w:rsidRPr="0054163E">
        <w:rPr>
          <w:b/>
        </w:rPr>
        <w:t>Suggested improvements</w:t>
      </w:r>
    </w:p>
    <w:p w14:paraId="47F44D2A" w14:textId="77777777" w:rsidR="0054163E" w:rsidRPr="0054163E" w:rsidRDefault="0054163E" w:rsidP="00896985">
      <w:pPr>
        <w:pStyle w:val="ListNumber"/>
      </w:pPr>
      <w:r w:rsidRPr="0054163E">
        <w:t xml:space="preserve">Do you have any suggested improvements to the design, delivery, and/or funding arrangements for TEAP? Suggestions may relate to (but are not limited to): </w:t>
      </w:r>
    </w:p>
    <w:p w14:paraId="0241145C" w14:textId="77777777" w:rsidR="0054163E" w:rsidRPr="00896985" w:rsidRDefault="0054163E" w:rsidP="00896985">
      <w:pPr>
        <w:pStyle w:val="ListNumber2"/>
        <w:ind w:left="850"/>
      </w:pPr>
      <w:r w:rsidRPr="00896985">
        <w:t>Any gaps in knowledge or skills covered by the TEAP curriculum</w:t>
      </w:r>
    </w:p>
    <w:p w14:paraId="15B6C792" w14:textId="77777777" w:rsidR="0054163E" w:rsidRPr="00896985" w:rsidRDefault="0054163E" w:rsidP="00896985">
      <w:pPr>
        <w:pStyle w:val="ListNumber2"/>
        <w:ind w:left="850"/>
      </w:pPr>
      <w:r w:rsidRPr="00896985">
        <w:t>Suggested changes to funding arrangements for facilities</w:t>
      </w:r>
    </w:p>
    <w:p w14:paraId="2012DDB9" w14:textId="77777777" w:rsidR="0054163E" w:rsidRPr="00896985" w:rsidRDefault="0054163E" w:rsidP="00896985">
      <w:pPr>
        <w:pStyle w:val="ListNumber2"/>
        <w:ind w:left="850"/>
      </w:pPr>
      <w:r w:rsidRPr="00896985">
        <w:t>Any additional supports for trainees and/or supervisors</w:t>
      </w:r>
    </w:p>
    <w:p w14:paraId="295942F0" w14:textId="27533982" w:rsidR="0054163E" w:rsidRPr="0054163E" w:rsidRDefault="0054163E" w:rsidP="00896985">
      <w:pPr>
        <w:pStyle w:val="ListNumber2"/>
        <w:ind w:left="850"/>
        <w:rPr>
          <w:bCs/>
          <w:iCs/>
        </w:rPr>
      </w:pPr>
      <w:r w:rsidRPr="00896985">
        <w:t>O</w:t>
      </w:r>
      <w:r w:rsidRPr="0054163E">
        <w:rPr>
          <w:bCs/>
          <w:iCs/>
        </w:rPr>
        <w:t>ther approaches to supporting the medical physicist workforce.</w:t>
      </w:r>
    </w:p>
    <w:p w14:paraId="2863B55B" w14:textId="77777777" w:rsidR="00D03CDF" w:rsidRPr="000203AB" w:rsidRDefault="00D03CDF" w:rsidP="000203AB">
      <w:r w:rsidRPr="000203AB">
        <w:br w:type="page"/>
      </w:r>
    </w:p>
    <w:p w14:paraId="59680BEF" w14:textId="6F619CEE" w:rsidR="009F70C6" w:rsidRDefault="00D14072" w:rsidP="00273E1A">
      <w:pPr>
        <w:pStyle w:val="Heading2"/>
      </w:pPr>
      <w:bookmarkStart w:id="314" w:name="_Toc184396587"/>
      <w:bookmarkStart w:id="315" w:name="_Toc216711621"/>
      <w:bookmarkStart w:id="316" w:name="_Toc216792015"/>
      <w:r>
        <w:t>Experienced medical physicists</w:t>
      </w:r>
      <w:bookmarkEnd w:id="314"/>
      <w:bookmarkEnd w:id="315"/>
      <w:bookmarkEnd w:id="316"/>
    </w:p>
    <w:p w14:paraId="6E446541" w14:textId="77777777" w:rsidR="004B2505" w:rsidRPr="004B2505" w:rsidRDefault="004B2505" w:rsidP="004B2505">
      <w:pPr>
        <w:pStyle w:val="BodyText"/>
        <w:rPr>
          <w:b/>
        </w:rPr>
      </w:pPr>
      <w:r w:rsidRPr="004B2505">
        <w:rPr>
          <w:b/>
        </w:rPr>
        <w:t>Introduction</w:t>
      </w:r>
    </w:p>
    <w:p w14:paraId="50ED65F9" w14:textId="77777777" w:rsidR="004B2505" w:rsidRPr="004B2505" w:rsidRDefault="004B2505" w:rsidP="00584EC6">
      <w:pPr>
        <w:pStyle w:val="ListNumber"/>
        <w:numPr>
          <w:ilvl w:val="0"/>
          <w:numId w:val="79"/>
        </w:numPr>
      </w:pPr>
      <w:r w:rsidRPr="004B2505">
        <w:t>Please provide some detail on your professional background and your current role at your organisation/facility.</w:t>
      </w:r>
    </w:p>
    <w:p w14:paraId="3E6DE8EF" w14:textId="77777777" w:rsidR="004B2505" w:rsidRPr="004B2505" w:rsidRDefault="004B2505" w:rsidP="00896985">
      <w:pPr>
        <w:pStyle w:val="ListNumber"/>
      </w:pPr>
      <w:r w:rsidRPr="004B2505">
        <w:t>Are you involved with the ROMP, DIMP, and/or RPS discipline(s) of TEAP?</w:t>
      </w:r>
    </w:p>
    <w:p w14:paraId="198DECBF" w14:textId="77777777" w:rsidR="004B2505" w:rsidRPr="004B2505" w:rsidRDefault="004B2505" w:rsidP="00896985">
      <w:pPr>
        <w:pStyle w:val="ListNumber"/>
      </w:pPr>
      <w:r w:rsidRPr="004B2505">
        <w:t>What has been your experience/involvement with TEAP? For example, involvement in grant applications with the ACPSEM, recruitment of trainees, TEAP reporting and administration, etc.</w:t>
      </w:r>
    </w:p>
    <w:p w14:paraId="74C01FA5" w14:textId="77777777" w:rsidR="004B2505" w:rsidRPr="004B2505" w:rsidRDefault="004B2505" w:rsidP="004B2505">
      <w:pPr>
        <w:pStyle w:val="BodyText"/>
        <w:rPr>
          <w:b/>
        </w:rPr>
      </w:pPr>
      <w:r w:rsidRPr="004B2505">
        <w:rPr>
          <w:b/>
        </w:rPr>
        <w:t>Your experience with the delivery of TEAP</w:t>
      </w:r>
    </w:p>
    <w:p w14:paraId="098AE8FE" w14:textId="77777777" w:rsidR="004B2505" w:rsidRPr="00896985" w:rsidRDefault="004B2505" w:rsidP="00584EC6">
      <w:pPr>
        <w:pStyle w:val="ListNumber"/>
        <w:numPr>
          <w:ilvl w:val="0"/>
          <w:numId w:val="80"/>
        </w:numPr>
      </w:pPr>
      <w:r w:rsidRPr="00896985">
        <w:t>Are the administration aspects supporting the operation of TEAP effective?</w:t>
      </w:r>
    </w:p>
    <w:p w14:paraId="3119090E" w14:textId="77777777" w:rsidR="004B2505" w:rsidRPr="004B2505" w:rsidRDefault="004B2505" w:rsidP="000203AB">
      <w:pPr>
        <w:pStyle w:val="ListBullet"/>
      </w:pPr>
      <w:r w:rsidRPr="004B2505">
        <w:t>Are you involved in any TEAP operational activities that require administration or reporting? If yes, are these processes clear, appropriate, and efficient?</w:t>
      </w:r>
    </w:p>
    <w:p w14:paraId="287D1B14" w14:textId="77777777" w:rsidR="004B2505" w:rsidRPr="004B2505" w:rsidRDefault="004B2505" w:rsidP="000203AB">
      <w:pPr>
        <w:pStyle w:val="ListBullet"/>
      </w:pPr>
      <w:r w:rsidRPr="004B2505">
        <w:t>Do you have any suggested changes to improve administration aspects supporting the operation of TEAP?</w:t>
      </w:r>
    </w:p>
    <w:p w14:paraId="6284A28F" w14:textId="77777777" w:rsidR="004B2505" w:rsidRPr="004B2505" w:rsidRDefault="004B2505" w:rsidP="00584EC6">
      <w:pPr>
        <w:pStyle w:val="ListNumber"/>
        <w:numPr>
          <w:ilvl w:val="0"/>
          <w:numId w:val="80"/>
        </w:numPr>
      </w:pPr>
      <w:r w:rsidRPr="004B2505">
        <w:t>What are the enablers and/or barriers of TEAP?</w:t>
      </w:r>
    </w:p>
    <w:p w14:paraId="155D2F0E" w14:textId="77777777" w:rsidR="004B2505" w:rsidRPr="004B2505" w:rsidRDefault="004B2505" w:rsidP="000203AB">
      <w:pPr>
        <w:pStyle w:val="ListBullet"/>
      </w:pPr>
      <w:r w:rsidRPr="004B2505">
        <w:t>In your experience, what have been enablers and/or barriers to:</w:t>
      </w:r>
    </w:p>
    <w:p w14:paraId="32E2DD2A" w14:textId="77777777" w:rsidR="004B2505" w:rsidRPr="004B2505" w:rsidRDefault="004B2505" w:rsidP="00584EC6">
      <w:pPr>
        <w:pStyle w:val="BodyText"/>
        <w:numPr>
          <w:ilvl w:val="0"/>
          <w:numId w:val="46"/>
        </w:numPr>
        <w:rPr>
          <w:bCs/>
          <w:iCs/>
        </w:rPr>
      </w:pPr>
      <w:r w:rsidRPr="004B2505">
        <w:rPr>
          <w:bCs/>
          <w:iCs/>
        </w:rPr>
        <w:t>The recruitment of trainees in your region/facility?</w:t>
      </w:r>
    </w:p>
    <w:p w14:paraId="444B6D1F" w14:textId="77777777" w:rsidR="004B2505" w:rsidRPr="004B2505" w:rsidRDefault="004B2505" w:rsidP="00584EC6">
      <w:pPr>
        <w:pStyle w:val="BodyText"/>
        <w:numPr>
          <w:ilvl w:val="0"/>
          <w:numId w:val="46"/>
        </w:numPr>
        <w:rPr>
          <w:bCs/>
          <w:iCs/>
        </w:rPr>
      </w:pPr>
      <w:r w:rsidRPr="004B2505">
        <w:rPr>
          <w:bCs/>
          <w:iCs/>
        </w:rPr>
        <w:t>The retention of trainees in your region/facility?</w:t>
      </w:r>
    </w:p>
    <w:p w14:paraId="1CA62870" w14:textId="77777777" w:rsidR="004B2505" w:rsidRPr="004B2505" w:rsidRDefault="004B2505" w:rsidP="00584EC6">
      <w:pPr>
        <w:pStyle w:val="BodyText"/>
        <w:numPr>
          <w:ilvl w:val="0"/>
          <w:numId w:val="46"/>
        </w:numPr>
        <w:rPr>
          <w:bCs/>
          <w:iCs/>
        </w:rPr>
      </w:pPr>
      <w:r w:rsidRPr="004B2505">
        <w:rPr>
          <w:bCs/>
          <w:iCs/>
        </w:rPr>
        <w:t>Supervision of trainees by supervisors?</w:t>
      </w:r>
    </w:p>
    <w:p w14:paraId="2D6A12ED" w14:textId="77777777" w:rsidR="004B2505" w:rsidRPr="004B2505" w:rsidRDefault="004B2505" w:rsidP="00584EC6">
      <w:pPr>
        <w:pStyle w:val="BodyText"/>
        <w:numPr>
          <w:ilvl w:val="0"/>
          <w:numId w:val="46"/>
        </w:numPr>
        <w:rPr>
          <w:bCs/>
          <w:iCs/>
        </w:rPr>
      </w:pPr>
      <w:r w:rsidRPr="004B2505">
        <w:rPr>
          <w:bCs/>
          <w:iCs/>
        </w:rPr>
        <w:t>The effective delivery of training through TEAP?</w:t>
      </w:r>
    </w:p>
    <w:p w14:paraId="5964D774" w14:textId="77777777" w:rsidR="004B2505" w:rsidRPr="004B2505" w:rsidRDefault="004B2505" w:rsidP="00584EC6">
      <w:pPr>
        <w:pStyle w:val="BodyText"/>
        <w:numPr>
          <w:ilvl w:val="0"/>
          <w:numId w:val="46"/>
        </w:numPr>
        <w:rPr>
          <w:bCs/>
          <w:iCs/>
        </w:rPr>
      </w:pPr>
      <w:r w:rsidRPr="004B2505">
        <w:rPr>
          <w:bCs/>
          <w:iCs/>
        </w:rPr>
        <w:t>Supporting the medical physicist workforce in your region/facility?</w:t>
      </w:r>
    </w:p>
    <w:p w14:paraId="0CAA5051" w14:textId="77777777" w:rsidR="004B2505" w:rsidRPr="004B2505" w:rsidRDefault="004B2505" w:rsidP="004B2505">
      <w:pPr>
        <w:pStyle w:val="BodyText"/>
        <w:rPr>
          <w:b/>
        </w:rPr>
      </w:pPr>
      <w:r w:rsidRPr="004B2505">
        <w:rPr>
          <w:b/>
        </w:rPr>
        <w:t>TEAP outcomes</w:t>
      </w:r>
    </w:p>
    <w:p w14:paraId="7CD7D85D" w14:textId="77777777" w:rsidR="004B2505" w:rsidRPr="00896985" w:rsidRDefault="004B2505" w:rsidP="00584EC6">
      <w:pPr>
        <w:pStyle w:val="ListNumber"/>
        <w:numPr>
          <w:ilvl w:val="0"/>
          <w:numId w:val="81"/>
        </w:numPr>
      </w:pPr>
      <w:r w:rsidRPr="00896985">
        <w:t>How effective has TEAP been in supporting the medical physicist and RPS workforce?</w:t>
      </w:r>
    </w:p>
    <w:p w14:paraId="7F9456AD" w14:textId="77777777" w:rsidR="004B2505" w:rsidRPr="004B2505" w:rsidRDefault="004B2505" w:rsidP="000203AB">
      <w:pPr>
        <w:pStyle w:val="ListBullet"/>
      </w:pPr>
      <w:r w:rsidRPr="004B2505">
        <w:t>Does TEAP support and improve the development of skills needed to be a medical physicist?</w:t>
      </w:r>
    </w:p>
    <w:p w14:paraId="78CE2474" w14:textId="77777777" w:rsidR="004B2505" w:rsidRPr="004B2505" w:rsidRDefault="004B2505" w:rsidP="000203AB">
      <w:pPr>
        <w:pStyle w:val="ListBullet"/>
      </w:pPr>
      <w:r w:rsidRPr="004B2505">
        <w:t xml:space="preserve">Has the number of certified medical physicists increased in your region/facility? </w:t>
      </w:r>
    </w:p>
    <w:p w14:paraId="17596EDA" w14:textId="77777777" w:rsidR="004B2505" w:rsidRPr="004B2505" w:rsidRDefault="004B2505" w:rsidP="000203AB">
      <w:pPr>
        <w:pStyle w:val="ListBullet"/>
      </w:pPr>
      <w:r w:rsidRPr="004B2505">
        <w:t>Has the certification of medical physicists through TEAP improved the quality of services provided by medical physicists in your region/facility?</w:t>
      </w:r>
    </w:p>
    <w:p w14:paraId="5CFE6CA6" w14:textId="77777777" w:rsidR="004B2505" w:rsidRPr="004B2505" w:rsidRDefault="004B2505" w:rsidP="000203AB">
      <w:pPr>
        <w:pStyle w:val="ListBullet"/>
      </w:pPr>
      <w:r w:rsidRPr="004B2505">
        <w:t>Has TEAP had an impact on departments’ reliance on employing overseas or unqualified/unregistered medical physicists in your region/facility?</w:t>
      </w:r>
    </w:p>
    <w:p w14:paraId="279AF2C6" w14:textId="77777777" w:rsidR="004B2505" w:rsidRPr="004B2505" w:rsidRDefault="004B2505" w:rsidP="00896985">
      <w:pPr>
        <w:pStyle w:val="ListNumber"/>
      </w:pPr>
      <w:r w:rsidRPr="004B2505">
        <w:t>Have you observed any other benefits of TEAP?</w:t>
      </w:r>
    </w:p>
    <w:p w14:paraId="7E6060EE" w14:textId="77777777" w:rsidR="004B2505" w:rsidRPr="004B2505" w:rsidRDefault="004B2505" w:rsidP="000203AB">
      <w:pPr>
        <w:pStyle w:val="ListBullet"/>
      </w:pPr>
      <w:r w:rsidRPr="004B2505">
        <w:t>Benefits may relate to trainees, supervisors, patients, and the health system more broadly.</w:t>
      </w:r>
    </w:p>
    <w:p w14:paraId="527383D8" w14:textId="77777777" w:rsidR="004B2505" w:rsidRPr="004B2505" w:rsidRDefault="004B2505" w:rsidP="00896985">
      <w:pPr>
        <w:pStyle w:val="ListNumber"/>
      </w:pPr>
      <w:r w:rsidRPr="004B2505">
        <w:t xml:space="preserve">Are you aware of any unintended outcomes (either positive or negative) </w:t>
      </w:r>
      <w:proofErr w:type="gramStart"/>
      <w:r w:rsidRPr="004B2505">
        <w:t>as a result of</w:t>
      </w:r>
      <w:proofErr w:type="gramEnd"/>
      <w:r w:rsidRPr="004B2505">
        <w:t xml:space="preserve"> TEAP?</w:t>
      </w:r>
    </w:p>
    <w:p w14:paraId="3495D933" w14:textId="77777777" w:rsidR="004B2505" w:rsidRPr="004B2505" w:rsidRDefault="004B2505" w:rsidP="00896985">
      <w:pPr>
        <w:pStyle w:val="ListNumber"/>
      </w:pPr>
      <w:r w:rsidRPr="004B2505">
        <w:t>Is TEAP aligned with broader workforce initiatives?</w:t>
      </w:r>
    </w:p>
    <w:p w14:paraId="73BA4A4C" w14:textId="77777777" w:rsidR="004B2505" w:rsidRPr="004B2505" w:rsidRDefault="004B2505" w:rsidP="000203AB">
      <w:pPr>
        <w:pStyle w:val="ListBullet"/>
      </w:pPr>
      <w:r w:rsidRPr="004B2505">
        <w:t>Are you aware of any other state/territory level workforce initiatives aimed at supporting the medical physicist workforce? If yes, does TEAP align with these other initiatives?</w:t>
      </w:r>
    </w:p>
    <w:p w14:paraId="4CC13E78" w14:textId="77777777" w:rsidR="004B2505" w:rsidRPr="004B2505" w:rsidRDefault="004B2505" w:rsidP="004B2505">
      <w:pPr>
        <w:pStyle w:val="BodyText"/>
        <w:rPr>
          <w:b/>
        </w:rPr>
      </w:pPr>
      <w:r w:rsidRPr="004B2505">
        <w:rPr>
          <w:b/>
        </w:rPr>
        <w:t>Suggested improvements</w:t>
      </w:r>
    </w:p>
    <w:p w14:paraId="2C865AFC" w14:textId="77777777" w:rsidR="004B2505" w:rsidRPr="004B2505" w:rsidRDefault="004B2505" w:rsidP="00584EC6">
      <w:pPr>
        <w:pStyle w:val="ListNumber"/>
        <w:numPr>
          <w:ilvl w:val="0"/>
          <w:numId w:val="82"/>
        </w:numPr>
      </w:pPr>
      <w:r w:rsidRPr="004B2505">
        <w:t xml:space="preserve">Do you have any suggested improvements to the design, delivery, and/or funding arrangements for TEAP? Suggestions may relate to (but are not limited to): </w:t>
      </w:r>
    </w:p>
    <w:p w14:paraId="395D43C6" w14:textId="77777777" w:rsidR="004B2505" w:rsidRPr="004B2505" w:rsidRDefault="004B2505" w:rsidP="000203AB">
      <w:pPr>
        <w:pStyle w:val="ListBullet"/>
      </w:pPr>
      <w:r w:rsidRPr="004B2505">
        <w:t>Any gaps in knowledge or skills covered by the TEAP curriculum</w:t>
      </w:r>
    </w:p>
    <w:p w14:paraId="49FDCEAF" w14:textId="77777777" w:rsidR="004B2505" w:rsidRPr="004B2505" w:rsidRDefault="004B2505" w:rsidP="000203AB">
      <w:pPr>
        <w:pStyle w:val="ListBullet"/>
      </w:pPr>
      <w:r w:rsidRPr="004B2505">
        <w:t>Suggested changes to funding arrangements for facilities</w:t>
      </w:r>
    </w:p>
    <w:p w14:paraId="28EEDB8E" w14:textId="77777777" w:rsidR="004B2505" w:rsidRPr="004B2505" w:rsidRDefault="004B2505" w:rsidP="000203AB">
      <w:pPr>
        <w:pStyle w:val="ListBullet"/>
      </w:pPr>
      <w:r w:rsidRPr="004B2505">
        <w:t>Any additional supports for trainees and/or supervisors</w:t>
      </w:r>
    </w:p>
    <w:p w14:paraId="6E69911A" w14:textId="77777777" w:rsidR="004B2505" w:rsidRPr="004B2505" w:rsidRDefault="004B2505" w:rsidP="00896985">
      <w:pPr>
        <w:pStyle w:val="ListBullet"/>
      </w:pPr>
      <w:r w:rsidRPr="004B2505">
        <w:t>Other approaches to supporting the medical physicist workforce.</w:t>
      </w:r>
    </w:p>
    <w:p w14:paraId="515820FF" w14:textId="7A6D4605" w:rsidR="0074528D" w:rsidRDefault="003A7F38" w:rsidP="00273E1A">
      <w:pPr>
        <w:pStyle w:val="Heading2"/>
      </w:pPr>
      <w:bookmarkStart w:id="317" w:name="_Toc184396588"/>
      <w:bookmarkStart w:id="318" w:name="_Toc216711622"/>
      <w:bookmarkStart w:id="319" w:name="_Toc216792016"/>
      <w:r>
        <w:t>ACPSEM</w:t>
      </w:r>
      <w:bookmarkEnd w:id="317"/>
      <w:bookmarkEnd w:id="318"/>
      <w:bookmarkEnd w:id="319"/>
    </w:p>
    <w:p w14:paraId="719D8E0E" w14:textId="77777777" w:rsidR="00974581" w:rsidRPr="00974581" w:rsidRDefault="00974581" w:rsidP="00974581">
      <w:pPr>
        <w:pStyle w:val="BodyText"/>
        <w:rPr>
          <w:b/>
        </w:rPr>
      </w:pPr>
      <w:r w:rsidRPr="00974581">
        <w:rPr>
          <w:b/>
        </w:rPr>
        <w:t xml:space="preserve">Supporting the training, education and assessment </w:t>
      </w:r>
    </w:p>
    <w:p w14:paraId="445FB62F" w14:textId="77777777" w:rsidR="00974581" w:rsidRPr="00974581" w:rsidRDefault="00974581" w:rsidP="00584EC6">
      <w:pPr>
        <w:pStyle w:val="ListNumber"/>
        <w:numPr>
          <w:ilvl w:val="0"/>
          <w:numId w:val="83"/>
        </w:numPr>
      </w:pPr>
      <w:r w:rsidRPr="00974581">
        <w:t>How have TEAP enrolments changed over time? What role has funding played in this?</w:t>
      </w:r>
      <w:r w:rsidRPr="00974581">
        <w:br/>
      </w:r>
      <w:r w:rsidRPr="00896985">
        <w:rPr>
          <w:i/>
          <w:iCs/>
        </w:rPr>
        <w:t>(see data request 1)</w:t>
      </w:r>
    </w:p>
    <w:p w14:paraId="26DCEFBC" w14:textId="77777777" w:rsidR="00974581" w:rsidRPr="00974581" w:rsidRDefault="00974581" w:rsidP="00896985">
      <w:pPr>
        <w:pStyle w:val="ListNumber"/>
      </w:pPr>
      <w:r w:rsidRPr="00974581">
        <w:t>How often do you see individuals not completing the program? What are the drivers of trainees dropping out?</w:t>
      </w:r>
      <w:r w:rsidRPr="00974581">
        <w:br/>
      </w:r>
      <w:r w:rsidRPr="00974581">
        <w:rPr>
          <w:i/>
        </w:rPr>
        <w:t>(see data request 2)</w:t>
      </w:r>
    </w:p>
    <w:p w14:paraId="04E5BDCA" w14:textId="77777777" w:rsidR="00974581" w:rsidRPr="00974581" w:rsidRDefault="00974581" w:rsidP="00896985">
      <w:pPr>
        <w:pStyle w:val="ListNumber"/>
      </w:pPr>
      <w:r w:rsidRPr="00974581">
        <w:t xml:space="preserve">The new curriculum is designed for completion in three years compared to the previous five years. How effective has this change been? </w:t>
      </w:r>
      <w:r w:rsidRPr="00974581">
        <w:br/>
      </w:r>
      <w:r w:rsidRPr="00974581">
        <w:rPr>
          <w:i/>
          <w:iCs/>
        </w:rPr>
        <w:t>(see data request 3)</w:t>
      </w:r>
    </w:p>
    <w:p w14:paraId="7CAEB496" w14:textId="77777777" w:rsidR="00974581" w:rsidRPr="00974581" w:rsidRDefault="00974581" w:rsidP="00896985">
      <w:pPr>
        <w:pStyle w:val="ListNumber2"/>
      </w:pPr>
      <w:r w:rsidRPr="00974581">
        <w:t>Are individuals completing the program quicker than, longer than or in line with expectations?</w:t>
      </w:r>
    </w:p>
    <w:p w14:paraId="5552E643" w14:textId="77777777" w:rsidR="00974581" w:rsidRPr="00974581" w:rsidRDefault="00974581" w:rsidP="00896985">
      <w:pPr>
        <w:pStyle w:val="ListNumber"/>
      </w:pPr>
      <w:r w:rsidRPr="00974581">
        <w:t xml:space="preserve">What resources are provided by the College to registrars and supervisors? </w:t>
      </w:r>
    </w:p>
    <w:p w14:paraId="68587746" w14:textId="77777777" w:rsidR="00974581" w:rsidRPr="00974581" w:rsidRDefault="00974581" w:rsidP="00896985">
      <w:pPr>
        <w:pStyle w:val="ListBullet"/>
      </w:pPr>
      <w:r w:rsidRPr="00974581">
        <w:t>Consultations have highlighted that ACPSEM provide additional support resources for the delivery of TEAP. This could include resources such as:</w:t>
      </w:r>
    </w:p>
    <w:p w14:paraId="24E49797" w14:textId="77777777" w:rsidR="00974581" w:rsidRPr="00896985" w:rsidRDefault="00974581" w:rsidP="00896985">
      <w:pPr>
        <w:pStyle w:val="ListBullet3"/>
      </w:pPr>
      <w:r w:rsidRPr="00974581">
        <w:t>Additional</w:t>
      </w:r>
      <w:r w:rsidRPr="00896985">
        <w:t xml:space="preserve"> tools (e.g. online demonstration learning videos)</w:t>
      </w:r>
    </w:p>
    <w:p w14:paraId="7098498E" w14:textId="77777777" w:rsidR="00974581" w:rsidRPr="00896985" w:rsidRDefault="00974581" w:rsidP="00896985">
      <w:pPr>
        <w:pStyle w:val="ListBullet3"/>
      </w:pPr>
      <w:r w:rsidRPr="00896985">
        <w:t xml:space="preserve">Workshops </w:t>
      </w:r>
    </w:p>
    <w:p w14:paraId="1D4AB44A" w14:textId="77777777" w:rsidR="00974581" w:rsidRPr="00974581" w:rsidRDefault="00974581" w:rsidP="00896985">
      <w:pPr>
        <w:pStyle w:val="ListBullet3"/>
      </w:pPr>
      <w:r w:rsidRPr="00896985">
        <w:t>Summer Sc</w:t>
      </w:r>
      <w:r w:rsidRPr="00974581">
        <w:t xml:space="preserve">hool </w:t>
      </w:r>
    </w:p>
    <w:p w14:paraId="55F33D58" w14:textId="77777777" w:rsidR="00974581" w:rsidRPr="00974581" w:rsidRDefault="00974581" w:rsidP="00584EC6">
      <w:pPr>
        <w:pStyle w:val="ListNumber"/>
        <w:numPr>
          <w:ilvl w:val="0"/>
          <w:numId w:val="84"/>
        </w:numPr>
      </w:pPr>
      <w:r w:rsidRPr="00974581">
        <w:t xml:space="preserve">Does ACPSEM have visibility over the various co-ordinator, preceptor and educator roles in each state/territory? If so, please provide details including FTE of these roles (if known). </w:t>
      </w:r>
    </w:p>
    <w:p w14:paraId="6F85373A" w14:textId="77777777" w:rsidR="00974581" w:rsidRPr="00974581" w:rsidRDefault="00974581" w:rsidP="00896985">
      <w:pPr>
        <w:pStyle w:val="ListNumber2"/>
      </w:pPr>
      <w:r w:rsidRPr="00974581">
        <w:t xml:space="preserve">From your perspective, what are the impacts of these roles on TEAP? </w:t>
      </w:r>
    </w:p>
    <w:p w14:paraId="64A4993D" w14:textId="77777777" w:rsidR="00974581" w:rsidRPr="00974581" w:rsidRDefault="00974581" w:rsidP="00896985">
      <w:pPr>
        <w:pStyle w:val="ListNumber"/>
      </w:pPr>
      <w:r w:rsidRPr="00974581">
        <w:t>How does ACPSEM standardise teaching across supervisors and facilities? Are there any suggested changes to improve standardisation of teaching?</w:t>
      </w:r>
      <w:r w:rsidRPr="00974581" w:rsidDel="00832E02">
        <w:rPr>
          <w:i/>
        </w:rPr>
        <w:t xml:space="preserve"> </w:t>
      </w:r>
      <w:r w:rsidRPr="00974581">
        <w:t xml:space="preserve"> </w:t>
      </w:r>
    </w:p>
    <w:p w14:paraId="1997AC07" w14:textId="77777777" w:rsidR="00974581" w:rsidRPr="00974581" w:rsidRDefault="00974581" w:rsidP="00974581">
      <w:pPr>
        <w:pStyle w:val="BodyText"/>
        <w:rPr>
          <w:b/>
        </w:rPr>
      </w:pPr>
      <w:r w:rsidRPr="00974581">
        <w:rPr>
          <w:b/>
        </w:rPr>
        <w:t>Medical Physicists Trainee Support – Grants</w:t>
      </w:r>
    </w:p>
    <w:p w14:paraId="6AAF4D7A" w14:textId="77777777" w:rsidR="00974581" w:rsidRPr="00974581" w:rsidRDefault="00974581" w:rsidP="00584EC6">
      <w:pPr>
        <w:pStyle w:val="ListNumber"/>
        <w:numPr>
          <w:ilvl w:val="0"/>
          <w:numId w:val="85"/>
        </w:numPr>
      </w:pPr>
      <w:r w:rsidRPr="00974581">
        <w:t xml:space="preserve">What is the process for grant applications and subsequent selections? </w:t>
      </w:r>
    </w:p>
    <w:p w14:paraId="623C1F5B" w14:textId="77777777" w:rsidR="00974581" w:rsidRPr="00974581" w:rsidRDefault="00974581" w:rsidP="00896985">
      <w:pPr>
        <w:pStyle w:val="ListNumber2"/>
      </w:pPr>
      <w:r w:rsidRPr="00974581">
        <w:t xml:space="preserve">What criteria is taken into consideration? </w:t>
      </w:r>
    </w:p>
    <w:p w14:paraId="378BBE53" w14:textId="77777777" w:rsidR="00974581" w:rsidRPr="00974581" w:rsidRDefault="00974581" w:rsidP="00896985">
      <w:pPr>
        <w:pStyle w:val="ListNumber2"/>
      </w:pPr>
      <w:r w:rsidRPr="00974581">
        <w:t xml:space="preserve">How are the number of grants provided and to which program stream determined? </w:t>
      </w:r>
    </w:p>
    <w:p w14:paraId="07114EF2" w14:textId="77777777" w:rsidR="00974581" w:rsidRPr="00974581" w:rsidRDefault="00974581" w:rsidP="00896985">
      <w:pPr>
        <w:pStyle w:val="ListNumber2"/>
      </w:pPr>
      <w:r w:rsidRPr="00974581">
        <w:t>How do you ensure that the allocation of grants is efficient and equitable?</w:t>
      </w:r>
    </w:p>
    <w:p w14:paraId="3E0E56C2" w14:textId="77777777" w:rsidR="00974581" w:rsidRPr="00974581" w:rsidRDefault="00974581" w:rsidP="00896985">
      <w:pPr>
        <w:pStyle w:val="ListNumber"/>
      </w:pPr>
      <w:r w:rsidRPr="00974581">
        <w:t xml:space="preserve">From your perspective, does the provision of a grant change a facility’s ability/willingness to have a registrar? </w:t>
      </w:r>
      <w:r w:rsidRPr="00974581">
        <w:br/>
      </w:r>
      <w:r w:rsidRPr="00974581">
        <w:rPr>
          <w:i/>
          <w:iCs/>
        </w:rPr>
        <w:t>(see data request 4)</w:t>
      </w:r>
      <w:r w:rsidRPr="00974581">
        <w:t xml:space="preserve"> </w:t>
      </w:r>
    </w:p>
    <w:p w14:paraId="472316D6" w14:textId="77777777" w:rsidR="00974581" w:rsidRPr="00974581" w:rsidRDefault="00974581" w:rsidP="00974581">
      <w:pPr>
        <w:pStyle w:val="BodyText"/>
        <w:rPr>
          <w:b/>
        </w:rPr>
      </w:pPr>
      <w:r w:rsidRPr="00974581">
        <w:rPr>
          <w:b/>
        </w:rPr>
        <w:t xml:space="preserve">Other ACPSEM activities </w:t>
      </w:r>
    </w:p>
    <w:p w14:paraId="282FD8B9" w14:textId="77777777" w:rsidR="00974581" w:rsidRPr="00974581" w:rsidRDefault="00974581" w:rsidP="00584EC6">
      <w:pPr>
        <w:pStyle w:val="ListNumber"/>
        <w:numPr>
          <w:ilvl w:val="0"/>
          <w:numId w:val="87"/>
        </w:numPr>
      </w:pPr>
      <w:r w:rsidRPr="00974581">
        <w:t>What is the Regional Innovations Funding Pool, and how has the funding been used to support the medical physicist workforce?</w:t>
      </w:r>
    </w:p>
    <w:p w14:paraId="4E9A07E6" w14:textId="77777777" w:rsidR="00974581" w:rsidRPr="00974581" w:rsidRDefault="00974581" w:rsidP="00896985">
      <w:pPr>
        <w:pStyle w:val="ListBullet2"/>
      </w:pPr>
      <w:r w:rsidRPr="00974581">
        <w:t xml:space="preserve">What activities have occurred </w:t>
      </w:r>
      <w:proofErr w:type="gramStart"/>
      <w:r w:rsidRPr="00974581">
        <w:t>as a result of</w:t>
      </w:r>
      <w:proofErr w:type="gramEnd"/>
      <w:r w:rsidRPr="00974581">
        <w:t xml:space="preserve"> the funding pool? </w:t>
      </w:r>
    </w:p>
    <w:p w14:paraId="062DE277" w14:textId="77777777" w:rsidR="00974581" w:rsidRPr="00974581" w:rsidRDefault="00974581" w:rsidP="00896985">
      <w:pPr>
        <w:pStyle w:val="ListNumber"/>
      </w:pPr>
      <w:r w:rsidRPr="00974581">
        <w:t xml:space="preserve">Is expenditure tracked by activity (i.e. workforce modelling, curriculum developments, etc.)? If so, could you please provide this information. </w:t>
      </w:r>
      <w:r w:rsidRPr="00974581">
        <w:br/>
      </w:r>
      <w:r w:rsidRPr="00974581">
        <w:rPr>
          <w:i/>
          <w:iCs/>
        </w:rPr>
        <w:t>(see data request 5)</w:t>
      </w:r>
    </w:p>
    <w:p w14:paraId="2955B5E4" w14:textId="77777777" w:rsidR="00974581" w:rsidRPr="00974581" w:rsidRDefault="00974581" w:rsidP="00896985">
      <w:pPr>
        <w:pStyle w:val="ListNumber"/>
      </w:pPr>
      <w:r w:rsidRPr="00974581">
        <w:t>What is the role of the College in awareness raising and advocacy?</w:t>
      </w:r>
    </w:p>
    <w:p w14:paraId="582FAA51" w14:textId="77777777" w:rsidR="00974581" w:rsidRPr="00974581" w:rsidRDefault="00974581" w:rsidP="00896985">
      <w:pPr>
        <w:pStyle w:val="BodyText"/>
        <w:keepNext/>
        <w:rPr>
          <w:b/>
        </w:rPr>
      </w:pPr>
      <w:r w:rsidRPr="00974581">
        <w:rPr>
          <w:b/>
        </w:rPr>
        <w:t>MPS Program outcomes</w:t>
      </w:r>
    </w:p>
    <w:p w14:paraId="37A5D1FF" w14:textId="77777777" w:rsidR="00974581" w:rsidRPr="00896985" w:rsidRDefault="00974581" w:rsidP="00584EC6">
      <w:pPr>
        <w:pStyle w:val="ListNumber"/>
        <w:numPr>
          <w:ilvl w:val="0"/>
          <w:numId w:val="86"/>
        </w:numPr>
      </w:pPr>
      <w:r w:rsidRPr="00974581">
        <w:t xml:space="preserve">From your </w:t>
      </w:r>
      <w:r w:rsidRPr="00896985">
        <w:t xml:space="preserve">perspective, what is the current and future demand for the medical physicist and RPS workforce? </w:t>
      </w:r>
    </w:p>
    <w:p w14:paraId="6F76050A" w14:textId="77777777" w:rsidR="00974581" w:rsidRPr="00974581" w:rsidRDefault="00974581" w:rsidP="00896985">
      <w:pPr>
        <w:pStyle w:val="ListNumber"/>
      </w:pPr>
      <w:r w:rsidRPr="00896985">
        <w:t xml:space="preserve">To what extent is the supply of TEAP positions filling a workforce shortage across the three streams, now and into the </w:t>
      </w:r>
      <w:r w:rsidRPr="00974581">
        <w:t xml:space="preserve">future? </w:t>
      </w:r>
    </w:p>
    <w:p w14:paraId="1DAC55EF" w14:textId="77777777" w:rsidR="00974581" w:rsidRPr="00974581" w:rsidRDefault="00974581" w:rsidP="00896985">
      <w:pPr>
        <w:pStyle w:val="ListNumber2"/>
      </w:pPr>
      <w:r w:rsidRPr="00974581">
        <w:t>Is the number of TEAP positions responsive to workforce modelling and demand?</w:t>
      </w:r>
    </w:p>
    <w:p w14:paraId="77696AB1" w14:textId="77777777" w:rsidR="00974581" w:rsidRPr="00974581" w:rsidRDefault="00974581" w:rsidP="00896985">
      <w:pPr>
        <w:pStyle w:val="ListNumber"/>
      </w:pPr>
      <w:r w:rsidRPr="00974581">
        <w:t>How effective has the MPS Program been in supporting the medical physicist and RPS workforce?</w:t>
      </w:r>
    </w:p>
    <w:p w14:paraId="222F0356" w14:textId="77777777" w:rsidR="00974581" w:rsidRPr="00974581" w:rsidRDefault="00974581" w:rsidP="00896985">
      <w:pPr>
        <w:pStyle w:val="ListBullet"/>
      </w:pPr>
      <w:r w:rsidRPr="00974581">
        <w:t xml:space="preserve">Has the medical physicist workforce increased over time? </w:t>
      </w:r>
    </w:p>
    <w:p w14:paraId="009FB79D" w14:textId="77777777" w:rsidR="00974581" w:rsidRPr="00974581" w:rsidRDefault="00974581" w:rsidP="00896985">
      <w:pPr>
        <w:pStyle w:val="ListBullet"/>
      </w:pPr>
      <w:r w:rsidRPr="00974581">
        <w:t xml:space="preserve">How has workforce distribution changed over time? </w:t>
      </w:r>
    </w:p>
    <w:p w14:paraId="0A53AC73" w14:textId="77777777" w:rsidR="00974581" w:rsidRPr="00974581" w:rsidRDefault="00974581" w:rsidP="00974581">
      <w:pPr>
        <w:pStyle w:val="BodyText"/>
        <w:rPr>
          <w:bCs/>
          <w:i/>
        </w:rPr>
      </w:pPr>
      <w:r w:rsidRPr="00974581">
        <w:rPr>
          <w:bCs/>
          <w:i/>
        </w:rPr>
        <w:t>(see data request 6)</w:t>
      </w:r>
    </w:p>
    <w:p w14:paraId="470B63E9" w14:textId="77777777" w:rsidR="00974581" w:rsidRPr="00974581" w:rsidRDefault="00974581" w:rsidP="00896985">
      <w:pPr>
        <w:pStyle w:val="ListNumber"/>
      </w:pPr>
      <w:r w:rsidRPr="00974581">
        <w:t>Is the MPS Program aligned with broader workforce initiatives?</w:t>
      </w:r>
    </w:p>
    <w:p w14:paraId="1B04C677" w14:textId="77777777" w:rsidR="00974581" w:rsidRPr="00974581" w:rsidRDefault="00974581" w:rsidP="00896985">
      <w:pPr>
        <w:pStyle w:val="ListBullet"/>
      </w:pPr>
      <w:r w:rsidRPr="00974581">
        <w:t>Are you aware of any other state/territory level workforce initiatives aimed at supporting the medical physicist workforce? If yes, does the MPS Program align with these other initiatives?</w:t>
      </w:r>
    </w:p>
    <w:p w14:paraId="213E72BD" w14:textId="77777777" w:rsidR="00974581" w:rsidRPr="00974581" w:rsidRDefault="00974581" w:rsidP="00974581">
      <w:pPr>
        <w:pStyle w:val="BodyText"/>
        <w:rPr>
          <w:b/>
        </w:rPr>
      </w:pPr>
      <w:r w:rsidRPr="00974581">
        <w:rPr>
          <w:b/>
        </w:rPr>
        <w:t>Suggested improvements</w:t>
      </w:r>
    </w:p>
    <w:p w14:paraId="73C47647" w14:textId="77777777" w:rsidR="00974581" w:rsidRPr="00974581" w:rsidRDefault="00974581" w:rsidP="00584EC6">
      <w:pPr>
        <w:pStyle w:val="ListNumber"/>
        <w:numPr>
          <w:ilvl w:val="0"/>
          <w:numId w:val="88"/>
        </w:numPr>
      </w:pPr>
      <w:r w:rsidRPr="00974581">
        <w:t xml:space="preserve">Are the administration aspects supporting the operation of the MPS Program effective? </w:t>
      </w:r>
    </w:p>
    <w:p w14:paraId="52FA75C8" w14:textId="77777777" w:rsidR="00974581" w:rsidRPr="00974581" w:rsidRDefault="00974581" w:rsidP="00896985">
      <w:pPr>
        <w:pStyle w:val="ListNumber"/>
      </w:pPr>
      <w:r w:rsidRPr="00974581">
        <w:t xml:space="preserve">Do you have any suggested improvements to the design, delivery, and/or funding arrangements for the MPS Program? </w:t>
      </w:r>
    </w:p>
    <w:p w14:paraId="61187491" w14:textId="77777777" w:rsidR="00D03CDF" w:rsidRDefault="00D03CDF" w:rsidP="00896985">
      <w:r>
        <w:br w:type="page"/>
      </w:r>
    </w:p>
    <w:p w14:paraId="3257BD4A" w14:textId="3EEBBFA5" w:rsidR="006F36E0" w:rsidRDefault="006F36E0" w:rsidP="00273E1A">
      <w:pPr>
        <w:pStyle w:val="Heading2"/>
      </w:pPr>
      <w:bookmarkStart w:id="320" w:name="_Toc184396589"/>
      <w:bookmarkStart w:id="321" w:name="_Toc216711623"/>
      <w:bookmarkStart w:id="322" w:name="_Toc216792017"/>
      <w:r>
        <w:t>Registrars</w:t>
      </w:r>
      <w:bookmarkEnd w:id="320"/>
      <w:bookmarkEnd w:id="321"/>
      <w:bookmarkEnd w:id="322"/>
    </w:p>
    <w:p w14:paraId="5861B40E" w14:textId="77777777" w:rsidR="004920E9" w:rsidRPr="004920E9" w:rsidRDefault="004920E9" w:rsidP="004920E9">
      <w:pPr>
        <w:pStyle w:val="BodyText"/>
        <w:rPr>
          <w:b/>
        </w:rPr>
      </w:pPr>
      <w:r w:rsidRPr="004920E9">
        <w:rPr>
          <w:b/>
        </w:rPr>
        <w:t>Introduction</w:t>
      </w:r>
    </w:p>
    <w:p w14:paraId="3745713A" w14:textId="77777777" w:rsidR="004920E9" w:rsidRPr="004920E9" w:rsidRDefault="004920E9" w:rsidP="00584EC6">
      <w:pPr>
        <w:pStyle w:val="ListNumber"/>
        <w:numPr>
          <w:ilvl w:val="0"/>
          <w:numId w:val="89"/>
        </w:numPr>
      </w:pPr>
      <w:r w:rsidRPr="004920E9">
        <w:t>Please provide some detail on your academic and professional background, and the facility you are currently training at.</w:t>
      </w:r>
    </w:p>
    <w:p w14:paraId="7E15865F" w14:textId="77777777" w:rsidR="004920E9" w:rsidRPr="004920E9" w:rsidRDefault="004920E9" w:rsidP="004920E9">
      <w:pPr>
        <w:pStyle w:val="BodyText"/>
        <w:rPr>
          <w:b/>
        </w:rPr>
      </w:pPr>
      <w:r w:rsidRPr="004920E9">
        <w:rPr>
          <w:b/>
        </w:rPr>
        <w:t>Your experience with TEAP</w:t>
      </w:r>
    </w:p>
    <w:p w14:paraId="1AD0F595" w14:textId="77777777" w:rsidR="004920E9" w:rsidRPr="004920E9" w:rsidRDefault="004920E9" w:rsidP="00584EC6">
      <w:pPr>
        <w:pStyle w:val="ListNumber"/>
        <w:numPr>
          <w:ilvl w:val="0"/>
          <w:numId w:val="90"/>
        </w:numPr>
      </w:pPr>
      <w:r w:rsidRPr="004920E9">
        <w:t>How did you become involved in TEAP? Why did you choose to participate?</w:t>
      </w:r>
    </w:p>
    <w:p w14:paraId="5D6A0D66" w14:textId="77777777" w:rsidR="004920E9" w:rsidRPr="004920E9" w:rsidRDefault="004920E9" w:rsidP="00896985">
      <w:pPr>
        <w:pStyle w:val="ListNumber"/>
      </w:pPr>
      <w:r w:rsidRPr="004920E9">
        <w:t>From your perspective, is the TEAP program design fit for purpose?</w:t>
      </w:r>
    </w:p>
    <w:p w14:paraId="4890EBB4" w14:textId="77777777" w:rsidR="004920E9" w:rsidRPr="004920E9" w:rsidRDefault="004920E9" w:rsidP="00896985">
      <w:pPr>
        <w:pStyle w:val="ListNumber2"/>
      </w:pPr>
      <w:r w:rsidRPr="004920E9">
        <w:t>Is TEAP providing you with the required knowledge, practical skills, and experience you will need in your profession?</w:t>
      </w:r>
    </w:p>
    <w:p w14:paraId="7AAF3692" w14:textId="77777777" w:rsidR="004920E9" w:rsidRPr="004920E9" w:rsidRDefault="004920E9" w:rsidP="00896985">
      <w:pPr>
        <w:pStyle w:val="ListNumber2"/>
      </w:pPr>
      <w:r w:rsidRPr="004920E9">
        <w:t>Are there particular aspects of TEAP program design which you find useful for your career and professional development?</w:t>
      </w:r>
    </w:p>
    <w:p w14:paraId="2ECD8B9B" w14:textId="77777777" w:rsidR="004920E9" w:rsidRPr="004920E9" w:rsidRDefault="004920E9" w:rsidP="00896985">
      <w:pPr>
        <w:pStyle w:val="ListNumber"/>
      </w:pPr>
      <w:r w:rsidRPr="004920E9">
        <w:t>Is TEAP being delivered to a high standard?</w:t>
      </w:r>
    </w:p>
    <w:p w14:paraId="1E7189DC" w14:textId="77777777" w:rsidR="004920E9" w:rsidRPr="004920E9" w:rsidRDefault="004920E9" w:rsidP="00896985">
      <w:pPr>
        <w:pStyle w:val="ListNumber2"/>
      </w:pPr>
      <w:r w:rsidRPr="004920E9">
        <w:t>Can you describe the quality of the training and education provided?</w:t>
      </w:r>
    </w:p>
    <w:p w14:paraId="04C27A84" w14:textId="77777777" w:rsidR="004920E9" w:rsidRPr="004920E9" w:rsidRDefault="004920E9" w:rsidP="00896985">
      <w:pPr>
        <w:pStyle w:val="ListNumber2"/>
      </w:pPr>
      <w:r w:rsidRPr="004920E9">
        <w:t>Can you describe the contributions your supervisor is making to your training and professional development?</w:t>
      </w:r>
    </w:p>
    <w:p w14:paraId="33E2D945" w14:textId="77777777" w:rsidR="004920E9" w:rsidRPr="004920E9" w:rsidRDefault="004920E9" w:rsidP="00896985">
      <w:pPr>
        <w:pStyle w:val="ListNumber2"/>
      </w:pPr>
      <w:r w:rsidRPr="004920E9">
        <w:t>Do you have an appropriate level of support through TEAP?</w:t>
      </w:r>
    </w:p>
    <w:p w14:paraId="20B5F234" w14:textId="77777777" w:rsidR="004920E9" w:rsidRPr="004920E9" w:rsidRDefault="004920E9" w:rsidP="00896985">
      <w:pPr>
        <w:pStyle w:val="ListNumber2"/>
      </w:pPr>
      <w:r w:rsidRPr="004920E9">
        <w:t>Are administrative processes for TEAP clear and efficient?</w:t>
      </w:r>
    </w:p>
    <w:p w14:paraId="7F1968F6" w14:textId="77777777" w:rsidR="004920E9" w:rsidRPr="004920E9" w:rsidRDefault="004920E9" w:rsidP="00896985">
      <w:pPr>
        <w:pStyle w:val="ListNumber2"/>
      </w:pPr>
      <w:r w:rsidRPr="004920E9">
        <w:t>Do you have appropriate access to equipment required for your training?</w:t>
      </w:r>
    </w:p>
    <w:p w14:paraId="0CDCAECA" w14:textId="77777777" w:rsidR="004920E9" w:rsidRPr="004920E9" w:rsidRDefault="004920E9" w:rsidP="004920E9">
      <w:pPr>
        <w:pStyle w:val="BodyText"/>
        <w:rPr>
          <w:b/>
        </w:rPr>
      </w:pPr>
      <w:r w:rsidRPr="004920E9">
        <w:rPr>
          <w:b/>
        </w:rPr>
        <w:t>TEAP outcomes</w:t>
      </w:r>
    </w:p>
    <w:p w14:paraId="092A33F5" w14:textId="77777777" w:rsidR="004920E9" w:rsidRPr="004920E9" w:rsidRDefault="004920E9" w:rsidP="00584EC6">
      <w:pPr>
        <w:pStyle w:val="ListNumber"/>
        <w:numPr>
          <w:ilvl w:val="0"/>
          <w:numId w:val="91"/>
        </w:numPr>
      </w:pPr>
      <w:r w:rsidRPr="004920E9">
        <w:t>How effective has TEAP been in supporting your professional development?</w:t>
      </w:r>
    </w:p>
    <w:p w14:paraId="3317F6CD" w14:textId="77777777" w:rsidR="004920E9" w:rsidRPr="004920E9" w:rsidRDefault="004920E9" w:rsidP="00896985">
      <w:pPr>
        <w:pStyle w:val="ListBullet"/>
      </w:pPr>
      <w:r w:rsidRPr="004920E9">
        <w:t xml:space="preserve">What impact is TEAP having on the quality of your work? </w:t>
      </w:r>
    </w:p>
    <w:p w14:paraId="3963E42D" w14:textId="77777777" w:rsidR="004920E9" w:rsidRPr="004920E9" w:rsidRDefault="004920E9" w:rsidP="00896985">
      <w:pPr>
        <w:pStyle w:val="ListBullet"/>
      </w:pPr>
      <w:r w:rsidRPr="004920E9">
        <w:t>What impact is TEAP having on your career and future progression?</w:t>
      </w:r>
    </w:p>
    <w:p w14:paraId="483553AF" w14:textId="77777777" w:rsidR="004920E9" w:rsidRPr="004920E9" w:rsidRDefault="004920E9" w:rsidP="00896985">
      <w:pPr>
        <w:pStyle w:val="ListNumber"/>
      </w:pPr>
      <w:r w:rsidRPr="004920E9">
        <w:t>Have you observed any other benefits of TEAP?</w:t>
      </w:r>
    </w:p>
    <w:p w14:paraId="40D84966" w14:textId="77777777" w:rsidR="004920E9" w:rsidRPr="004920E9" w:rsidRDefault="004920E9" w:rsidP="00896985">
      <w:pPr>
        <w:pStyle w:val="ListBullet"/>
      </w:pPr>
      <w:r w:rsidRPr="004920E9">
        <w:t>Benefits may relate t</w:t>
      </w:r>
      <w:r w:rsidRPr="00896985">
        <w:t>o traine</w:t>
      </w:r>
      <w:r w:rsidRPr="004920E9">
        <w:t>es, supervisors, patients, and the health system more broadly.</w:t>
      </w:r>
    </w:p>
    <w:p w14:paraId="4484AC51" w14:textId="77777777" w:rsidR="004920E9" w:rsidRPr="004920E9" w:rsidRDefault="004920E9" w:rsidP="00896985">
      <w:pPr>
        <w:pStyle w:val="ListNumber"/>
      </w:pPr>
      <w:r w:rsidRPr="004920E9">
        <w:t xml:space="preserve">Are you aware of any unintended outcomes (either positive or negative) </w:t>
      </w:r>
      <w:proofErr w:type="gramStart"/>
      <w:r w:rsidRPr="004920E9">
        <w:t>as a result of</w:t>
      </w:r>
      <w:proofErr w:type="gramEnd"/>
      <w:r w:rsidRPr="004920E9">
        <w:t xml:space="preserve"> TEAP?</w:t>
      </w:r>
    </w:p>
    <w:p w14:paraId="30D3663C" w14:textId="77777777" w:rsidR="004920E9" w:rsidRPr="004920E9" w:rsidRDefault="004920E9" w:rsidP="004920E9">
      <w:pPr>
        <w:pStyle w:val="BodyText"/>
        <w:rPr>
          <w:b/>
        </w:rPr>
      </w:pPr>
      <w:r w:rsidRPr="004920E9">
        <w:rPr>
          <w:b/>
        </w:rPr>
        <w:t>Suggested improvements</w:t>
      </w:r>
    </w:p>
    <w:p w14:paraId="3905D839" w14:textId="77777777" w:rsidR="004920E9" w:rsidRPr="004920E9" w:rsidRDefault="004920E9" w:rsidP="00584EC6">
      <w:pPr>
        <w:pStyle w:val="ListNumber"/>
        <w:numPr>
          <w:ilvl w:val="0"/>
          <w:numId w:val="92"/>
        </w:numPr>
      </w:pPr>
      <w:r w:rsidRPr="004920E9">
        <w:t xml:space="preserve">Do you have any suggested improvements to the design, delivery, and/or funding arrangements for TEAP? Suggestions may relate to (but are not limited to): </w:t>
      </w:r>
    </w:p>
    <w:p w14:paraId="3044E70A" w14:textId="77777777" w:rsidR="004920E9" w:rsidRPr="004920E9" w:rsidRDefault="004920E9" w:rsidP="00896985">
      <w:pPr>
        <w:pStyle w:val="ListBullet"/>
      </w:pPr>
      <w:r w:rsidRPr="004920E9">
        <w:t>Any gaps in knowledge or skills covered by the TEAP curriculum</w:t>
      </w:r>
    </w:p>
    <w:p w14:paraId="5E60266D" w14:textId="77777777" w:rsidR="004920E9" w:rsidRPr="004920E9" w:rsidRDefault="004920E9" w:rsidP="00896985">
      <w:pPr>
        <w:pStyle w:val="ListBullet"/>
      </w:pPr>
      <w:r w:rsidRPr="004920E9">
        <w:t>Suggested changes to funding arrangements for facilities</w:t>
      </w:r>
    </w:p>
    <w:p w14:paraId="29AEFB7D" w14:textId="77777777" w:rsidR="004920E9" w:rsidRPr="004920E9" w:rsidRDefault="004920E9" w:rsidP="00896985">
      <w:pPr>
        <w:pStyle w:val="ListBullet"/>
      </w:pPr>
      <w:r w:rsidRPr="004920E9">
        <w:t>Any additional supports for trainees and/or supervisors</w:t>
      </w:r>
    </w:p>
    <w:p w14:paraId="38F2C6B9" w14:textId="77777777" w:rsidR="004920E9" w:rsidRPr="004920E9" w:rsidRDefault="004920E9" w:rsidP="00896985">
      <w:pPr>
        <w:pStyle w:val="ListBullet"/>
      </w:pPr>
      <w:r w:rsidRPr="004920E9">
        <w:t>Other approaches to supporting the medical physicist workforce.</w:t>
      </w:r>
    </w:p>
    <w:p w14:paraId="08BBAFDB" w14:textId="77777777" w:rsidR="00D03CDF" w:rsidRPr="00896985" w:rsidRDefault="00D03CDF" w:rsidP="00896985">
      <w:r w:rsidRPr="00896985">
        <w:br w:type="page"/>
      </w:r>
    </w:p>
    <w:p w14:paraId="709F5547" w14:textId="0CEBECA3" w:rsidR="004920E9" w:rsidRDefault="004920E9" w:rsidP="00273E1A">
      <w:pPr>
        <w:pStyle w:val="Heading2"/>
      </w:pPr>
      <w:bookmarkStart w:id="323" w:name="_Toc184396590"/>
      <w:bookmarkStart w:id="324" w:name="_Toc216711624"/>
      <w:bookmarkStart w:id="325" w:name="_Toc216792018"/>
      <w:r>
        <w:t>Supervisors</w:t>
      </w:r>
      <w:bookmarkEnd w:id="323"/>
      <w:bookmarkEnd w:id="324"/>
      <w:bookmarkEnd w:id="325"/>
    </w:p>
    <w:p w14:paraId="3F0F1A63" w14:textId="77777777" w:rsidR="00D15EB6" w:rsidRPr="00D15EB6" w:rsidRDefault="00D15EB6" w:rsidP="00D15EB6">
      <w:pPr>
        <w:pStyle w:val="BodyText"/>
        <w:rPr>
          <w:b/>
        </w:rPr>
      </w:pPr>
      <w:r w:rsidRPr="00D15EB6">
        <w:rPr>
          <w:b/>
        </w:rPr>
        <w:t>Introduction</w:t>
      </w:r>
    </w:p>
    <w:p w14:paraId="41741BE3" w14:textId="77777777" w:rsidR="00D15EB6" w:rsidRPr="00D15EB6" w:rsidRDefault="00D15EB6" w:rsidP="00584EC6">
      <w:pPr>
        <w:pStyle w:val="ListNumber"/>
        <w:numPr>
          <w:ilvl w:val="0"/>
          <w:numId w:val="93"/>
        </w:numPr>
      </w:pPr>
      <w:r w:rsidRPr="00D15EB6">
        <w:t>Please provide some detail on your professional background and your current role at your organisation/facility.</w:t>
      </w:r>
    </w:p>
    <w:p w14:paraId="1E5E97BA" w14:textId="77777777" w:rsidR="00D15EB6" w:rsidRPr="00D15EB6" w:rsidRDefault="00D15EB6" w:rsidP="009A28E4">
      <w:pPr>
        <w:pStyle w:val="ListNumber"/>
      </w:pPr>
      <w:r w:rsidRPr="00D15EB6">
        <w:t xml:space="preserve">Are you involved with the ROMP, DIMP, and/or RPS discipline(s) of TEAP? </w:t>
      </w:r>
    </w:p>
    <w:p w14:paraId="2DEF8041" w14:textId="77777777" w:rsidR="00D15EB6" w:rsidRPr="00D15EB6" w:rsidRDefault="00D15EB6" w:rsidP="009A28E4">
      <w:pPr>
        <w:pStyle w:val="ListNumber"/>
      </w:pPr>
      <w:r w:rsidRPr="00D15EB6">
        <w:t xml:space="preserve">How many trainees do you/have you supervised? </w:t>
      </w:r>
    </w:p>
    <w:p w14:paraId="5818149B" w14:textId="77777777" w:rsidR="00D15EB6" w:rsidRPr="00D15EB6" w:rsidRDefault="00D15EB6" w:rsidP="00D15EB6">
      <w:pPr>
        <w:pStyle w:val="BodyText"/>
        <w:rPr>
          <w:b/>
        </w:rPr>
      </w:pPr>
      <w:r w:rsidRPr="00D15EB6">
        <w:rPr>
          <w:b/>
        </w:rPr>
        <w:t>Your experience with TEAP</w:t>
      </w:r>
    </w:p>
    <w:p w14:paraId="2EDB53BA" w14:textId="77777777" w:rsidR="00D15EB6" w:rsidRPr="00D15EB6" w:rsidRDefault="00D15EB6" w:rsidP="00584EC6">
      <w:pPr>
        <w:pStyle w:val="ListNumber"/>
        <w:numPr>
          <w:ilvl w:val="0"/>
          <w:numId w:val="94"/>
        </w:numPr>
      </w:pPr>
      <w:r w:rsidRPr="00D15EB6">
        <w:t xml:space="preserve">How did you become involved in TEAP? </w:t>
      </w:r>
    </w:p>
    <w:p w14:paraId="2F27E31C" w14:textId="77777777" w:rsidR="00D15EB6" w:rsidRPr="00D15EB6" w:rsidRDefault="00D15EB6" w:rsidP="009A28E4">
      <w:pPr>
        <w:pStyle w:val="ListNumber2"/>
      </w:pPr>
      <w:r w:rsidRPr="00D15EB6">
        <w:t xml:space="preserve">Why did you choose to be a supervisor? </w:t>
      </w:r>
    </w:p>
    <w:p w14:paraId="2840692A" w14:textId="77777777" w:rsidR="00D15EB6" w:rsidRPr="00D15EB6" w:rsidRDefault="00D15EB6" w:rsidP="009A28E4">
      <w:pPr>
        <w:pStyle w:val="ListNumber2"/>
      </w:pPr>
      <w:r w:rsidRPr="00D15EB6">
        <w:t>How does your supervisor role impact your ability to deliver your clinical role and responsibilities?</w:t>
      </w:r>
    </w:p>
    <w:p w14:paraId="4A0F2861" w14:textId="77777777" w:rsidR="00D15EB6" w:rsidRPr="00D15EB6" w:rsidRDefault="00D15EB6" w:rsidP="009A28E4">
      <w:pPr>
        <w:pStyle w:val="ListNumber"/>
      </w:pPr>
      <w:r w:rsidRPr="00D15EB6">
        <w:t>From your perspective, is the TEAP program design fit for purpose?</w:t>
      </w:r>
    </w:p>
    <w:p w14:paraId="428CECF3" w14:textId="77777777" w:rsidR="00D15EB6" w:rsidRPr="00D15EB6" w:rsidRDefault="00D15EB6" w:rsidP="009A28E4">
      <w:pPr>
        <w:pStyle w:val="ListNumber2"/>
      </w:pPr>
      <w:r w:rsidRPr="00D15EB6">
        <w:t>Is TEAP providing trainees with the required knowledge, practical skills, and experience needed in your profession?</w:t>
      </w:r>
    </w:p>
    <w:p w14:paraId="336B0CB5" w14:textId="77777777" w:rsidR="00D15EB6" w:rsidRPr="00D15EB6" w:rsidRDefault="00D15EB6" w:rsidP="009A28E4">
      <w:pPr>
        <w:pStyle w:val="ListNumber"/>
      </w:pPr>
      <w:r w:rsidRPr="00D15EB6">
        <w:t>Are the administration aspects supporting the operation of TEAP effective?</w:t>
      </w:r>
    </w:p>
    <w:p w14:paraId="2CD33AD8" w14:textId="77777777" w:rsidR="00D15EB6" w:rsidRPr="00D15EB6" w:rsidRDefault="00D15EB6" w:rsidP="009A28E4">
      <w:pPr>
        <w:pStyle w:val="ListNumber2"/>
      </w:pPr>
      <w:r w:rsidRPr="00D15EB6">
        <w:t>Are you involved in any TEAP operational activities that require administration or reporting? If yes, are these processes clear, appropriate, and efficient?</w:t>
      </w:r>
    </w:p>
    <w:p w14:paraId="3E85480F" w14:textId="77777777" w:rsidR="00D15EB6" w:rsidRPr="00D15EB6" w:rsidRDefault="00D15EB6" w:rsidP="009A28E4">
      <w:pPr>
        <w:pStyle w:val="ListNumber2"/>
      </w:pPr>
      <w:r w:rsidRPr="00D15EB6">
        <w:t xml:space="preserve">Do you have any suggested changes to improve administration aspects supporting the operation of TEAP? </w:t>
      </w:r>
    </w:p>
    <w:p w14:paraId="1A2A4E41" w14:textId="77777777" w:rsidR="00D15EB6" w:rsidRPr="00D15EB6" w:rsidRDefault="00D15EB6" w:rsidP="009A28E4">
      <w:pPr>
        <w:pStyle w:val="ListNumber2"/>
      </w:pPr>
      <w:r w:rsidRPr="00D15EB6">
        <w:t xml:space="preserve">Do you receive support from the ACPSEM in the delivery of your role? </w:t>
      </w:r>
    </w:p>
    <w:p w14:paraId="6408CF2E" w14:textId="77777777" w:rsidR="00D15EB6" w:rsidRPr="00D15EB6" w:rsidRDefault="00D15EB6" w:rsidP="009A28E4">
      <w:pPr>
        <w:pStyle w:val="ListNumber"/>
      </w:pPr>
      <w:r w:rsidRPr="00D15EB6">
        <w:t>What are the enablers and/or barriers of TEAP?</w:t>
      </w:r>
    </w:p>
    <w:p w14:paraId="4101010F" w14:textId="77777777" w:rsidR="00D15EB6" w:rsidRPr="00D15EB6" w:rsidRDefault="00D15EB6" w:rsidP="006F1451">
      <w:pPr>
        <w:pStyle w:val="ListBullet"/>
      </w:pPr>
      <w:r w:rsidRPr="00D15EB6">
        <w:t>In your experience, what have been enablers and/or barriers to:</w:t>
      </w:r>
    </w:p>
    <w:p w14:paraId="5E92851F" w14:textId="77777777" w:rsidR="00D15EB6" w:rsidRPr="00D15EB6" w:rsidRDefault="00D15EB6" w:rsidP="006F1451">
      <w:pPr>
        <w:pStyle w:val="ListBullet3"/>
      </w:pPr>
      <w:r w:rsidRPr="00D15EB6">
        <w:t>The recruitment and retention of trainees in your region/facility?</w:t>
      </w:r>
    </w:p>
    <w:p w14:paraId="3609ECF3" w14:textId="77777777" w:rsidR="00D15EB6" w:rsidRPr="00D15EB6" w:rsidRDefault="00D15EB6" w:rsidP="006F1451">
      <w:pPr>
        <w:pStyle w:val="ListBullet3"/>
      </w:pPr>
      <w:r w:rsidRPr="00D15EB6">
        <w:t>The effective delivery of training through TEAP?</w:t>
      </w:r>
    </w:p>
    <w:p w14:paraId="35D3F554" w14:textId="77777777" w:rsidR="00D15EB6" w:rsidRPr="00D15EB6" w:rsidRDefault="00D15EB6" w:rsidP="006F1451">
      <w:pPr>
        <w:pStyle w:val="ListBullet3"/>
      </w:pPr>
      <w:r w:rsidRPr="00D15EB6">
        <w:t>Supporting the medical physicist workforce in your region/facility?</w:t>
      </w:r>
    </w:p>
    <w:p w14:paraId="1F776332" w14:textId="77777777" w:rsidR="00D15EB6" w:rsidRPr="00D15EB6" w:rsidRDefault="00D15EB6" w:rsidP="00D15EB6">
      <w:pPr>
        <w:pStyle w:val="BodyText"/>
        <w:rPr>
          <w:b/>
        </w:rPr>
      </w:pPr>
      <w:r w:rsidRPr="00D15EB6">
        <w:rPr>
          <w:b/>
        </w:rPr>
        <w:t>TEAP outcomes</w:t>
      </w:r>
    </w:p>
    <w:p w14:paraId="42253A2C" w14:textId="77777777" w:rsidR="00D15EB6" w:rsidRPr="00D15EB6" w:rsidRDefault="00D15EB6" w:rsidP="00584EC6">
      <w:pPr>
        <w:pStyle w:val="ListNumber"/>
        <w:numPr>
          <w:ilvl w:val="0"/>
          <w:numId w:val="95"/>
        </w:numPr>
      </w:pPr>
      <w:r w:rsidRPr="00D15EB6">
        <w:t>How effective has TEAP been in supporting the medical physicist and RPS workforce?</w:t>
      </w:r>
    </w:p>
    <w:p w14:paraId="29358EFD" w14:textId="77777777" w:rsidR="00D15EB6" w:rsidRPr="00D15EB6" w:rsidRDefault="00D15EB6" w:rsidP="006F1451">
      <w:pPr>
        <w:pStyle w:val="ListBullet"/>
      </w:pPr>
      <w:r w:rsidRPr="00D15EB6">
        <w:t>Does TEAP support and improve the development of skills needed to be a medical physicist?</w:t>
      </w:r>
    </w:p>
    <w:p w14:paraId="06BB540F" w14:textId="77777777" w:rsidR="00D15EB6" w:rsidRPr="00D15EB6" w:rsidRDefault="00D15EB6" w:rsidP="006F1451">
      <w:pPr>
        <w:pStyle w:val="ListBullet"/>
      </w:pPr>
      <w:r w:rsidRPr="00D15EB6">
        <w:t xml:space="preserve">Has the number of certified medical physicists increased in your region/facility? </w:t>
      </w:r>
    </w:p>
    <w:p w14:paraId="5B947640" w14:textId="77777777" w:rsidR="00D15EB6" w:rsidRPr="00D15EB6" w:rsidRDefault="00D15EB6" w:rsidP="006F1451">
      <w:pPr>
        <w:pStyle w:val="ListBullet"/>
      </w:pPr>
      <w:r w:rsidRPr="00D15EB6">
        <w:t>Has the certification of medical physicists through TEAP improved the quality of services provided by medical physicists in your region/facility?</w:t>
      </w:r>
    </w:p>
    <w:p w14:paraId="698954EE" w14:textId="77777777" w:rsidR="00D15EB6" w:rsidRPr="00D15EB6" w:rsidRDefault="00D15EB6" w:rsidP="006F1451">
      <w:pPr>
        <w:pStyle w:val="ListNumber"/>
      </w:pPr>
      <w:r w:rsidRPr="00D15EB6">
        <w:t>Have you observed any other benefits of TEAP?</w:t>
      </w:r>
    </w:p>
    <w:p w14:paraId="548C2CF0" w14:textId="77777777" w:rsidR="00D15EB6" w:rsidRPr="00D15EB6" w:rsidRDefault="00D15EB6" w:rsidP="006F1451">
      <w:pPr>
        <w:pStyle w:val="ListBullet"/>
      </w:pPr>
      <w:r w:rsidRPr="00D15EB6">
        <w:t>Benefits may relate to trainees, supervisors, patients, and the health system more broadly.</w:t>
      </w:r>
    </w:p>
    <w:p w14:paraId="20A4E468" w14:textId="77777777" w:rsidR="00D15EB6" w:rsidRPr="00D15EB6" w:rsidRDefault="00D15EB6" w:rsidP="006F1451">
      <w:pPr>
        <w:pStyle w:val="ListNumber"/>
      </w:pPr>
      <w:r w:rsidRPr="00D15EB6">
        <w:t>Is TEAP aligned with broader workforce initiatives?</w:t>
      </w:r>
    </w:p>
    <w:p w14:paraId="70DB2EDD" w14:textId="77777777" w:rsidR="00D15EB6" w:rsidRPr="00D15EB6" w:rsidRDefault="00D15EB6" w:rsidP="006F1451">
      <w:pPr>
        <w:pStyle w:val="ListNumber2"/>
      </w:pPr>
      <w:r w:rsidRPr="00D15EB6">
        <w:t>Are you aware of any other state/territory level workforce initiatives aimed at supporting the medical physicist workforce? If yes, does TEAP align with these other initiatives?</w:t>
      </w:r>
    </w:p>
    <w:p w14:paraId="598C8B20" w14:textId="77777777" w:rsidR="00D15EB6" w:rsidRPr="00D15EB6" w:rsidRDefault="00D15EB6" w:rsidP="006F1451">
      <w:pPr>
        <w:pStyle w:val="ListNumber"/>
      </w:pPr>
      <w:r w:rsidRPr="00D15EB6">
        <w:t xml:space="preserve">Are you aware of any unintended outcomes (either positive or negative) </w:t>
      </w:r>
      <w:proofErr w:type="gramStart"/>
      <w:r w:rsidRPr="00D15EB6">
        <w:t>as a result of</w:t>
      </w:r>
      <w:proofErr w:type="gramEnd"/>
      <w:r w:rsidRPr="00D15EB6">
        <w:t xml:space="preserve"> TEAP?</w:t>
      </w:r>
    </w:p>
    <w:p w14:paraId="1EB93482" w14:textId="77777777" w:rsidR="00D90663" w:rsidRDefault="00D90663">
      <w:pPr>
        <w:spacing w:before="0" w:after="160" w:line="259" w:lineRule="auto"/>
        <w:rPr>
          <w:b/>
        </w:rPr>
      </w:pPr>
      <w:r>
        <w:rPr>
          <w:b/>
        </w:rPr>
        <w:br w:type="page"/>
      </w:r>
    </w:p>
    <w:p w14:paraId="0F597414" w14:textId="77777777" w:rsidR="00D15EB6" w:rsidRPr="00504CB4" w:rsidRDefault="00D15EB6" w:rsidP="00504CB4">
      <w:pPr>
        <w:rPr>
          <w:rStyle w:val="Strong"/>
        </w:rPr>
      </w:pPr>
      <w:r w:rsidRPr="00504CB4">
        <w:rPr>
          <w:rStyle w:val="Strong"/>
        </w:rPr>
        <w:t>Suggested improvements</w:t>
      </w:r>
    </w:p>
    <w:p w14:paraId="75C6DD68" w14:textId="77777777" w:rsidR="00D15EB6" w:rsidRPr="00D15EB6" w:rsidRDefault="00D15EB6" w:rsidP="00584EC6">
      <w:pPr>
        <w:pStyle w:val="ListNumber"/>
        <w:numPr>
          <w:ilvl w:val="0"/>
          <w:numId w:val="96"/>
        </w:numPr>
      </w:pPr>
      <w:r w:rsidRPr="00D15EB6">
        <w:t xml:space="preserve">Do you have any suggested improvements to the design, delivery, and/or funding arrangements for TEAP? Suggestions may relate to (but are not limited to): </w:t>
      </w:r>
    </w:p>
    <w:p w14:paraId="6928DD2F" w14:textId="77777777" w:rsidR="00D15EB6" w:rsidRPr="00D15EB6" w:rsidRDefault="00D15EB6" w:rsidP="006F1451">
      <w:pPr>
        <w:pStyle w:val="ListNumber2"/>
      </w:pPr>
      <w:r w:rsidRPr="00D15EB6">
        <w:t>Any gaps in knowledge or skills covered by the TEAP curriculum</w:t>
      </w:r>
    </w:p>
    <w:p w14:paraId="5FBA3E65" w14:textId="77777777" w:rsidR="00D15EB6" w:rsidRPr="00D15EB6" w:rsidRDefault="00D15EB6" w:rsidP="006F1451">
      <w:pPr>
        <w:pStyle w:val="ListNumber2"/>
      </w:pPr>
      <w:r w:rsidRPr="00D15EB6">
        <w:t>Any additional supports for trainees and/or supervisors</w:t>
      </w:r>
    </w:p>
    <w:p w14:paraId="6EA8B657" w14:textId="3CD2DFCF" w:rsidR="009F70C6" w:rsidRPr="00436064" w:rsidRDefault="00D15EB6" w:rsidP="006F1451">
      <w:pPr>
        <w:pStyle w:val="ListNumber2"/>
      </w:pPr>
      <w:r w:rsidRPr="00D15EB6">
        <w:t>Other approaches to supporting the medical physicist workforce.</w:t>
      </w:r>
    </w:p>
    <w:p w14:paraId="1684BC00" w14:textId="77777777" w:rsidR="004F2CD7" w:rsidRDefault="004F2CD7" w:rsidP="00504CB4">
      <w:r>
        <w:br w:type="page"/>
      </w:r>
    </w:p>
    <w:p w14:paraId="7203D929" w14:textId="1AE63EB0" w:rsidR="00620FCF" w:rsidRDefault="00620FCF" w:rsidP="00FC336C">
      <w:pPr>
        <w:pStyle w:val="Heading1"/>
      </w:pPr>
      <w:bookmarkStart w:id="326" w:name="_Toc184396591"/>
      <w:bookmarkStart w:id="327" w:name="_Toc216711625"/>
      <w:bookmarkStart w:id="328" w:name="_Toc216792019"/>
      <w:r w:rsidRPr="00F6591D">
        <w:t xml:space="preserve">Appendix </w:t>
      </w:r>
      <w:r w:rsidR="007573A6">
        <w:t>G</w:t>
      </w:r>
      <w:r>
        <w:t>: Survey approach</w:t>
      </w:r>
      <w:bookmarkEnd w:id="326"/>
      <w:bookmarkEnd w:id="327"/>
      <w:bookmarkEnd w:id="328"/>
    </w:p>
    <w:p w14:paraId="6E8AC080" w14:textId="5B91723C" w:rsidR="00A13EB5" w:rsidRPr="00504CB4" w:rsidRDefault="008B42B9" w:rsidP="00504CB4">
      <w:r>
        <w:t xml:space="preserve">Two tailored surveys were designed </w:t>
      </w:r>
      <w:r w:rsidR="00575DE5">
        <w:t>for the evaluation</w:t>
      </w:r>
      <w:r w:rsidR="00A13EB5">
        <w:t>:</w:t>
      </w:r>
    </w:p>
    <w:p w14:paraId="499BD9C8" w14:textId="51183E25" w:rsidR="00A13EB5" w:rsidRPr="00504CB4" w:rsidRDefault="00A13EB5" w:rsidP="00504CB4">
      <w:pPr>
        <w:pStyle w:val="ListBullet"/>
      </w:pPr>
      <w:r w:rsidRPr="00504CB4">
        <w:rPr>
          <w:rStyle w:val="Strong"/>
        </w:rPr>
        <w:t>Registrar survey</w:t>
      </w:r>
      <w:r w:rsidRPr="00504CB4">
        <w:t>:</w:t>
      </w:r>
      <w:r w:rsidR="008B42B9" w:rsidRPr="00504CB4">
        <w:t xml:space="preserve"> </w:t>
      </w:r>
      <w:r w:rsidRPr="00504CB4">
        <w:t xml:space="preserve">designed </w:t>
      </w:r>
      <w:r w:rsidR="008B42B9" w:rsidRPr="00504CB4">
        <w:t xml:space="preserve">for </w:t>
      </w:r>
      <w:r w:rsidRPr="00504CB4">
        <w:t>TEAP Registrars with two survey branches</w:t>
      </w:r>
      <w:r w:rsidR="00FF29A3" w:rsidRPr="00504CB4">
        <w:t>, one</w:t>
      </w:r>
      <w:r w:rsidRPr="00504CB4">
        <w:t xml:space="preserve"> designed specifically for </w:t>
      </w:r>
      <w:r w:rsidR="00FF5630" w:rsidRPr="00504CB4">
        <w:t xml:space="preserve">Registrars </w:t>
      </w:r>
      <w:r w:rsidR="008B42B9" w:rsidRPr="00504CB4">
        <w:t xml:space="preserve">currently undertaking TEAP </w:t>
      </w:r>
      <w:r w:rsidRPr="00504CB4">
        <w:t xml:space="preserve">and </w:t>
      </w:r>
      <w:r w:rsidR="00FF29A3" w:rsidRPr="00504CB4">
        <w:t xml:space="preserve">one for </w:t>
      </w:r>
      <w:r w:rsidRPr="00504CB4">
        <w:t xml:space="preserve">Registrars who </w:t>
      </w:r>
      <w:r w:rsidR="00FF5630" w:rsidRPr="00504CB4">
        <w:t>graduated from</w:t>
      </w:r>
      <w:r w:rsidR="008B42B9" w:rsidRPr="00504CB4">
        <w:t xml:space="preserve"> </w:t>
      </w:r>
      <w:r w:rsidR="00D3203C" w:rsidRPr="00504CB4">
        <w:t>TEAP</w:t>
      </w:r>
      <w:r w:rsidRPr="00504CB4">
        <w:t>;</w:t>
      </w:r>
      <w:r w:rsidR="00D3203C" w:rsidRPr="00504CB4">
        <w:t xml:space="preserve"> </w:t>
      </w:r>
      <w:r w:rsidR="008D12AA" w:rsidRPr="00504CB4">
        <w:t>and</w:t>
      </w:r>
      <w:r w:rsidR="008B42B9" w:rsidRPr="00504CB4">
        <w:t xml:space="preserve"> </w:t>
      </w:r>
    </w:p>
    <w:p w14:paraId="047BEF9D" w14:textId="17B04813" w:rsidR="00A13EB5" w:rsidRPr="00504CB4" w:rsidRDefault="00A13EB5" w:rsidP="00504CB4">
      <w:pPr>
        <w:pStyle w:val="ListBullet"/>
      </w:pPr>
      <w:r w:rsidRPr="00504CB4">
        <w:rPr>
          <w:rStyle w:val="Strong"/>
        </w:rPr>
        <w:t>Supervisor survey</w:t>
      </w:r>
      <w:r w:rsidRPr="00504CB4">
        <w:t xml:space="preserve">: designed for current </w:t>
      </w:r>
      <w:r w:rsidR="003D247C" w:rsidRPr="00504CB4">
        <w:t>and</w:t>
      </w:r>
      <w:r w:rsidR="00E711D1" w:rsidRPr="00504CB4">
        <w:t xml:space="preserve"> past </w:t>
      </w:r>
      <w:r w:rsidR="009B6D3A" w:rsidRPr="00504CB4">
        <w:t>S</w:t>
      </w:r>
      <w:r w:rsidR="00D3203C" w:rsidRPr="00504CB4">
        <w:t xml:space="preserve">upervisors of TEAP </w:t>
      </w:r>
      <w:r w:rsidR="00E711D1" w:rsidRPr="00504CB4">
        <w:t>Registrars</w:t>
      </w:r>
      <w:r w:rsidR="00494E4E" w:rsidRPr="00504CB4">
        <w:t>.</w:t>
      </w:r>
      <w:r w:rsidR="008B42B9" w:rsidRPr="00504CB4">
        <w:t xml:space="preserve"> </w:t>
      </w:r>
    </w:p>
    <w:p w14:paraId="52EFDDB8" w14:textId="4DB4E954" w:rsidR="00A13EB5" w:rsidRDefault="00FF29A3" w:rsidP="00A13EB5">
      <w:pPr>
        <w:pStyle w:val="BodyText"/>
      </w:pPr>
      <w:r>
        <w:t>TEAP graduates who responded to the Registrar survey were only included in the analysis if they graduated from TEAP from 2018 onwards.</w:t>
      </w:r>
    </w:p>
    <w:p w14:paraId="0A0C8A38" w14:textId="60C9B3C7" w:rsidR="00AA156C" w:rsidRDefault="00A13EB5" w:rsidP="00A13EB5">
      <w:pPr>
        <w:pStyle w:val="BodyText"/>
      </w:pPr>
      <w:r>
        <w:t>T</w:t>
      </w:r>
      <w:r w:rsidR="008B42B9">
        <w:t xml:space="preserve">he survey was designed to explore perspectives from both </w:t>
      </w:r>
      <w:r w:rsidR="00494E4E">
        <w:t>groups</w:t>
      </w:r>
      <w:r w:rsidR="008B42B9">
        <w:t xml:space="preserve"> </w:t>
      </w:r>
      <w:r w:rsidR="00961185">
        <w:t>and gather insights into</w:t>
      </w:r>
      <w:r w:rsidR="008B42B9">
        <w:t xml:space="preserve"> the </w:t>
      </w:r>
      <w:r w:rsidR="00961185">
        <w:t>delivery</w:t>
      </w:r>
      <w:r w:rsidR="008B42B9">
        <w:t xml:space="preserve"> of </w:t>
      </w:r>
      <w:r w:rsidR="00961185">
        <w:t>TEAP</w:t>
      </w:r>
      <w:r w:rsidR="00E135F9">
        <w:t xml:space="preserve">, their training </w:t>
      </w:r>
      <w:r w:rsidR="003E773C">
        <w:t>and supervisory experiences</w:t>
      </w:r>
      <w:r w:rsidR="00472620">
        <w:t>,</w:t>
      </w:r>
      <w:r w:rsidR="003E773C">
        <w:t xml:space="preserve"> and administration of the training program</w:t>
      </w:r>
      <w:r w:rsidR="00961185">
        <w:t>.</w:t>
      </w:r>
    </w:p>
    <w:p w14:paraId="54C7F392" w14:textId="00D1F713" w:rsidR="00C43E75" w:rsidRPr="00504CB4" w:rsidRDefault="00632EEB" w:rsidP="00504CB4">
      <w:r>
        <w:t xml:space="preserve">The surveys were designed for ease of understanding and to support swift completion by participants, taking approximately 15 minutes to complete. They reflected the objectives of the evaluation and questions </w:t>
      </w:r>
      <w:r w:rsidR="007B7030">
        <w:t>were mapped to individual KEQs</w:t>
      </w:r>
      <w:r w:rsidR="00244883">
        <w:t>.</w:t>
      </w:r>
      <w:r w:rsidR="00B82361" w:rsidRPr="00B82361">
        <w:t xml:space="preserve"> </w:t>
      </w:r>
      <w:r w:rsidR="007B7030">
        <w:t>The following considerations were incorporated into the survey design to maximise response rates:</w:t>
      </w:r>
    </w:p>
    <w:p w14:paraId="28AD1462" w14:textId="441083CE" w:rsidR="00B82361" w:rsidRPr="00504CB4" w:rsidRDefault="00B82361" w:rsidP="00504CB4">
      <w:pPr>
        <w:pStyle w:val="ListBullet"/>
      </w:pPr>
      <w:r>
        <w:t>T</w:t>
      </w:r>
      <w:r w:rsidRPr="00504CB4">
        <w:t xml:space="preserve">ailor the flow of questions to each responder using conditional logic to create custom paths through the </w:t>
      </w:r>
      <w:proofErr w:type="gramStart"/>
      <w:r w:rsidRPr="00504CB4">
        <w:t>survey</w:t>
      </w:r>
      <w:r w:rsidR="00101ED5" w:rsidRPr="00504CB4">
        <w:t>;</w:t>
      </w:r>
      <w:proofErr w:type="gramEnd"/>
    </w:p>
    <w:p w14:paraId="12F3ACB3" w14:textId="488C95E5" w:rsidR="00B82361" w:rsidRPr="00504CB4" w:rsidRDefault="00B82361" w:rsidP="00504CB4">
      <w:pPr>
        <w:pStyle w:val="ListBullet"/>
      </w:pPr>
      <w:r w:rsidRPr="00504CB4">
        <w:t>Provide a sufficient response period acknowledging that those asked to complete the survey have multiple competing demands on their time</w:t>
      </w:r>
      <w:r w:rsidR="00101ED5" w:rsidRPr="00504CB4">
        <w:t xml:space="preserve">; and </w:t>
      </w:r>
    </w:p>
    <w:p w14:paraId="2935123D" w14:textId="1DAEA1F9" w:rsidR="00B82361" w:rsidRPr="00504CB4" w:rsidRDefault="00B82361" w:rsidP="00504CB4">
      <w:pPr>
        <w:pStyle w:val="ListBullet"/>
      </w:pPr>
      <w:r w:rsidRPr="00504CB4">
        <w:t>Ensure the questions are clear and concise and contained in length</w:t>
      </w:r>
      <w:r w:rsidR="00D87909" w:rsidRPr="00504CB4">
        <w:t>.</w:t>
      </w:r>
    </w:p>
    <w:p w14:paraId="3C6D72E0" w14:textId="64AA4D6F" w:rsidR="00C91213" w:rsidRDefault="00DC63C7" w:rsidP="00DC27F5">
      <w:pPr>
        <w:pStyle w:val="BodyText"/>
      </w:pPr>
      <w:r>
        <w:t xml:space="preserve">Survey questions were tested and refined </w:t>
      </w:r>
      <w:r w:rsidR="00E70953">
        <w:t xml:space="preserve">following feedback from the Department and the PSG. </w:t>
      </w:r>
      <w:r w:rsidR="00480E04">
        <w:t xml:space="preserve">The </w:t>
      </w:r>
      <w:r w:rsidR="00314357">
        <w:t xml:space="preserve">approach to distributing the survey was designed in conjunction with the PSG and </w:t>
      </w:r>
      <w:r w:rsidR="00F3630E">
        <w:t xml:space="preserve">ACPSEM, with surveys being distributed to trainees and </w:t>
      </w:r>
      <w:r w:rsidR="009B6D3A">
        <w:t>S</w:t>
      </w:r>
      <w:r w:rsidR="00F3630E">
        <w:t>upervisors by ACPSEM through established email lists.</w:t>
      </w:r>
      <w:r w:rsidR="00304EB2">
        <w:t xml:space="preserve"> </w:t>
      </w:r>
      <w:r w:rsidR="00F71BB0">
        <w:t xml:space="preserve">Surveys were designed to be completed electronically by participants </w:t>
      </w:r>
      <w:r w:rsidR="006A5A40">
        <w:t>and were open for a period of three weeks.</w:t>
      </w:r>
    </w:p>
    <w:p w14:paraId="5E4C0BB5" w14:textId="30A1AB24" w:rsidR="00AF6749" w:rsidRDefault="00AF6749" w:rsidP="00DC27F5">
      <w:pPr>
        <w:pStyle w:val="BodyText"/>
      </w:pPr>
      <w:r>
        <w:t>Survey results are available in Appendix H.</w:t>
      </w:r>
    </w:p>
    <w:p w14:paraId="2A55F432" w14:textId="4F5764D0" w:rsidR="00714675" w:rsidRDefault="00714675" w:rsidP="00273E1A">
      <w:pPr>
        <w:pStyle w:val="Heading2"/>
      </w:pPr>
      <w:bookmarkStart w:id="329" w:name="_Toc184396592"/>
      <w:bookmarkStart w:id="330" w:name="_Toc216711626"/>
      <w:bookmarkStart w:id="331" w:name="_Toc216792020"/>
      <w:r>
        <w:t>Supervisor survey question set</w:t>
      </w:r>
      <w:bookmarkEnd w:id="329"/>
      <w:bookmarkEnd w:id="330"/>
      <w:bookmarkEnd w:id="331"/>
    </w:p>
    <w:p w14:paraId="343F3D37" w14:textId="5DE49A6A" w:rsidR="001C0EAD" w:rsidRPr="006F1451" w:rsidRDefault="001C0EAD" w:rsidP="00584EC6">
      <w:pPr>
        <w:pStyle w:val="ListNumber"/>
        <w:numPr>
          <w:ilvl w:val="0"/>
          <w:numId w:val="97"/>
        </w:numPr>
        <w:rPr>
          <w:lang w:val="en-US"/>
        </w:rPr>
      </w:pPr>
      <w:r w:rsidRPr="006F1451">
        <w:rPr>
          <w:lang w:val="en-US"/>
        </w:rPr>
        <w:t xml:space="preserve">How old are you? </w:t>
      </w:r>
      <w:r w:rsidR="00D35D40" w:rsidRPr="006F1451">
        <w:rPr>
          <w:lang w:val="en-US"/>
        </w:rPr>
        <w:t>Select 1 option</w:t>
      </w:r>
    </w:p>
    <w:p w14:paraId="791C3E1E" w14:textId="77777777" w:rsidR="001C0EAD" w:rsidRPr="001C0EAD" w:rsidRDefault="001C0EAD" w:rsidP="006F1451">
      <w:pPr>
        <w:pStyle w:val="ListBullet"/>
        <w:rPr>
          <w:lang w:val="en-US"/>
        </w:rPr>
      </w:pPr>
      <w:r w:rsidRPr="001C0EAD">
        <w:rPr>
          <w:lang w:val="en-US"/>
        </w:rPr>
        <w:t>Under 25 years old</w:t>
      </w:r>
    </w:p>
    <w:p w14:paraId="4B880E9E" w14:textId="77777777" w:rsidR="001C0EAD" w:rsidRPr="001C0EAD" w:rsidRDefault="001C0EAD" w:rsidP="006F1451">
      <w:pPr>
        <w:pStyle w:val="ListBullet"/>
        <w:rPr>
          <w:lang w:val="en-US"/>
        </w:rPr>
      </w:pPr>
      <w:r w:rsidRPr="001C0EAD">
        <w:rPr>
          <w:lang w:val="en-US"/>
        </w:rPr>
        <w:t>25 – 34 years old</w:t>
      </w:r>
    </w:p>
    <w:p w14:paraId="3DA597D8" w14:textId="77777777" w:rsidR="001C0EAD" w:rsidRPr="001C0EAD" w:rsidRDefault="001C0EAD" w:rsidP="006F1451">
      <w:pPr>
        <w:pStyle w:val="ListBullet"/>
        <w:rPr>
          <w:lang w:val="en-US"/>
        </w:rPr>
      </w:pPr>
      <w:r w:rsidRPr="001C0EAD">
        <w:rPr>
          <w:lang w:val="en-US"/>
        </w:rPr>
        <w:t>35 – 44 years old</w:t>
      </w:r>
    </w:p>
    <w:p w14:paraId="14BF0825" w14:textId="77777777" w:rsidR="001C0EAD" w:rsidRPr="001C0EAD" w:rsidRDefault="001C0EAD" w:rsidP="006F1451">
      <w:pPr>
        <w:pStyle w:val="ListBullet"/>
        <w:rPr>
          <w:lang w:val="en-US"/>
        </w:rPr>
      </w:pPr>
      <w:r w:rsidRPr="001C0EAD">
        <w:rPr>
          <w:lang w:val="en-US"/>
        </w:rPr>
        <w:t>45 – 54 years old</w:t>
      </w:r>
    </w:p>
    <w:p w14:paraId="7FA842A3" w14:textId="77777777" w:rsidR="001C0EAD" w:rsidRPr="001C0EAD" w:rsidRDefault="001C0EAD" w:rsidP="006F1451">
      <w:pPr>
        <w:pStyle w:val="ListBullet"/>
        <w:rPr>
          <w:lang w:val="en-US"/>
        </w:rPr>
      </w:pPr>
      <w:proofErr w:type="gramStart"/>
      <w:r w:rsidRPr="001C0EAD">
        <w:rPr>
          <w:lang w:val="en-US"/>
        </w:rPr>
        <w:t>55</w:t>
      </w:r>
      <w:proofErr w:type="gramEnd"/>
      <w:r w:rsidRPr="001C0EAD">
        <w:rPr>
          <w:lang w:val="en-US"/>
        </w:rPr>
        <w:t>+ years old</w:t>
      </w:r>
    </w:p>
    <w:p w14:paraId="75116730" w14:textId="77777777" w:rsidR="001C0EAD" w:rsidRPr="001C0EAD" w:rsidRDefault="001C0EAD" w:rsidP="001C0EAD">
      <w:pPr>
        <w:pStyle w:val="BodyText"/>
        <w:rPr>
          <w:lang w:val="en-US"/>
        </w:rPr>
      </w:pPr>
      <w:r w:rsidRPr="001C0EAD">
        <w:rPr>
          <w:lang w:val="en-US"/>
        </w:rPr>
        <w:t>-------------------------------------------------------------------</w:t>
      </w:r>
    </w:p>
    <w:p w14:paraId="37B0A5EF" w14:textId="1B195325" w:rsidR="001C0EAD" w:rsidRPr="006F1451" w:rsidRDefault="001C0EAD" w:rsidP="00584EC6">
      <w:pPr>
        <w:pStyle w:val="ListNumber"/>
        <w:numPr>
          <w:ilvl w:val="0"/>
          <w:numId w:val="97"/>
        </w:numPr>
        <w:rPr>
          <w:lang w:val="en-US"/>
        </w:rPr>
      </w:pPr>
      <w:r w:rsidRPr="006F1451">
        <w:rPr>
          <w:lang w:val="en-US"/>
        </w:rPr>
        <w:t xml:space="preserve">What is your gender? </w:t>
      </w:r>
      <w:r w:rsidR="00D35D40" w:rsidRPr="006F1451">
        <w:rPr>
          <w:i/>
          <w:iCs/>
          <w:lang w:val="en-US"/>
        </w:rPr>
        <w:t>Select 1 option</w:t>
      </w:r>
    </w:p>
    <w:p w14:paraId="0EDA814B" w14:textId="77777777" w:rsidR="001C0EAD" w:rsidRPr="001C0EAD" w:rsidRDefault="001C0EAD" w:rsidP="006F1451">
      <w:pPr>
        <w:pStyle w:val="ListBullet"/>
        <w:rPr>
          <w:lang w:val="en-US"/>
        </w:rPr>
      </w:pPr>
      <w:r w:rsidRPr="001C0EAD">
        <w:rPr>
          <w:lang w:val="en-US"/>
        </w:rPr>
        <w:t>Male</w:t>
      </w:r>
    </w:p>
    <w:p w14:paraId="6F9EC7F3" w14:textId="77777777" w:rsidR="001C0EAD" w:rsidRPr="001C0EAD" w:rsidRDefault="001C0EAD" w:rsidP="006F1451">
      <w:pPr>
        <w:pStyle w:val="ListBullet"/>
        <w:rPr>
          <w:lang w:val="en-US"/>
        </w:rPr>
      </w:pPr>
      <w:r w:rsidRPr="001C0EAD">
        <w:rPr>
          <w:lang w:val="en-US"/>
        </w:rPr>
        <w:t>Female</w:t>
      </w:r>
    </w:p>
    <w:p w14:paraId="3969ADD6" w14:textId="1DC2DEC5" w:rsidR="001C0EAD" w:rsidRPr="001C0EAD" w:rsidRDefault="001C0EAD" w:rsidP="006F1451">
      <w:pPr>
        <w:pStyle w:val="ListBullet"/>
        <w:rPr>
          <w:lang w:val="en-US"/>
        </w:rPr>
      </w:pPr>
      <w:r w:rsidRPr="001C0EAD">
        <w:rPr>
          <w:lang w:val="en-US"/>
        </w:rPr>
        <w:t xml:space="preserve">Other </w:t>
      </w:r>
      <w:r w:rsidR="00E306E9">
        <w:rPr>
          <w:lang w:val="en-US"/>
        </w:rPr>
        <w:t>(</w:t>
      </w:r>
      <w:r w:rsidR="00E306E9">
        <w:rPr>
          <w:i/>
          <w:iCs/>
          <w:lang w:val="en-US"/>
        </w:rPr>
        <w:t>free text)</w:t>
      </w:r>
    </w:p>
    <w:p w14:paraId="263ECEA0" w14:textId="77777777" w:rsidR="001C0EAD" w:rsidRPr="001C0EAD" w:rsidRDefault="001C0EAD" w:rsidP="006F1451">
      <w:pPr>
        <w:pStyle w:val="ListBullet"/>
        <w:rPr>
          <w:lang w:val="en-US"/>
        </w:rPr>
      </w:pPr>
      <w:r w:rsidRPr="001C0EAD">
        <w:rPr>
          <w:lang w:val="en-US"/>
        </w:rPr>
        <w:t>Prefer not to say</w:t>
      </w:r>
    </w:p>
    <w:p w14:paraId="52898878" w14:textId="77777777" w:rsidR="001C0EAD" w:rsidRPr="001C0EAD" w:rsidRDefault="001C0EAD" w:rsidP="001C0EAD">
      <w:pPr>
        <w:pStyle w:val="BodyText"/>
        <w:rPr>
          <w:lang w:val="en-US"/>
        </w:rPr>
      </w:pPr>
      <w:r w:rsidRPr="001C0EAD">
        <w:rPr>
          <w:lang w:val="en-US"/>
        </w:rPr>
        <w:t>-------------------------------------------------------------------</w:t>
      </w:r>
    </w:p>
    <w:p w14:paraId="67FB7AC9" w14:textId="2D86FA90" w:rsidR="001C0EAD" w:rsidRPr="001C0EAD" w:rsidRDefault="001C0EAD" w:rsidP="006F1451">
      <w:pPr>
        <w:pStyle w:val="ListNumber"/>
        <w:rPr>
          <w:lang w:val="en-US"/>
        </w:rPr>
      </w:pPr>
      <w:r w:rsidRPr="001C0EAD">
        <w:rPr>
          <w:lang w:val="en-US"/>
        </w:rPr>
        <w:t xml:space="preserve">What is your current role at your facility? </w:t>
      </w:r>
      <w:r w:rsidR="00BE5BD0">
        <w:rPr>
          <w:i/>
          <w:iCs/>
          <w:lang w:val="en-US"/>
        </w:rPr>
        <w:t>Free text</w:t>
      </w:r>
    </w:p>
    <w:p w14:paraId="35A26FE0" w14:textId="77777777" w:rsidR="001C0EAD" w:rsidRPr="001C0EAD" w:rsidRDefault="001C0EAD" w:rsidP="001C0EAD">
      <w:pPr>
        <w:pStyle w:val="BodyText"/>
        <w:rPr>
          <w:lang w:val="en-US"/>
        </w:rPr>
      </w:pPr>
      <w:r w:rsidRPr="001C0EAD">
        <w:rPr>
          <w:lang w:val="en-US"/>
        </w:rPr>
        <w:t>-------------------------------------------------------------------</w:t>
      </w:r>
    </w:p>
    <w:p w14:paraId="33AAABB5" w14:textId="0E725FEC" w:rsidR="001C0EAD" w:rsidRPr="001C0EAD" w:rsidRDefault="001C0EAD" w:rsidP="006F1451">
      <w:pPr>
        <w:pStyle w:val="ListNumber"/>
        <w:rPr>
          <w:lang w:val="en-US"/>
        </w:rPr>
      </w:pPr>
      <w:r w:rsidRPr="001C0EAD">
        <w:rPr>
          <w:lang w:val="en-US"/>
        </w:rPr>
        <w:t xml:space="preserve">Are you a graduate of TEAP? </w:t>
      </w:r>
      <w:r w:rsidR="00D35D40">
        <w:rPr>
          <w:i/>
          <w:iCs/>
          <w:lang w:val="en-US"/>
        </w:rPr>
        <w:t>Select 1 option</w:t>
      </w:r>
    </w:p>
    <w:p w14:paraId="358A1599" w14:textId="77777777" w:rsidR="001C0EAD" w:rsidRPr="001C0EAD" w:rsidRDefault="001C0EAD" w:rsidP="00584EC6">
      <w:pPr>
        <w:pStyle w:val="BodyText"/>
        <w:numPr>
          <w:ilvl w:val="0"/>
          <w:numId w:val="44"/>
        </w:numPr>
        <w:rPr>
          <w:lang w:val="en-US"/>
        </w:rPr>
      </w:pPr>
      <w:r w:rsidRPr="001C0EAD">
        <w:rPr>
          <w:lang w:val="en-US"/>
        </w:rPr>
        <w:t>Yes</w:t>
      </w:r>
    </w:p>
    <w:p w14:paraId="0D6B5611" w14:textId="77777777" w:rsidR="001C0EAD" w:rsidRPr="001C0EAD" w:rsidRDefault="001C0EAD" w:rsidP="00584EC6">
      <w:pPr>
        <w:pStyle w:val="BodyText"/>
        <w:numPr>
          <w:ilvl w:val="0"/>
          <w:numId w:val="44"/>
        </w:numPr>
        <w:rPr>
          <w:lang w:val="en-US"/>
        </w:rPr>
      </w:pPr>
      <w:r w:rsidRPr="001C0EAD">
        <w:rPr>
          <w:lang w:val="en-US"/>
        </w:rPr>
        <w:t>No</w:t>
      </w:r>
    </w:p>
    <w:p w14:paraId="69D18897" w14:textId="1AAD8B2B" w:rsidR="001C0EAD" w:rsidRPr="001C0EAD" w:rsidRDefault="001C0EAD" w:rsidP="00584EC6">
      <w:pPr>
        <w:pStyle w:val="BodyText"/>
        <w:numPr>
          <w:ilvl w:val="0"/>
          <w:numId w:val="44"/>
        </w:numPr>
        <w:rPr>
          <w:lang w:val="en-US"/>
        </w:rPr>
      </w:pPr>
      <w:r w:rsidRPr="001C0EAD">
        <w:rPr>
          <w:lang w:val="en-US"/>
        </w:rPr>
        <w:t xml:space="preserve">Other </w:t>
      </w:r>
      <w:r w:rsidR="00E306E9">
        <w:rPr>
          <w:lang w:val="en-US"/>
        </w:rPr>
        <w:t>(</w:t>
      </w:r>
      <w:r w:rsidR="00E306E9">
        <w:rPr>
          <w:i/>
          <w:iCs/>
          <w:lang w:val="en-US"/>
        </w:rPr>
        <w:t>free text)</w:t>
      </w:r>
    </w:p>
    <w:p w14:paraId="2671EE76" w14:textId="2B213544" w:rsidR="001C0EAD" w:rsidRPr="001C0EAD" w:rsidRDefault="00E306E9" w:rsidP="001C0EAD">
      <w:pPr>
        <w:pStyle w:val="BodyText"/>
        <w:rPr>
          <w:i/>
          <w:iCs/>
          <w:lang w:val="en-US"/>
        </w:rPr>
      </w:pPr>
      <w:r w:rsidRPr="00DC0AC9">
        <w:rPr>
          <w:i/>
          <w:iCs/>
          <w:lang w:val="en-US"/>
        </w:rPr>
        <w:t>C</w:t>
      </w:r>
      <w:r w:rsidR="001C0EAD" w:rsidRPr="001C0EAD">
        <w:rPr>
          <w:i/>
          <w:iCs/>
          <w:lang w:val="en-US"/>
        </w:rPr>
        <w:t xml:space="preserve">onditional survey logic: if ‘Yes’ is selected for Q4, Q5 will appear. If ‘No’ is selected for Q4, proceed directly to Q6. </w:t>
      </w:r>
    </w:p>
    <w:p w14:paraId="7BD5E407" w14:textId="77777777" w:rsidR="001C0EAD" w:rsidRPr="001C0EAD" w:rsidRDefault="001C0EAD" w:rsidP="001C0EAD">
      <w:pPr>
        <w:pStyle w:val="BodyText"/>
        <w:rPr>
          <w:lang w:val="en-US"/>
        </w:rPr>
      </w:pPr>
      <w:r w:rsidRPr="001C0EAD">
        <w:rPr>
          <w:lang w:val="en-US"/>
        </w:rPr>
        <w:t>-------------------------------------------------------------------</w:t>
      </w:r>
    </w:p>
    <w:p w14:paraId="5799E577" w14:textId="48AA1A26" w:rsidR="001C0EAD" w:rsidRPr="001C0EAD" w:rsidRDefault="001C0EAD" w:rsidP="006F1451">
      <w:pPr>
        <w:pStyle w:val="ListNumber"/>
        <w:rPr>
          <w:lang w:val="en-US"/>
        </w:rPr>
      </w:pPr>
      <w:r w:rsidRPr="001C0EAD">
        <w:rPr>
          <w:lang w:val="en-US"/>
        </w:rPr>
        <w:t xml:space="preserve">When did you graduate from TEAP? </w:t>
      </w:r>
      <w:r w:rsidR="00D35D40">
        <w:rPr>
          <w:i/>
          <w:iCs/>
          <w:lang w:val="en-US"/>
        </w:rPr>
        <w:t>Select 1 option</w:t>
      </w:r>
    </w:p>
    <w:p w14:paraId="4604E910" w14:textId="77777777" w:rsidR="001C0EAD" w:rsidRPr="001C0EAD" w:rsidRDefault="001C0EAD" w:rsidP="006F1451">
      <w:pPr>
        <w:pStyle w:val="ListBullet"/>
        <w:rPr>
          <w:lang w:val="en-US"/>
        </w:rPr>
      </w:pPr>
      <w:r w:rsidRPr="001C0EAD">
        <w:rPr>
          <w:lang w:val="en-US"/>
        </w:rPr>
        <w:t>Less than 2 years ago</w:t>
      </w:r>
    </w:p>
    <w:p w14:paraId="456DD4B1" w14:textId="77777777" w:rsidR="001C0EAD" w:rsidRPr="001C0EAD" w:rsidRDefault="001C0EAD" w:rsidP="006F1451">
      <w:pPr>
        <w:pStyle w:val="ListBullet"/>
        <w:rPr>
          <w:lang w:val="en-US"/>
        </w:rPr>
      </w:pPr>
      <w:r w:rsidRPr="001C0EAD">
        <w:rPr>
          <w:lang w:val="en-US"/>
        </w:rPr>
        <w:t xml:space="preserve">Between 2 and 5 years ago </w:t>
      </w:r>
    </w:p>
    <w:p w14:paraId="218567E3" w14:textId="77777777" w:rsidR="001C0EAD" w:rsidRPr="001C0EAD" w:rsidRDefault="001C0EAD" w:rsidP="006F1451">
      <w:pPr>
        <w:pStyle w:val="ListBullet"/>
        <w:rPr>
          <w:lang w:val="en-US"/>
        </w:rPr>
      </w:pPr>
      <w:r w:rsidRPr="001C0EAD">
        <w:rPr>
          <w:lang w:val="en-US"/>
        </w:rPr>
        <w:t xml:space="preserve">Between 5 and 10 years ago </w:t>
      </w:r>
    </w:p>
    <w:p w14:paraId="15EF4449" w14:textId="77777777" w:rsidR="001C0EAD" w:rsidRPr="001C0EAD" w:rsidRDefault="001C0EAD" w:rsidP="006F1451">
      <w:pPr>
        <w:pStyle w:val="ListBullet"/>
        <w:rPr>
          <w:lang w:val="en-US"/>
        </w:rPr>
      </w:pPr>
      <w:r w:rsidRPr="001C0EAD">
        <w:rPr>
          <w:lang w:val="en-US"/>
        </w:rPr>
        <w:t>10+ years ago</w:t>
      </w:r>
    </w:p>
    <w:p w14:paraId="171B6FAD" w14:textId="77777777" w:rsidR="001C0EAD" w:rsidRPr="001C0EAD" w:rsidRDefault="001C0EAD" w:rsidP="001C0EAD">
      <w:pPr>
        <w:pStyle w:val="BodyText"/>
        <w:rPr>
          <w:lang w:val="en-US"/>
        </w:rPr>
      </w:pPr>
      <w:r w:rsidRPr="001C0EAD">
        <w:rPr>
          <w:lang w:val="en-US"/>
        </w:rPr>
        <w:t>-------------------------------------------------------------------</w:t>
      </w:r>
    </w:p>
    <w:p w14:paraId="1297FA72" w14:textId="4B2A9F55" w:rsidR="001C0EAD" w:rsidRPr="001C0EAD" w:rsidRDefault="001C0EAD" w:rsidP="006F1451">
      <w:pPr>
        <w:pStyle w:val="ListNumber"/>
        <w:rPr>
          <w:lang w:val="en-US"/>
        </w:rPr>
      </w:pPr>
      <w:r w:rsidRPr="001C0EAD">
        <w:rPr>
          <w:lang w:val="en-US"/>
        </w:rPr>
        <w:t xml:space="preserve">What discipline do you practice in? </w:t>
      </w:r>
      <w:r w:rsidR="00E306E9">
        <w:rPr>
          <w:i/>
          <w:iCs/>
          <w:lang w:val="en-US"/>
        </w:rPr>
        <w:t>Select multiple options</w:t>
      </w:r>
    </w:p>
    <w:p w14:paraId="6B6F9C89" w14:textId="77777777" w:rsidR="001C0EAD" w:rsidRPr="001C0EAD" w:rsidRDefault="001C0EAD" w:rsidP="006F1451">
      <w:pPr>
        <w:pStyle w:val="ListBullet"/>
        <w:rPr>
          <w:lang w:val="en-US"/>
        </w:rPr>
      </w:pPr>
      <w:r w:rsidRPr="001C0EAD">
        <w:rPr>
          <w:lang w:val="en-US"/>
        </w:rPr>
        <w:t>Radiation Oncology Medical Physics (ROMP)</w:t>
      </w:r>
    </w:p>
    <w:p w14:paraId="33D52BA8" w14:textId="77777777" w:rsidR="001C0EAD" w:rsidRPr="001C0EAD" w:rsidRDefault="001C0EAD" w:rsidP="006F1451">
      <w:pPr>
        <w:pStyle w:val="ListBullet"/>
        <w:rPr>
          <w:lang w:val="en-US"/>
        </w:rPr>
      </w:pPr>
      <w:r w:rsidRPr="001C0EAD">
        <w:rPr>
          <w:lang w:val="en-US"/>
        </w:rPr>
        <w:t>Diagnostic Imaging Medical Physics (DIMP) – Radiology</w:t>
      </w:r>
    </w:p>
    <w:p w14:paraId="13F8977D" w14:textId="77777777" w:rsidR="001C0EAD" w:rsidRPr="001C0EAD" w:rsidRDefault="001C0EAD" w:rsidP="006F1451">
      <w:pPr>
        <w:pStyle w:val="ListBullet"/>
        <w:rPr>
          <w:lang w:val="en-US"/>
        </w:rPr>
      </w:pPr>
      <w:r w:rsidRPr="001C0EAD">
        <w:rPr>
          <w:lang w:val="en-US"/>
        </w:rPr>
        <w:t>Diagnostic Imaging Medical Physics (DIMP) – Nuclear Medicine</w:t>
      </w:r>
    </w:p>
    <w:p w14:paraId="42D84684" w14:textId="77777777" w:rsidR="001C0EAD" w:rsidRPr="001C0EAD" w:rsidRDefault="001C0EAD" w:rsidP="006F1451">
      <w:pPr>
        <w:pStyle w:val="ListBullet"/>
        <w:rPr>
          <w:lang w:val="en-US"/>
        </w:rPr>
      </w:pPr>
      <w:r w:rsidRPr="001C0EAD">
        <w:rPr>
          <w:lang w:val="en-US"/>
        </w:rPr>
        <w:t>Radiopharmaceutical Science (RPS)</w:t>
      </w:r>
    </w:p>
    <w:p w14:paraId="7E1600F4" w14:textId="1107D1E0" w:rsidR="001C0EAD" w:rsidRPr="001C0EAD" w:rsidRDefault="001C0EAD" w:rsidP="006F1451">
      <w:pPr>
        <w:pStyle w:val="ListBullet"/>
        <w:rPr>
          <w:lang w:val="en-US"/>
        </w:rPr>
      </w:pPr>
      <w:r w:rsidRPr="001C0EAD">
        <w:rPr>
          <w:lang w:val="en-US"/>
        </w:rPr>
        <w:t xml:space="preserve">Other, please specify </w:t>
      </w:r>
      <w:r w:rsidR="00E306E9">
        <w:rPr>
          <w:lang w:val="en-US"/>
        </w:rPr>
        <w:t>(</w:t>
      </w:r>
      <w:r w:rsidR="00E306E9">
        <w:rPr>
          <w:i/>
          <w:iCs/>
          <w:lang w:val="en-US"/>
        </w:rPr>
        <w:t>free text)</w:t>
      </w:r>
    </w:p>
    <w:p w14:paraId="2D2F8A07" w14:textId="77777777" w:rsidR="001C0EAD" w:rsidRPr="001C0EAD" w:rsidRDefault="001C0EAD" w:rsidP="001C0EAD">
      <w:pPr>
        <w:pStyle w:val="BodyText"/>
        <w:rPr>
          <w:lang w:val="en-US"/>
        </w:rPr>
      </w:pPr>
      <w:r w:rsidRPr="001C0EAD">
        <w:rPr>
          <w:lang w:val="en-US"/>
        </w:rPr>
        <w:t>-------------------------------------------------------------------</w:t>
      </w:r>
    </w:p>
    <w:p w14:paraId="13CEEBEA" w14:textId="3AC8AEAA" w:rsidR="001C0EAD" w:rsidRPr="001C0EAD" w:rsidRDefault="001C0EAD" w:rsidP="006F1451">
      <w:pPr>
        <w:pStyle w:val="ListNumber"/>
        <w:rPr>
          <w:lang w:val="en-US"/>
        </w:rPr>
      </w:pPr>
      <w:r w:rsidRPr="001C0EAD">
        <w:rPr>
          <w:lang w:val="en-US"/>
        </w:rPr>
        <w:t xml:space="preserve">Where is your facility located? </w:t>
      </w:r>
      <w:r w:rsidR="00D35D40">
        <w:rPr>
          <w:i/>
          <w:iCs/>
          <w:lang w:val="en-US"/>
        </w:rPr>
        <w:t>Select 1 option</w:t>
      </w:r>
    </w:p>
    <w:p w14:paraId="043D1A6C" w14:textId="599B7AC0" w:rsidR="001C0EAD" w:rsidRPr="001C0EAD" w:rsidRDefault="001C0EAD" w:rsidP="006F1451">
      <w:pPr>
        <w:rPr>
          <w:lang w:val="en-US"/>
        </w:rPr>
      </w:pPr>
      <w:r w:rsidRPr="001C0EAD">
        <w:rPr>
          <w:lang w:val="en-US"/>
        </w:rPr>
        <w:t xml:space="preserve">If you operate across multiple states/territories, please select the one in which you perform most of your work. </w:t>
      </w:r>
    </w:p>
    <w:p w14:paraId="372B4D5E" w14:textId="77777777" w:rsidR="001C0EAD" w:rsidRPr="001C0EAD" w:rsidRDefault="001C0EAD" w:rsidP="006F1451">
      <w:pPr>
        <w:pStyle w:val="ListBullet"/>
        <w:rPr>
          <w:lang w:val="en-US"/>
        </w:rPr>
      </w:pPr>
      <w:r w:rsidRPr="001C0EAD">
        <w:rPr>
          <w:lang w:val="en-US"/>
        </w:rPr>
        <w:t>Australian Capital Territory</w:t>
      </w:r>
    </w:p>
    <w:p w14:paraId="1343E877" w14:textId="77777777" w:rsidR="001C0EAD" w:rsidRPr="001C0EAD" w:rsidRDefault="001C0EAD" w:rsidP="006F1451">
      <w:pPr>
        <w:pStyle w:val="ListBullet"/>
        <w:rPr>
          <w:lang w:val="en-US"/>
        </w:rPr>
      </w:pPr>
      <w:r w:rsidRPr="001C0EAD">
        <w:rPr>
          <w:lang w:val="en-US"/>
        </w:rPr>
        <w:t>New South Wales</w:t>
      </w:r>
    </w:p>
    <w:p w14:paraId="2F39E47D" w14:textId="77777777" w:rsidR="001C0EAD" w:rsidRPr="001C0EAD" w:rsidRDefault="001C0EAD" w:rsidP="006F1451">
      <w:pPr>
        <w:pStyle w:val="ListBullet"/>
        <w:rPr>
          <w:lang w:val="en-US"/>
        </w:rPr>
      </w:pPr>
      <w:r w:rsidRPr="001C0EAD">
        <w:rPr>
          <w:lang w:val="en-US"/>
        </w:rPr>
        <w:t>Queensland</w:t>
      </w:r>
    </w:p>
    <w:p w14:paraId="5AFF5F48" w14:textId="77777777" w:rsidR="001C0EAD" w:rsidRPr="001C0EAD" w:rsidRDefault="001C0EAD" w:rsidP="006F1451">
      <w:pPr>
        <w:pStyle w:val="ListBullet"/>
        <w:rPr>
          <w:lang w:val="en-US"/>
        </w:rPr>
      </w:pPr>
      <w:r w:rsidRPr="001C0EAD">
        <w:rPr>
          <w:lang w:val="en-US"/>
        </w:rPr>
        <w:t>South Australia</w:t>
      </w:r>
    </w:p>
    <w:p w14:paraId="11F73F20" w14:textId="77777777" w:rsidR="001C0EAD" w:rsidRPr="001C0EAD" w:rsidRDefault="001C0EAD" w:rsidP="006F1451">
      <w:pPr>
        <w:pStyle w:val="ListBullet"/>
        <w:rPr>
          <w:lang w:val="en-US"/>
        </w:rPr>
      </w:pPr>
      <w:r w:rsidRPr="001C0EAD">
        <w:rPr>
          <w:lang w:val="en-US"/>
        </w:rPr>
        <w:t>Victoria</w:t>
      </w:r>
    </w:p>
    <w:p w14:paraId="553D6CAA" w14:textId="77777777" w:rsidR="001C0EAD" w:rsidRPr="001C0EAD" w:rsidRDefault="001C0EAD" w:rsidP="00584EC6">
      <w:pPr>
        <w:pStyle w:val="BodyText"/>
        <w:numPr>
          <w:ilvl w:val="0"/>
          <w:numId w:val="45"/>
        </w:numPr>
        <w:rPr>
          <w:lang w:val="en-US"/>
        </w:rPr>
      </w:pPr>
      <w:r w:rsidRPr="001C0EAD">
        <w:rPr>
          <w:lang w:val="en-US"/>
        </w:rPr>
        <w:t>Western Australia</w:t>
      </w:r>
    </w:p>
    <w:p w14:paraId="307E9EE2" w14:textId="77777777" w:rsidR="001C0EAD" w:rsidRPr="001C0EAD" w:rsidRDefault="001C0EAD" w:rsidP="00584EC6">
      <w:pPr>
        <w:pStyle w:val="BodyText"/>
        <w:numPr>
          <w:ilvl w:val="0"/>
          <w:numId w:val="45"/>
        </w:numPr>
        <w:rPr>
          <w:lang w:val="en-US"/>
        </w:rPr>
      </w:pPr>
      <w:r w:rsidRPr="001C0EAD">
        <w:rPr>
          <w:lang w:val="en-US"/>
        </w:rPr>
        <w:t>Northern Territory</w:t>
      </w:r>
    </w:p>
    <w:p w14:paraId="04A217E0" w14:textId="77777777" w:rsidR="001C0EAD" w:rsidRPr="001C0EAD" w:rsidRDefault="001C0EAD" w:rsidP="00584EC6">
      <w:pPr>
        <w:pStyle w:val="BodyText"/>
        <w:numPr>
          <w:ilvl w:val="0"/>
          <w:numId w:val="45"/>
        </w:numPr>
        <w:rPr>
          <w:lang w:val="en-US"/>
        </w:rPr>
      </w:pPr>
      <w:r w:rsidRPr="001C0EAD">
        <w:rPr>
          <w:lang w:val="en-US"/>
        </w:rPr>
        <w:t>Other</w:t>
      </w:r>
    </w:p>
    <w:p w14:paraId="597AA2B2" w14:textId="77777777" w:rsidR="001C0EAD" w:rsidRPr="001C0EAD" w:rsidRDefault="001C0EAD" w:rsidP="001C0EAD">
      <w:pPr>
        <w:pStyle w:val="BodyText"/>
        <w:rPr>
          <w:lang w:val="en-US"/>
        </w:rPr>
      </w:pPr>
      <w:r w:rsidRPr="001C0EAD">
        <w:rPr>
          <w:lang w:val="en-US"/>
        </w:rPr>
        <w:t>-------------------------------------------------------------------</w:t>
      </w:r>
    </w:p>
    <w:p w14:paraId="0339B8E3" w14:textId="77777777" w:rsidR="001C0EAD" w:rsidRPr="001C0EAD" w:rsidRDefault="001C0EAD" w:rsidP="006F1451">
      <w:pPr>
        <w:pStyle w:val="ListNumber"/>
        <w:rPr>
          <w:lang w:val="en-US"/>
        </w:rPr>
      </w:pPr>
      <w:r w:rsidRPr="001C0EAD">
        <w:rPr>
          <w:lang w:val="en-US"/>
        </w:rPr>
        <w:t>What is the Modified Monash Model (MMM) rating of the facility you are practicing at? [[single]]</w:t>
      </w:r>
    </w:p>
    <w:p w14:paraId="58769290" w14:textId="7C1D540B" w:rsidR="001C0EAD" w:rsidRPr="001C0EAD" w:rsidRDefault="001C0EAD" w:rsidP="006F1451">
      <w:pPr>
        <w:rPr>
          <w:lang w:val="en-US"/>
        </w:rPr>
      </w:pPr>
      <w:r w:rsidRPr="001C0EAD">
        <w:rPr>
          <w:lang w:val="en-US"/>
        </w:rPr>
        <w:t xml:space="preserve">MMM classifications are based on remoteness and population size. You can find your MMM classification </w:t>
      </w:r>
      <w:hyperlink r:id="rId68" w:history="1">
        <w:r w:rsidRPr="001C0EAD">
          <w:rPr>
            <w:rStyle w:val="Hyperlink"/>
            <w:lang w:val="en-US"/>
          </w:rPr>
          <w:t>here</w:t>
        </w:r>
      </w:hyperlink>
      <w:r w:rsidRPr="001C0EAD">
        <w:rPr>
          <w:lang w:val="en-US"/>
        </w:rPr>
        <w:t xml:space="preserve">. If you operate across multiple facilities, please select the MMM rating of the facility in which you perform most of your work. </w:t>
      </w:r>
    </w:p>
    <w:p w14:paraId="57E17DB3" w14:textId="77777777" w:rsidR="001C0EAD" w:rsidRPr="001C0EAD" w:rsidRDefault="001C0EAD" w:rsidP="006F1451">
      <w:pPr>
        <w:pStyle w:val="ListBullet"/>
        <w:rPr>
          <w:lang w:val="en-US"/>
        </w:rPr>
      </w:pPr>
      <w:r w:rsidRPr="001C0EAD">
        <w:rPr>
          <w:lang w:val="en-US"/>
        </w:rPr>
        <w:t>MM 1: Metropolitan area</w:t>
      </w:r>
    </w:p>
    <w:p w14:paraId="00A00F47" w14:textId="77777777" w:rsidR="001C0EAD" w:rsidRPr="001C0EAD" w:rsidRDefault="001C0EAD" w:rsidP="006F1451">
      <w:pPr>
        <w:pStyle w:val="ListBullet"/>
        <w:rPr>
          <w:lang w:val="en-US"/>
        </w:rPr>
      </w:pPr>
      <w:r w:rsidRPr="001C0EAD">
        <w:rPr>
          <w:lang w:val="en-US"/>
        </w:rPr>
        <w:t xml:space="preserve">MM 2: Regional </w:t>
      </w:r>
      <w:proofErr w:type="spellStart"/>
      <w:r w:rsidRPr="001C0EAD">
        <w:rPr>
          <w:lang w:val="en-US"/>
        </w:rPr>
        <w:t>centre</w:t>
      </w:r>
      <w:proofErr w:type="spellEnd"/>
    </w:p>
    <w:p w14:paraId="1776C2B4" w14:textId="77777777" w:rsidR="001C0EAD" w:rsidRPr="001C0EAD" w:rsidRDefault="001C0EAD" w:rsidP="006F1451">
      <w:pPr>
        <w:pStyle w:val="ListBullet"/>
        <w:rPr>
          <w:lang w:val="en-US"/>
        </w:rPr>
      </w:pPr>
      <w:r w:rsidRPr="001C0EAD">
        <w:rPr>
          <w:lang w:val="en-US"/>
        </w:rPr>
        <w:t>MM 3: Large rural town</w:t>
      </w:r>
    </w:p>
    <w:p w14:paraId="421837CD" w14:textId="77777777" w:rsidR="001C0EAD" w:rsidRPr="001C0EAD" w:rsidRDefault="001C0EAD" w:rsidP="006F1451">
      <w:pPr>
        <w:pStyle w:val="ListBullet"/>
        <w:rPr>
          <w:lang w:val="en-US"/>
        </w:rPr>
      </w:pPr>
      <w:r w:rsidRPr="001C0EAD">
        <w:rPr>
          <w:lang w:val="en-US"/>
        </w:rPr>
        <w:t>MM 4: Medium rural town</w:t>
      </w:r>
    </w:p>
    <w:p w14:paraId="36219298" w14:textId="77777777" w:rsidR="001C0EAD" w:rsidRPr="001C0EAD" w:rsidRDefault="001C0EAD" w:rsidP="006F1451">
      <w:pPr>
        <w:pStyle w:val="ListBullet"/>
        <w:rPr>
          <w:lang w:val="en-US"/>
        </w:rPr>
      </w:pPr>
      <w:r w:rsidRPr="001C0EAD">
        <w:rPr>
          <w:lang w:val="en-US"/>
        </w:rPr>
        <w:t>MM 5: Small rural town</w:t>
      </w:r>
    </w:p>
    <w:p w14:paraId="4101AE94" w14:textId="77777777" w:rsidR="001C0EAD" w:rsidRPr="001C0EAD" w:rsidRDefault="001C0EAD" w:rsidP="006F1451">
      <w:pPr>
        <w:pStyle w:val="ListBullet"/>
        <w:rPr>
          <w:lang w:val="en-US"/>
        </w:rPr>
      </w:pPr>
      <w:r w:rsidRPr="001C0EAD">
        <w:rPr>
          <w:lang w:val="en-US"/>
        </w:rPr>
        <w:t>MM 6: Remote community</w:t>
      </w:r>
    </w:p>
    <w:p w14:paraId="78934A0A" w14:textId="77777777" w:rsidR="001C0EAD" w:rsidRPr="001C0EAD" w:rsidRDefault="001C0EAD" w:rsidP="006F1451">
      <w:pPr>
        <w:pStyle w:val="ListBullet"/>
        <w:rPr>
          <w:lang w:val="en-US"/>
        </w:rPr>
      </w:pPr>
      <w:r w:rsidRPr="001C0EAD">
        <w:rPr>
          <w:lang w:val="en-US"/>
        </w:rPr>
        <w:t>MM 7: Very remote community</w:t>
      </w:r>
    </w:p>
    <w:p w14:paraId="458C5F83" w14:textId="77CF4B1E" w:rsidR="001C0EAD" w:rsidRPr="001C0EAD" w:rsidRDefault="001C0EAD" w:rsidP="006F1451">
      <w:pPr>
        <w:pStyle w:val="ListBullet"/>
        <w:rPr>
          <w:lang w:val="en-US"/>
        </w:rPr>
      </w:pPr>
      <w:r w:rsidRPr="001C0EAD">
        <w:rPr>
          <w:lang w:val="en-US"/>
        </w:rPr>
        <w:t xml:space="preserve">Unsure </w:t>
      </w:r>
      <w:r w:rsidR="00E306E9">
        <w:rPr>
          <w:lang w:val="en-US"/>
        </w:rPr>
        <w:t>(</w:t>
      </w:r>
      <w:r w:rsidR="00E306E9">
        <w:rPr>
          <w:i/>
          <w:iCs/>
          <w:lang w:val="en-US"/>
        </w:rPr>
        <w:t>free text)</w:t>
      </w:r>
    </w:p>
    <w:p w14:paraId="3539046D" w14:textId="6C6E4A04" w:rsidR="001C0EAD" w:rsidRPr="001C0EAD" w:rsidRDefault="001C0EAD" w:rsidP="006F1451">
      <w:pPr>
        <w:rPr>
          <w:lang w:val="en-US"/>
        </w:rPr>
      </w:pPr>
      <w:r w:rsidRPr="001C0EAD">
        <w:rPr>
          <w:lang w:val="en-US"/>
        </w:rPr>
        <w:t xml:space="preserve">Please enter your facility’s address. </w:t>
      </w:r>
    </w:p>
    <w:p w14:paraId="676B8949" w14:textId="77777777" w:rsidR="001C0EAD" w:rsidRPr="001C0EAD" w:rsidRDefault="001C0EAD" w:rsidP="001C0EAD">
      <w:pPr>
        <w:pStyle w:val="BodyText"/>
        <w:rPr>
          <w:lang w:val="en-US"/>
        </w:rPr>
      </w:pPr>
      <w:r w:rsidRPr="001C0EAD">
        <w:rPr>
          <w:lang w:val="en-US"/>
        </w:rPr>
        <w:t>-------------------------------------------------------------------</w:t>
      </w:r>
    </w:p>
    <w:p w14:paraId="237E9E7F" w14:textId="4AAD8126" w:rsidR="001C0EAD" w:rsidRPr="001C0EAD" w:rsidRDefault="001C0EAD" w:rsidP="006F1451">
      <w:pPr>
        <w:pStyle w:val="ListNumber"/>
        <w:rPr>
          <w:lang w:val="en-US"/>
        </w:rPr>
      </w:pPr>
      <w:r w:rsidRPr="001C0EAD">
        <w:rPr>
          <w:lang w:val="en-US"/>
        </w:rPr>
        <w:t xml:space="preserve">What size facility do you practice at? </w:t>
      </w:r>
      <w:r w:rsidR="00D35D40">
        <w:rPr>
          <w:i/>
          <w:iCs/>
          <w:lang w:val="en-US"/>
        </w:rPr>
        <w:t>Select 1 option</w:t>
      </w:r>
    </w:p>
    <w:p w14:paraId="4B9333F8" w14:textId="36E4865A" w:rsidR="001C0EAD" w:rsidRPr="006F1451" w:rsidRDefault="001C0EAD" w:rsidP="006F1451">
      <w:r w:rsidRPr="001C0EAD">
        <w:rPr>
          <w:lang w:val="en-US"/>
        </w:rPr>
        <w:t>A small hospital has fewer than 100 beds, a medium sized hospital has 100 – 500 beds, and a large hospital has more than 500 beds.</w:t>
      </w:r>
    </w:p>
    <w:p w14:paraId="693D9605" w14:textId="77777777" w:rsidR="001C0EAD" w:rsidRPr="001C0EAD" w:rsidRDefault="001C0EAD" w:rsidP="006F1451">
      <w:pPr>
        <w:pStyle w:val="ListBullet"/>
        <w:rPr>
          <w:lang w:val="en-US"/>
        </w:rPr>
      </w:pPr>
      <w:r w:rsidRPr="001C0EAD">
        <w:rPr>
          <w:lang w:val="en-US"/>
        </w:rPr>
        <w:t>Small hospital</w:t>
      </w:r>
    </w:p>
    <w:p w14:paraId="7AB1315A" w14:textId="77777777" w:rsidR="001C0EAD" w:rsidRPr="001C0EAD" w:rsidRDefault="001C0EAD" w:rsidP="006F1451">
      <w:pPr>
        <w:pStyle w:val="ListBullet"/>
        <w:rPr>
          <w:lang w:val="en-US"/>
        </w:rPr>
      </w:pPr>
      <w:r w:rsidRPr="001C0EAD">
        <w:rPr>
          <w:lang w:val="en-US"/>
        </w:rPr>
        <w:t>Medium hospital</w:t>
      </w:r>
    </w:p>
    <w:p w14:paraId="7ABF4D57" w14:textId="77777777" w:rsidR="001C0EAD" w:rsidRPr="001C0EAD" w:rsidRDefault="001C0EAD" w:rsidP="006F1451">
      <w:pPr>
        <w:pStyle w:val="ListBullet"/>
        <w:rPr>
          <w:lang w:val="en-US"/>
        </w:rPr>
      </w:pPr>
      <w:r w:rsidRPr="001C0EAD">
        <w:rPr>
          <w:lang w:val="en-US"/>
        </w:rPr>
        <w:t>Large hospital</w:t>
      </w:r>
    </w:p>
    <w:p w14:paraId="1807085B" w14:textId="77777777" w:rsidR="001C0EAD" w:rsidRPr="001C0EAD" w:rsidRDefault="001C0EAD" w:rsidP="006F1451">
      <w:pPr>
        <w:pStyle w:val="ListBullet"/>
        <w:rPr>
          <w:lang w:val="en-US"/>
        </w:rPr>
      </w:pPr>
      <w:r w:rsidRPr="001C0EAD">
        <w:rPr>
          <w:lang w:val="en-US"/>
        </w:rPr>
        <w:t xml:space="preserve">Outpatient only </w:t>
      </w:r>
    </w:p>
    <w:p w14:paraId="60D84760" w14:textId="77777777" w:rsidR="001C0EAD" w:rsidRPr="001C0EAD" w:rsidRDefault="001C0EAD" w:rsidP="006F1451">
      <w:pPr>
        <w:pStyle w:val="ListBullet"/>
        <w:rPr>
          <w:lang w:val="en-US"/>
        </w:rPr>
      </w:pPr>
      <w:r w:rsidRPr="001C0EAD">
        <w:rPr>
          <w:lang w:val="en-US"/>
        </w:rPr>
        <w:t>Private consulting</w:t>
      </w:r>
    </w:p>
    <w:p w14:paraId="6437102E" w14:textId="77777777" w:rsidR="001C0EAD" w:rsidRPr="001C0EAD" w:rsidRDefault="001C0EAD" w:rsidP="006F1451">
      <w:pPr>
        <w:pStyle w:val="ListBullet"/>
        <w:rPr>
          <w:lang w:val="en-US"/>
        </w:rPr>
      </w:pPr>
      <w:r w:rsidRPr="001C0EAD">
        <w:rPr>
          <w:lang w:val="en-US"/>
        </w:rPr>
        <w:t xml:space="preserve">I work at multiple facilities of varying </w:t>
      </w:r>
      <w:proofErr w:type="gramStart"/>
      <w:r w:rsidRPr="001C0EAD">
        <w:rPr>
          <w:lang w:val="en-US"/>
        </w:rPr>
        <w:t>size</w:t>
      </w:r>
      <w:proofErr w:type="gramEnd"/>
    </w:p>
    <w:p w14:paraId="2F749A8A" w14:textId="1A699CFE" w:rsidR="001C0EAD" w:rsidRPr="001C0EAD" w:rsidRDefault="001C0EAD" w:rsidP="006F1451">
      <w:pPr>
        <w:pStyle w:val="ListBullet"/>
        <w:rPr>
          <w:lang w:val="en-US"/>
        </w:rPr>
      </w:pPr>
      <w:r w:rsidRPr="001C0EAD">
        <w:rPr>
          <w:lang w:val="en-US"/>
        </w:rPr>
        <w:t xml:space="preserve">Other, please specify </w:t>
      </w:r>
      <w:r w:rsidR="00E306E9">
        <w:rPr>
          <w:lang w:val="en-US"/>
        </w:rPr>
        <w:t>(</w:t>
      </w:r>
      <w:r w:rsidR="00E306E9">
        <w:rPr>
          <w:i/>
          <w:iCs/>
          <w:lang w:val="en-US"/>
        </w:rPr>
        <w:t>free text)</w:t>
      </w:r>
      <w:r w:rsidRPr="001C0EAD">
        <w:rPr>
          <w:lang w:val="en-US"/>
        </w:rPr>
        <w:t xml:space="preserve"> </w:t>
      </w:r>
    </w:p>
    <w:p w14:paraId="27597434" w14:textId="77777777" w:rsidR="001C0EAD" w:rsidRPr="001C0EAD" w:rsidRDefault="001C0EAD" w:rsidP="001C0EAD">
      <w:pPr>
        <w:pStyle w:val="BodyText"/>
        <w:rPr>
          <w:lang w:val="en-US"/>
        </w:rPr>
      </w:pPr>
      <w:r w:rsidRPr="001C0EAD">
        <w:rPr>
          <w:lang w:val="en-US"/>
        </w:rPr>
        <w:t>-------------------------------------------------------------------</w:t>
      </w:r>
    </w:p>
    <w:p w14:paraId="2DCBC117" w14:textId="2D56F875" w:rsidR="001C0EAD" w:rsidRPr="001C0EAD" w:rsidRDefault="001C0EAD" w:rsidP="006F1451">
      <w:pPr>
        <w:pStyle w:val="ListNumber"/>
        <w:rPr>
          <w:lang w:val="en-US"/>
        </w:rPr>
      </w:pPr>
      <w:r w:rsidRPr="001C0EAD">
        <w:rPr>
          <w:lang w:val="en-US"/>
        </w:rPr>
        <w:t xml:space="preserve">Is your facility a public or private facility? </w:t>
      </w:r>
      <w:r w:rsidR="00D35D40">
        <w:rPr>
          <w:i/>
          <w:iCs/>
          <w:lang w:val="en-US"/>
        </w:rPr>
        <w:t>Select 1 option</w:t>
      </w:r>
    </w:p>
    <w:p w14:paraId="7CBB4CCB" w14:textId="77777777" w:rsidR="001C0EAD" w:rsidRPr="001C0EAD" w:rsidRDefault="001C0EAD" w:rsidP="006F1451">
      <w:pPr>
        <w:pStyle w:val="ListBullet"/>
        <w:rPr>
          <w:lang w:val="en-US"/>
        </w:rPr>
      </w:pPr>
      <w:r w:rsidRPr="001C0EAD">
        <w:rPr>
          <w:lang w:val="en-US"/>
        </w:rPr>
        <w:t>Public</w:t>
      </w:r>
    </w:p>
    <w:p w14:paraId="387E05DA" w14:textId="77777777" w:rsidR="001C0EAD" w:rsidRPr="001C0EAD" w:rsidRDefault="001C0EAD" w:rsidP="006F1451">
      <w:pPr>
        <w:pStyle w:val="ListBullet"/>
        <w:rPr>
          <w:lang w:val="en-US"/>
        </w:rPr>
      </w:pPr>
      <w:r w:rsidRPr="001C0EAD">
        <w:rPr>
          <w:lang w:val="en-US"/>
        </w:rPr>
        <w:t>Private</w:t>
      </w:r>
    </w:p>
    <w:p w14:paraId="55B34AA5" w14:textId="77777777" w:rsidR="001C0EAD" w:rsidRPr="001C0EAD" w:rsidRDefault="001C0EAD" w:rsidP="006F1451">
      <w:pPr>
        <w:pStyle w:val="ListBullet"/>
        <w:rPr>
          <w:lang w:val="en-US"/>
        </w:rPr>
      </w:pPr>
      <w:r w:rsidRPr="001C0EAD">
        <w:rPr>
          <w:lang w:val="en-US"/>
        </w:rPr>
        <w:t>I work at both public and private facilities</w:t>
      </w:r>
    </w:p>
    <w:p w14:paraId="5A437C99" w14:textId="77777777" w:rsidR="001C0EAD" w:rsidRPr="001C0EAD" w:rsidRDefault="001C0EAD" w:rsidP="001C0EAD">
      <w:pPr>
        <w:pStyle w:val="BodyText"/>
        <w:rPr>
          <w:lang w:val="en-US"/>
        </w:rPr>
      </w:pPr>
      <w:r w:rsidRPr="001C0EAD">
        <w:rPr>
          <w:lang w:val="en-US"/>
        </w:rPr>
        <w:t>-------------------------------------------------------------------</w:t>
      </w:r>
    </w:p>
    <w:p w14:paraId="6A0FDF8F" w14:textId="029845FA" w:rsidR="001C0EAD" w:rsidRPr="001C0EAD" w:rsidRDefault="001C0EAD" w:rsidP="006F1451">
      <w:pPr>
        <w:pStyle w:val="ListNumber"/>
        <w:rPr>
          <w:lang w:val="en-US"/>
        </w:rPr>
      </w:pPr>
      <w:r w:rsidRPr="001C0EAD">
        <w:rPr>
          <w:lang w:val="en-US"/>
        </w:rPr>
        <w:t xml:space="preserve">How many trainees are you currently supervising? </w:t>
      </w:r>
      <w:r w:rsidR="007612B5">
        <w:rPr>
          <w:i/>
          <w:iCs/>
          <w:lang w:val="en-US"/>
        </w:rPr>
        <w:t>Numeric</w:t>
      </w:r>
    </w:p>
    <w:p w14:paraId="7E0052F4" w14:textId="77777777" w:rsidR="001C0EAD" w:rsidRPr="001C0EAD" w:rsidRDefault="001C0EAD" w:rsidP="001C0EAD">
      <w:pPr>
        <w:pStyle w:val="BodyText"/>
        <w:rPr>
          <w:lang w:val="en-US"/>
        </w:rPr>
      </w:pPr>
      <w:r w:rsidRPr="001C0EAD">
        <w:rPr>
          <w:lang w:val="en-US"/>
        </w:rPr>
        <w:t>-------------------------------------------------------------------</w:t>
      </w:r>
    </w:p>
    <w:p w14:paraId="6D7B4AF5" w14:textId="54E5E65E" w:rsidR="001C0EAD" w:rsidRPr="001C0EAD" w:rsidRDefault="001C0EAD" w:rsidP="006F1451">
      <w:pPr>
        <w:pStyle w:val="ListNumber"/>
        <w:rPr>
          <w:lang w:val="en-US"/>
        </w:rPr>
      </w:pPr>
      <w:r w:rsidRPr="001C0EAD">
        <w:rPr>
          <w:lang w:val="en-US"/>
        </w:rPr>
        <w:t xml:space="preserve">How many trainees have you previously supervised? </w:t>
      </w:r>
      <w:r w:rsidR="001F088E">
        <w:rPr>
          <w:i/>
          <w:iCs/>
          <w:lang w:val="en-US"/>
        </w:rPr>
        <w:t>Numeric</w:t>
      </w:r>
    </w:p>
    <w:p w14:paraId="2DF77DA2" w14:textId="77777777" w:rsidR="001C0EAD" w:rsidRPr="001C0EAD" w:rsidRDefault="001C0EAD" w:rsidP="001C0EAD">
      <w:pPr>
        <w:pStyle w:val="BodyText"/>
        <w:rPr>
          <w:lang w:val="en-US"/>
        </w:rPr>
      </w:pPr>
      <w:r w:rsidRPr="001C0EAD">
        <w:rPr>
          <w:lang w:val="en-US"/>
        </w:rPr>
        <w:t>-------------------------------------------------------------------</w:t>
      </w:r>
    </w:p>
    <w:p w14:paraId="30B26433" w14:textId="77777777" w:rsidR="00D03CDF" w:rsidRDefault="00D03CDF">
      <w:pPr>
        <w:spacing w:before="0" w:after="160" w:line="259" w:lineRule="auto"/>
        <w:rPr>
          <w:lang w:val="en-US"/>
        </w:rPr>
      </w:pPr>
      <w:r>
        <w:rPr>
          <w:lang w:val="en-US"/>
        </w:rPr>
        <w:br w:type="page"/>
      </w:r>
    </w:p>
    <w:p w14:paraId="0BADA099" w14:textId="47BF542A" w:rsidR="001C0EAD" w:rsidRPr="001C0EAD" w:rsidRDefault="001C0EAD" w:rsidP="006F1451">
      <w:pPr>
        <w:pStyle w:val="ListNumber"/>
        <w:rPr>
          <w:lang w:val="en-US"/>
        </w:rPr>
      </w:pPr>
      <w:r w:rsidRPr="001C0EAD">
        <w:rPr>
          <w:lang w:val="en-US"/>
        </w:rPr>
        <w:t xml:space="preserve">To what extent do you agree with the following statements about TEAP? </w:t>
      </w:r>
      <w:r w:rsidR="001F088E" w:rsidRPr="001F088E">
        <w:rPr>
          <w:i/>
          <w:iCs/>
          <w:lang w:val="en-US"/>
        </w:rPr>
        <w:t>G</w:t>
      </w:r>
      <w:r w:rsidRPr="001C0EAD">
        <w:rPr>
          <w:i/>
          <w:iCs/>
          <w:lang w:val="en-US"/>
        </w:rPr>
        <w:t>rid</w:t>
      </w:r>
    </w:p>
    <w:tbl>
      <w:tblPr>
        <w:tblStyle w:val="TableGrid"/>
        <w:tblW w:w="9771" w:type="dxa"/>
        <w:tblLayout w:type="fixed"/>
        <w:tblLook w:val="06A0" w:firstRow="1" w:lastRow="0" w:firstColumn="1" w:lastColumn="0" w:noHBand="1" w:noVBand="1"/>
      </w:tblPr>
      <w:tblGrid>
        <w:gridCol w:w="1628"/>
        <w:gridCol w:w="1629"/>
        <w:gridCol w:w="1628"/>
        <w:gridCol w:w="1629"/>
        <w:gridCol w:w="1628"/>
        <w:gridCol w:w="1629"/>
      </w:tblGrid>
      <w:tr w:rsidR="001C0EAD" w:rsidRPr="001C0EAD" w14:paraId="7CB5E29A" w14:textId="77777777" w:rsidTr="006F1451">
        <w:trPr>
          <w:cnfStyle w:val="100000000000" w:firstRow="1" w:lastRow="0" w:firstColumn="0" w:lastColumn="0" w:oddVBand="0" w:evenVBand="0" w:oddHBand="0" w:evenHBand="0" w:firstRowFirstColumn="0" w:firstRowLastColumn="0" w:lastRowFirstColumn="0" w:lastRowLastColumn="0"/>
          <w:tblHeader/>
        </w:trPr>
        <w:tc>
          <w:tcPr>
            <w:tcW w:w="1628" w:type="dxa"/>
            <w:tcBorders>
              <w:top w:val="single" w:sz="8" w:space="0" w:color="auto"/>
              <w:left w:val="single" w:sz="8" w:space="0" w:color="auto"/>
              <w:bottom w:val="single" w:sz="8" w:space="0" w:color="auto"/>
              <w:right w:val="single" w:sz="8" w:space="0" w:color="auto"/>
            </w:tcBorders>
          </w:tcPr>
          <w:p w14:paraId="1EF6C0E9" w14:textId="77777777" w:rsidR="001C0EAD" w:rsidRPr="006F1451" w:rsidRDefault="001C0EAD" w:rsidP="006F1451">
            <w:pPr>
              <w:pStyle w:val="Header"/>
            </w:pPr>
          </w:p>
        </w:tc>
        <w:tc>
          <w:tcPr>
            <w:tcW w:w="1629" w:type="dxa"/>
            <w:tcBorders>
              <w:top w:val="single" w:sz="8" w:space="0" w:color="auto"/>
              <w:left w:val="single" w:sz="8" w:space="0" w:color="auto"/>
              <w:bottom w:val="single" w:sz="8" w:space="0" w:color="auto"/>
              <w:right w:val="single" w:sz="8" w:space="0" w:color="auto"/>
            </w:tcBorders>
          </w:tcPr>
          <w:p w14:paraId="7B536E60" w14:textId="77777777" w:rsidR="001C0EAD" w:rsidRPr="006F1451" w:rsidRDefault="001C0EAD" w:rsidP="006F1451">
            <w:pPr>
              <w:pStyle w:val="Header"/>
            </w:pPr>
            <w:r w:rsidRPr="006F1451">
              <w:t>Strongly disagree</w:t>
            </w:r>
          </w:p>
        </w:tc>
        <w:tc>
          <w:tcPr>
            <w:tcW w:w="1628" w:type="dxa"/>
            <w:tcBorders>
              <w:top w:val="single" w:sz="8" w:space="0" w:color="auto"/>
              <w:left w:val="single" w:sz="8" w:space="0" w:color="auto"/>
              <w:bottom w:val="single" w:sz="8" w:space="0" w:color="auto"/>
              <w:right w:val="single" w:sz="8" w:space="0" w:color="auto"/>
            </w:tcBorders>
          </w:tcPr>
          <w:p w14:paraId="4ABE60DF" w14:textId="77777777" w:rsidR="001C0EAD" w:rsidRPr="006F1451" w:rsidRDefault="001C0EAD" w:rsidP="006F1451">
            <w:pPr>
              <w:pStyle w:val="Header"/>
            </w:pPr>
            <w:r w:rsidRPr="006F1451">
              <w:t>Somewhat disagree</w:t>
            </w:r>
          </w:p>
        </w:tc>
        <w:tc>
          <w:tcPr>
            <w:tcW w:w="1629" w:type="dxa"/>
            <w:tcBorders>
              <w:top w:val="single" w:sz="8" w:space="0" w:color="auto"/>
              <w:left w:val="single" w:sz="8" w:space="0" w:color="auto"/>
              <w:bottom w:val="single" w:sz="8" w:space="0" w:color="auto"/>
              <w:right w:val="single" w:sz="8" w:space="0" w:color="auto"/>
            </w:tcBorders>
          </w:tcPr>
          <w:p w14:paraId="04971891" w14:textId="77777777" w:rsidR="001C0EAD" w:rsidRPr="006F1451" w:rsidRDefault="001C0EAD" w:rsidP="006F1451">
            <w:pPr>
              <w:pStyle w:val="Header"/>
            </w:pPr>
            <w:r w:rsidRPr="006F1451">
              <w:t>Neither agree nor disagree</w:t>
            </w:r>
          </w:p>
        </w:tc>
        <w:tc>
          <w:tcPr>
            <w:tcW w:w="1628" w:type="dxa"/>
            <w:tcBorders>
              <w:top w:val="single" w:sz="8" w:space="0" w:color="auto"/>
              <w:left w:val="single" w:sz="8" w:space="0" w:color="auto"/>
              <w:bottom w:val="single" w:sz="8" w:space="0" w:color="auto"/>
              <w:right w:val="single" w:sz="8" w:space="0" w:color="auto"/>
            </w:tcBorders>
          </w:tcPr>
          <w:p w14:paraId="33962614" w14:textId="77777777" w:rsidR="001C0EAD" w:rsidRPr="006F1451" w:rsidRDefault="001C0EAD" w:rsidP="006F1451">
            <w:pPr>
              <w:pStyle w:val="Header"/>
            </w:pPr>
            <w:r w:rsidRPr="006F1451">
              <w:t>Somewhat agree</w:t>
            </w:r>
          </w:p>
        </w:tc>
        <w:tc>
          <w:tcPr>
            <w:tcW w:w="1629" w:type="dxa"/>
            <w:tcBorders>
              <w:top w:val="single" w:sz="8" w:space="0" w:color="auto"/>
              <w:left w:val="single" w:sz="8" w:space="0" w:color="auto"/>
              <w:bottom w:val="single" w:sz="8" w:space="0" w:color="auto"/>
              <w:right w:val="single" w:sz="8" w:space="0" w:color="auto"/>
            </w:tcBorders>
          </w:tcPr>
          <w:p w14:paraId="223F97F9" w14:textId="77777777" w:rsidR="001C0EAD" w:rsidRPr="006F1451" w:rsidRDefault="001C0EAD" w:rsidP="006F1451">
            <w:pPr>
              <w:pStyle w:val="Header"/>
            </w:pPr>
            <w:r w:rsidRPr="006F1451">
              <w:t>Strongly agree</w:t>
            </w:r>
          </w:p>
        </w:tc>
      </w:tr>
      <w:tr w:rsidR="001C0EAD" w:rsidRPr="001C0EAD" w14:paraId="07D3FE0B" w14:textId="77777777" w:rsidTr="006F1451">
        <w:tc>
          <w:tcPr>
            <w:tcW w:w="1628" w:type="dxa"/>
            <w:tcBorders>
              <w:top w:val="single" w:sz="8" w:space="0" w:color="auto"/>
              <w:left w:val="single" w:sz="8" w:space="0" w:color="auto"/>
              <w:bottom w:val="single" w:sz="8" w:space="0" w:color="auto"/>
              <w:right w:val="single" w:sz="8" w:space="0" w:color="auto"/>
            </w:tcBorders>
          </w:tcPr>
          <w:p w14:paraId="68C32228" w14:textId="77777777" w:rsidR="001C0EAD" w:rsidRPr="006F1451" w:rsidRDefault="001C0EAD" w:rsidP="006F1451">
            <w:r w:rsidRPr="006F1451">
              <w:t>TEAP is providing trainees with the required knowledge they will need in their profession</w:t>
            </w:r>
          </w:p>
        </w:tc>
        <w:tc>
          <w:tcPr>
            <w:tcW w:w="1629" w:type="dxa"/>
            <w:tcBorders>
              <w:top w:val="single" w:sz="8" w:space="0" w:color="auto"/>
              <w:left w:val="single" w:sz="8" w:space="0" w:color="auto"/>
              <w:bottom w:val="single" w:sz="8" w:space="0" w:color="auto"/>
              <w:right w:val="single" w:sz="8" w:space="0" w:color="auto"/>
            </w:tcBorders>
          </w:tcPr>
          <w:p w14:paraId="21024E3F" w14:textId="77777777" w:rsidR="001C0EAD" w:rsidRPr="006F1451" w:rsidRDefault="001C0EAD" w:rsidP="006F1451">
            <w:r w:rsidRPr="006F1451">
              <w:t xml:space="preserve"> </w:t>
            </w:r>
          </w:p>
        </w:tc>
        <w:tc>
          <w:tcPr>
            <w:tcW w:w="1628" w:type="dxa"/>
            <w:tcBorders>
              <w:top w:val="single" w:sz="8" w:space="0" w:color="auto"/>
              <w:left w:val="single" w:sz="8" w:space="0" w:color="auto"/>
              <w:bottom w:val="single" w:sz="8" w:space="0" w:color="auto"/>
              <w:right w:val="single" w:sz="8" w:space="0" w:color="auto"/>
            </w:tcBorders>
          </w:tcPr>
          <w:p w14:paraId="70808812" w14:textId="77777777" w:rsidR="001C0EAD" w:rsidRPr="006F1451" w:rsidRDefault="001C0EAD" w:rsidP="006F1451">
            <w:r w:rsidRPr="006F1451">
              <w:t xml:space="preserve"> </w:t>
            </w:r>
          </w:p>
        </w:tc>
        <w:tc>
          <w:tcPr>
            <w:tcW w:w="1629" w:type="dxa"/>
            <w:tcBorders>
              <w:top w:val="single" w:sz="8" w:space="0" w:color="auto"/>
              <w:left w:val="single" w:sz="8" w:space="0" w:color="auto"/>
              <w:bottom w:val="single" w:sz="8" w:space="0" w:color="auto"/>
              <w:right w:val="single" w:sz="8" w:space="0" w:color="auto"/>
            </w:tcBorders>
          </w:tcPr>
          <w:p w14:paraId="0DF11BCB" w14:textId="77777777" w:rsidR="001C0EAD" w:rsidRPr="006F1451" w:rsidRDefault="001C0EAD" w:rsidP="006F1451">
            <w:r w:rsidRPr="006F1451">
              <w:t xml:space="preserve"> </w:t>
            </w:r>
          </w:p>
        </w:tc>
        <w:tc>
          <w:tcPr>
            <w:tcW w:w="1628" w:type="dxa"/>
            <w:tcBorders>
              <w:top w:val="single" w:sz="8" w:space="0" w:color="auto"/>
              <w:left w:val="single" w:sz="8" w:space="0" w:color="auto"/>
              <w:bottom w:val="single" w:sz="8" w:space="0" w:color="auto"/>
              <w:right w:val="single" w:sz="8" w:space="0" w:color="auto"/>
            </w:tcBorders>
          </w:tcPr>
          <w:p w14:paraId="75C3FAF5" w14:textId="77777777" w:rsidR="001C0EAD" w:rsidRPr="006F1451" w:rsidRDefault="001C0EAD" w:rsidP="006F1451">
            <w:r w:rsidRPr="006F1451">
              <w:t xml:space="preserve"> </w:t>
            </w:r>
          </w:p>
        </w:tc>
        <w:tc>
          <w:tcPr>
            <w:tcW w:w="1629" w:type="dxa"/>
            <w:tcBorders>
              <w:top w:val="single" w:sz="8" w:space="0" w:color="auto"/>
              <w:left w:val="single" w:sz="8" w:space="0" w:color="auto"/>
              <w:bottom w:val="single" w:sz="8" w:space="0" w:color="auto"/>
              <w:right w:val="single" w:sz="8" w:space="0" w:color="auto"/>
            </w:tcBorders>
          </w:tcPr>
          <w:p w14:paraId="7A7F7C64" w14:textId="77777777" w:rsidR="001C0EAD" w:rsidRPr="006F1451" w:rsidRDefault="001C0EAD" w:rsidP="006F1451"/>
        </w:tc>
      </w:tr>
      <w:tr w:rsidR="001C0EAD" w:rsidRPr="001C0EAD" w14:paraId="74BAB638" w14:textId="77777777" w:rsidTr="006F1451">
        <w:tc>
          <w:tcPr>
            <w:tcW w:w="1628" w:type="dxa"/>
            <w:tcBorders>
              <w:top w:val="single" w:sz="8" w:space="0" w:color="auto"/>
              <w:left w:val="single" w:sz="8" w:space="0" w:color="auto"/>
              <w:bottom w:val="single" w:sz="8" w:space="0" w:color="auto"/>
              <w:right w:val="single" w:sz="8" w:space="0" w:color="auto"/>
            </w:tcBorders>
          </w:tcPr>
          <w:p w14:paraId="6AC5AD42" w14:textId="77777777" w:rsidR="001C0EAD" w:rsidRPr="006F1451" w:rsidRDefault="001C0EAD" w:rsidP="006F1451">
            <w:r w:rsidRPr="006F1451">
              <w:t>TEAP is providing trainees with the practical skills they will need in their profession</w:t>
            </w:r>
          </w:p>
        </w:tc>
        <w:tc>
          <w:tcPr>
            <w:tcW w:w="1629" w:type="dxa"/>
            <w:tcBorders>
              <w:top w:val="single" w:sz="8" w:space="0" w:color="auto"/>
              <w:left w:val="single" w:sz="8" w:space="0" w:color="auto"/>
              <w:bottom w:val="single" w:sz="8" w:space="0" w:color="auto"/>
              <w:right w:val="single" w:sz="8" w:space="0" w:color="auto"/>
            </w:tcBorders>
          </w:tcPr>
          <w:p w14:paraId="3C949ED5" w14:textId="77777777" w:rsidR="001C0EAD" w:rsidRPr="006F1451" w:rsidRDefault="001C0EAD" w:rsidP="006F1451">
            <w:r w:rsidRPr="006F1451">
              <w:t xml:space="preserve"> </w:t>
            </w:r>
          </w:p>
        </w:tc>
        <w:tc>
          <w:tcPr>
            <w:tcW w:w="1628" w:type="dxa"/>
            <w:tcBorders>
              <w:top w:val="single" w:sz="8" w:space="0" w:color="auto"/>
              <w:left w:val="single" w:sz="8" w:space="0" w:color="auto"/>
              <w:bottom w:val="single" w:sz="8" w:space="0" w:color="auto"/>
              <w:right w:val="single" w:sz="8" w:space="0" w:color="auto"/>
            </w:tcBorders>
          </w:tcPr>
          <w:p w14:paraId="2C9E33E9" w14:textId="77777777" w:rsidR="001C0EAD" w:rsidRPr="006F1451" w:rsidRDefault="001C0EAD" w:rsidP="006F1451">
            <w:r w:rsidRPr="006F1451">
              <w:t xml:space="preserve"> </w:t>
            </w:r>
          </w:p>
        </w:tc>
        <w:tc>
          <w:tcPr>
            <w:tcW w:w="1629" w:type="dxa"/>
            <w:tcBorders>
              <w:top w:val="single" w:sz="8" w:space="0" w:color="auto"/>
              <w:left w:val="single" w:sz="8" w:space="0" w:color="auto"/>
              <w:bottom w:val="single" w:sz="8" w:space="0" w:color="auto"/>
              <w:right w:val="single" w:sz="8" w:space="0" w:color="auto"/>
            </w:tcBorders>
          </w:tcPr>
          <w:p w14:paraId="4C3A4603" w14:textId="77777777" w:rsidR="001C0EAD" w:rsidRPr="006F1451" w:rsidRDefault="001C0EAD" w:rsidP="006F1451">
            <w:r w:rsidRPr="006F1451">
              <w:t xml:space="preserve"> </w:t>
            </w:r>
          </w:p>
        </w:tc>
        <w:tc>
          <w:tcPr>
            <w:tcW w:w="1628" w:type="dxa"/>
            <w:tcBorders>
              <w:top w:val="single" w:sz="8" w:space="0" w:color="auto"/>
              <w:left w:val="single" w:sz="8" w:space="0" w:color="auto"/>
              <w:bottom w:val="single" w:sz="8" w:space="0" w:color="auto"/>
              <w:right w:val="single" w:sz="8" w:space="0" w:color="auto"/>
            </w:tcBorders>
          </w:tcPr>
          <w:p w14:paraId="729CCF28" w14:textId="77777777" w:rsidR="001C0EAD" w:rsidRPr="006F1451" w:rsidRDefault="001C0EAD" w:rsidP="006F1451">
            <w:r w:rsidRPr="006F1451">
              <w:t xml:space="preserve"> </w:t>
            </w:r>
          </w:p>
        </w:tc>
        <w:tc>
          <w:tcPr>
            <w:tcW w:w="1629" w:type="dxa"/>
            <w:tcBorders>
              <w:top w:val="single" w:sz="8" w:space="0" w:color="auto"/>
              <w:left w:val="single" w:sz="8" w:space="0" w:color="auto"/>
              <w:bottom w:val="single" w:sz="8" w:space="0" w:color="auto"/>
              <w:right w:val="single" w:sz="8" w:space="0" w:color="auto"/>
            </w:tcBorders>
          </w:tcPr>
          <w:p w14:paraId="04C42B38" w14:textId="77777777" w:rsidR="001C0EAD" w:rsidRPr="006F1451" w:rsidRDefault="001C0EAD" w:rsidP="006F1451"/>
        </w:tc>
      </w:tr>
      <w:tr w:rsidR="001C0EAD" w:rsidRPr="001C0EAD" w14:paraId="4EFB190F" w14:textId="77777777" w:rsidTr="006F1451">
        <w:tc>
          <w:tcPr>
            <w:tcW w:w="1628" w:type="dxa"/>
            <w:tcBorders>
              <w:top w:val="single" w:sz="8" w:space="0" w:color="auto"/>
              <w:left w:val="single" w:sz="8" w:space="0" w:color="auto"/>
              <w:bottom w:val="single" w:sz="8" w:space="0" w:color="auto"/>
              <w:right w:val="single" w:sz="8" w:space="0" w:color="auto"/>
            </w:tcBorders>
          </w:tcPr>
          <w:p w14:paraId="39ED68FF" w14:textId="77777777" w:rsidR="001C0EAD" w:rsidRPr="006F1451" w:rsidRDefault="001C0EAD" w:rsidP="006F1451">
            <w:r w:rsidRPr="006F1451">
              <w:t>TEAP is providing trainees with the experience they will need in their profession</w:t>
            </w:r>
          </w:p>
        </w:tc>
        <w:tc>
          <w:tcPr>
            <w:tcW w:w="1629" w:type="dxa"/>
            <w:tcBorders>
              <w:top w:val="single" w:sz="8" w:space="0" w:color="auto"/>
              <w:left w:val="single" w:sz="8" w:space="0" w:color="auto"/>
              <w:bottom w:val="single" w:sz="8" w:space="0" w:color="auto"/>
              <w:right w:val="single" w:sz="8" w:space="0" w:color="auto"/>
            </w:tcBorders>
          </w:tcPr>
          <w:p w14:paraId="63E1D2C8" w14:textId="77777777" w:rsidR="001C0EAD" w:rsidRPr="006F1451" w:rsidRDefault="001C0EAD" w:rsidP="006F1451">
            <w:r w:rsidRPr="006F1451">
              <w:t xml:space="preserve"> </w:t>
            </w:r>
          </w:p>
        </w:tc>
        <w:tc>
          <w:tcPr>
            <w:tcW w:w="1628" w:type="dxa"/>
            <w:tcBorders>
              <w:top w:val="single" w:sz="8" w:space="0" w:color="auto"/>
              <w:left w:val="single" w:sz="8" w:space="0" w:color="auto"/>
              <w:bottom w:val="single" w:sz="8" w:space="0" w:color="auto"/>
              <w:right w:val="single" w:sz="8" w:space="0" w:color="auto"/>
            </w:tcBorders>
          </w:tcPr>
          <w:p w14:paraId="69601BD2" w14:textId="77777777" w:rsidR="001C0EAD" w:rsidRPr="006F1451" w:rsidRDefault="001C0EAD" w:rsidP="006F1451">
            <w:r w:rsidRPr="006F1451">
              <w:t xml:space="preserve"> </w:t>
            </w:r>
          </w:p>
        </w:tc>
        <w:tc>
          <w:tcPr>
            <w:tcW w:w="1629" w:type="dxa"/>
            <w:tcBorders>
              <w:top w:val="single" w:sz="8" w:space="0" w:color="auto"/>
              <w:left w:val="single" w:sz="8" w:space="0" w:color="auto"/>
              <w:bottom w:val="single" w:sz="8" w:space="0" w:color="auto"/>
              <w:right w:val="single" w:sz="8" w:space="0" w:color="auto"/>
            </w:tcBorders>
          </w:tcPr>
          <w:p w14:paraId="271826F9" w14:textId="77777777" w:rsidR="001C0EAD" w:rsidRPr="006F1451" w:rsidRDefault="001C0EAD" w:rsidP="006F1451">
            <w:r w:rsidRPr="006F1451">
              <w:t xml:space="preserve"> </w:t>
            </w:r>
          </w:p>
        </w:tc>
        <w:tc>
          <w:tcPr>
            <w:tcW w:w="1628" w:type="dxa"/>
            <w:tcBorders>
              <w:top w:val="single" w:sz="8" w:space="0" w:color="auto"/>
              <w:left w:val="single" w:sz="8" w:space="0" w:color="auto"/>
              <w:bottom w:val="single" w:sz="8" w:space="0" w:color="auto"/>
              <w:right w:val="single" w:sz="8" w:space="0" w:color="auto"/>
            </w:tcBorders>
          </w:tcPr>
          <w:p w14:paraId="649BF692" w14:textId="77777777" w:rsidR="001C0EAD" w:rsidRPr="006F1451" w:rsidRDefault="001C0EAD" w:rsidP="006F1451">
            <w:r w:rsidRPr="006F1451">
              <w:t xml:space="preserve"> </w:t>
            </w:r>
          </w:p>
        </w:tc>
        <w:tc>
          <w:tcPr>
            <w:tcW w:w="1629" w:type="dxa"/>
            <w:tcBorders>
              <w:top w:val="single" w:sz="8" w:space="0" w:color="auto"/>
              <w:left w:val="single" w:sz="8" w:space="0" w:color="auto"/>
              <w:bottom w:val="single" w:sz="8" w:space="0" w:color="auto"/>
              <w:right w:val="single" w:sz="8" w:space="0" w:color="auto"/>
            </w:tcBorders>
          </w:tcPr>
          <w:p w14:paraId="4E4F3041" w14:textId="77777777" w:rsidR="001C0EAD" w:rsidRPr="006F1451" w:rsidRDefault="001C0EAD" w:rsidP="006F1451"/>
        </w:tc>
      </w:tr>
      <w:tr w:rsidR="001C0EAD" w:rsidRPr="001C0EAD" w14:paraId="013852DB" w14:textId="77777777" w:rsidTr="006F1451">
        <w:tc>
          <w:tcPr>
            <w:tcW w:w="1628" w:type="dxa"/>
            <w:tcBorders>
              <w:top w:val="single" w:sz="8" w:space="0" w:color="auto"/>
              <w:left w:val="single" w:sz="8" w:space="0" w:color="auto"/>
              <w:bottom w:val="single" w:sz="8" w:space="0" w:color="auto"/>
              <w:right w:val="single" w:sz="8" w:space="0" w:color="auto"/>
            </w:tcBorders>
          </w:tcPr>
          <w:p w14:paraId="11FD406D" w14:textId="77777777" w:rsidR="001C0EAD" w:rsidRPr="006F1451" w:rsidRDefault="001C0EAD" w:rsidP="006F1451">
            <w:r w:rsidRPr="006F1451">
              <w:t>TEAP is preparing trainees for future changes/ advancements in their profession</w:t>
            </w:r>
          </w:p>
        </w:tc>
        <w:tc>
          <w:tcPr>
            <w:tcW w:w="1629" w:type="dxa"/>
            <w:tcBorders>
              <w:top w:val="single" w:sz="8" w:space="0" w:color="auto"/>
              <w:left w:val="single" w:sz="8" w:space="0" w:color="auto"/>
              <w:bottom w:val="single" w:sz="8" w:space="0" w:color="auto"/>
              <w:right w:val="single" w:sz="8" w:space="0" w:color="auto"/>
            </w:tcBorders>
          </w:tcPr>
          <w:p w14:paraId="3B9D3F42" w14:textId="77777777" w:rsidR="001C0EAD" w:rsidRPr="006F1451" w:rsidRDefault="001C0EAD" w:rsidP="006F1451"/>
        </w:tc>
        <w:tc>
          <w:tcPr>
            <w:tcW w:w="1628" w:type="dxa"/>
            <w:tcBorders>
              <w:top w:val="single" w:sz="8" w:space="0" w:color="auto"/>
              <w:left w:val="single" w:sz="8" w:space="0" w:color="auto"/>
              <w:bottom w:val="single" w:sz="8" w:space="0" w:color="auto"/>
              <w:right w:val="single" w:sz="8" w:space="0" w:color="auto"/>
            </w:tcBorders>
          </w:tcPr>
          <w:p w14:paraId="1A90A085" w14:textId="77777777" w:rsidR="001C0EAD" w:rsidRPr="006F1451" w:rsidRDefault="001C0EAD" w:rsidP="006F1451"/>
        </w:tc>
        <w:tc>
          <w:tcPr>
            <w:tcW w:w="1629" w:type="dxa"/>
            <w:tcBorders>
              <w:top w:val="single" w:sz="8" w:space="0" w:color="auto"/>
              <w:left w:val="single" w:sz="8" w:space="0" w:color="auto"/>
              <w:bottom w:val="single" w:sz="8" w:space="0" w:color="auto"/>
              <w:right w:val="single" w:sz="8" w:space="0" w:color="auto"/>
            </w:tcBorders>
          </w:tcPr>
          <w:p w14:paraId="396AC41E" w14:textId="77777777" w:rsidR="001C0EAD" w:rsidRPr="006F1451" w:rsidRDefault="001C0EAD" w:rsidP="006F1451"/>
        </w:tc>
        <w:tc>
          <w:tcPr>
            <w:tcW w:w="1628" w:type="dxa"/>
            <w:tcBorders>
              <w:top w:val="single" w:sz="8" w:space="0" w:color="auto"/>
              <w:left w:val="single" w:sz="8" w:space="0" w:color="auto"/>
              <w:bottom w:val="single" w:sz="8" w:space="0" w:color="auto"/>
              <w:right w:val="single" w:sz="8" w:space="0" w:color="auto"/>
            </w:tcBorders>
          </w:tcPr>
          <w:p w14:paraId="4FF27668" w14:textId="77777777" w:rsidR="001C0EAD" w:rsidRPr="006F1451" w:rsidRDefault="001C0EAD" w:rsidP="006F1451"/>
        </w:tc>
        <w:tc>
          <w:tcPr>
            <w:tcW w:w="1629" w:type="dxa"/>
            <w:tcBorders>
              <w:top w:val="single" w:sz="8" w:space="0" w:color="auto"/>
              <w:left w:val="single" w:sz="8" w:space="0" w:color="auto"/>
              <w:bottom w:val="single" w:sz="8" w:space="0" w:color="auto"/>
              <w:right w:val="single" w:sz="8" w:space="0" w:color="auto"/>
            </w:tcBorders>
          </w:tcPr>
          <w:p w14:paraId="23B566E0" w14:textId="77777777" w:rsidR="001C0EAD" w:rsidRPr="006F1451" w:rsidRDefault="001C0EAD" w:rsidP="006F1451"/>
        </w:tc>
      </w:tr>
      <w:tr w:rsidR="001C0EAD" w:rsidRPr="001C0EAD" w14:paraId="258D5DF4" w14:textId="77777777" w:rsidTr="006F1451">
        <w:tc>
          <w:tcPr>
            <w:tcW w:w="1628" w:type="dxa"/>
            <w:tcBorders>
              <w:top w:val="single" w:sz="8" w:space="0" w:color="auto"/>
              <w:left w:val="single" w:sz="8" w:space="0" w:color="auto"/>
              <w:bottom w:val="single" w:sz="8" w:space="0" w:color="auto"/>
              <w:right w:val="single" w:sz="8" w:space="0" w:color="auto"/>
            </w:tcBorders>
          </w:tcPr>
          <w:p w14:paraId="68CF46DD" w14:textId="77777777" w:rsidR="001C0EAD" w:rsidRPr="006F1451" w:rsidRDefault="001C0EAD" w:rsidP="006F1451">
            <w:r w:rsidRPr="006F1451">
              <w:t>Overall, the training model is effective and fit-for-purpose</w:t>
            </w:r>
          </w:p>
        </w:tc>
        <w:tc>
          <w:tcPr>
            <w:tcW w:w="1629" w:type="dxa"/>
            <w:tcBorders>
              <w:top w:val="single" w:sz="8" w:space="0" w:color="auto"/>
              <w:left w:val="single" w:sz="8" w:space="0" w:color="auto"/>
              <w:bottom w:val="single" w:sz="8" w:space="0" w:color="auto"/>
              <w:right w:val="single" w:sz="8" w:space="0" w:color="auto"/>
            </w:tcBorders>
          </w:tcPr>
          <w:p w14:paraId="72DE8C09" w14:textId="77777777" w:rsidR="001C0EAD" w:rsidRPr="006F1451" w:rsidRDefault="001C0EAD" w:rsidP="006F1451"/>
        </w:tc>
        <w:tc>
          <w:tcPr>
            <w:tcW w:w="1628" w:type="dxa"/>
            <w:tcBorders>
              <w:top w:val="single" w:sz="8" w:space="0" w:color="auto"/>
              <w:left w:val="single" w:sz="8" w:space="0" w:color="auto"/>
              <w:bottom w:val="single" w:sz="8" w:space="0" w:color="auto"/>
              <w:right w:val="single" w:sz="8" w:space="0" w:color="auto"/>
            </w:tcBorders>
          </w:tcPr>
          <w:p w14:paraId="5EAF3552" w14:textId="77777777" w:rsidR="001C0EAD" w:rsidRPr="006F1451" w:rsidRDefault="001C0EAD" w:rsidP="006F1451"/>
        </w:tc>
        <w:tc>
          <w:tcPr>
            <w:tcW w:w="1629" w:type="dxa"/>
            <w:tcBorders>
              <w:top w:val="single" w:sz="8" w:space="0" w:color="auto"/>
              <w:left w:val="single" w:sz="8" w:space="0" w:color="auto"/>
              <w:bottom w:val="single" w:sz="8" w:space="0" w:color="auto"/>
              <w:right w:val="single" w:sz="8" w:space="0" w:color="auto"/>
            </w:tcBorders>
          </w:tcPr>
          <w:p w14:paraId="029D74F7" w14:textId="77777777" w:rsidR="001C0EAD" w:rsidRPr="006F1451" w:rsidRDefault="001C0EAD" w:rsidP="006F1451"/>
        </w:tc>
        <w:tc>
          <w:tcPr>
            <w:tcW w:w="1628" w:type="dxa"/>
            <w:tcBorders>
              <w:top w:val="single" w:sz="8" w:space="0" w:color="auto"/>
              <w:left w:val="single" w:sz="8" w:space="0" w:color="auto"/>
              <w:bottom w:val="single" w:sz="8" w:space="0" w:color="auto"/>
              <w:right w:val="single" w:sz="8" w:space="0" w:color="auto"/>
            </w:tcBorders>
          </w:tcPr>
          <w:p w14:paraId="6D9CE9F7" w14:textId="77777777" w:rsidR="001C0EAD" w:rsidRPr="006F1451" w:rsidRDefault="001C0EAD" w:rsidP="006F1451"/>
        </w:tc>
        <w:tc>
          <w:tcPr>
            <w:tcW w:w="1629" w:type="dxa"/>
            <w:tcBorders>
              <w:top w:val="single" w:sz="8" w:space="0" w:color="auto"/>
              <w:left w:val="single" w:sz="8" w:space="0" w:color="auto"/>
              <w:bottom w:val="single" w:sz="8" w:space="0" w:color="auto"/>
              <w:right w:val="single" w:sz="8" w:space="0" w:color="auto"/>
            </w:tcBorders>
          </w:tcPr>
          <w:p w14:paraId="37C89874" w14:textId="77777777" w:rsidR="001C0EAD" w:rsidRPr="006F1451" w:rsidRDefault="001C0EAD" w:rsidP="006F1451"/>
        </w:tc>
      </w:tr>
      <w:tr w:rsidR="001C0EAD" w:rsidRPr="001C0EAD" w14:paraId="11D48EAE" w14:textId="77777777" w:rsidTr="006F1451">
        <w:tc>
          <w:tcPr>
            <w:tcW w:w="1628" w:type="dxa"/>
            <w:tcBorders>
              <w:top w:val="single" w:sz="8" w:space="0" w:color="auto"/>
              <w:left w:val="single" w:sz="8" w:space="0" w:color="auto"/>
              <w:bottom w:val="single" w:sz="8" w:space="0" w:color="auto"/>
              <w:right w:val="single" w:sz="8" w:space="0" w:color="auto"/>
            </w:tcBorders>
          </w:tcPr>
          <w:p w14:paraId="3B5A1BE1" w14:textId="77777777" w:rsidR="001C0EAD" w:rsidRPr="006F1451" w:rsidRDefault="001C0EAD" w:rsidP="006F1451">
            <w:r w:rsidRPr="006F1451">
              <w:t xml:space="preserve">The current 3-year timeframe for TEAP completion is appropriate. </w:t>
            </w:r>
          </w:p>
        </w:tc>
        <w:tc>
          <w:tcPr>
            <w:tcW w:w="1629" w:type="dxa"/>
            <w:tcBorders>
              <w:top w:val="single" w:sz="8" w:space="0" w:color="auto"/>
              <w:left w:val="single" w:sz="8" w:space="0" w:color="auto"/>
              <w:bottom w:val="single" w:sz="8" w:space="0" w:color="auto"/>
              <w:right w:val="single" w:sz="8" w:space="0" w:color="auto"/>
            </w:tcBorders>
          </w:tcPr>
          <w:p w14:paraId="0AEC5019" w14:textId="77777777" w:rsidR="001C0EAD" w:rsidRPr="006F1451" w:rsidRDefault="001C0EAD" w:rsidP="006F1451"/>
        </w:tc>
        <w:tc>
          <w:tcPr>
            <w:tcW w:w="1628" w:type="dxa"/>
            <w:tcBorders>
              <w:top w:val="single" w:sz="8" w:space="0" w:color="auto"/>
              <w:left w:val="single" w:sz="8" w:space="0" w:color="auto"/>
              <w:bottom w:val="single" w:sz="8" w:space="0" w:color="auto"/>
              <w:right w:val="single" w:sz="8" w:space="0" w:color="auto"/>
            </w:tcBorders>
          </w:tcPr>
          <w:p w14:paraId="26C97BE4" w14:textId="77777777" w:rsidR="001C0EAD" w:rsidRPr="006F1451" w:rsidRDefault="001C0EAD" w:rsidP="006F1451"/>
        </w:tc>
        <w:tc>
          <w:tcPr>
            <w:tcW w:w="1629" w:type="dxa"/>
            <w:tcBorders>
              <w:top w:val="single" w:sz="8" w:space="0" w:color="auto"/>
              <w:left w:val="single" w:sz="8" w:space="0" w:color="auto"/>
              <w:bottom w:val="single" w:sz="8" w:space="0" w:color="auto"/>
              <w:right w:val="single" w:sz="8" w:space="0" w:color="auto"/>
            </w:tcBorders>
          </w:tcPr>
          <w:p w14:paraId="1AA2A522" w14:textId="77777777" w:rsidR="001C0EAD" w:rsidRPr="006F1451" w:rsidRDefault="001C0EAD" w:rsidP="006F1451"/>
        </w:tc>
        <w:tc>
          <w:tcPr>
            <w:tcW w:w="1628" w:type="dxa"/>
            <w:tcBorders>
              <w:top w:val="single" w:sz="8" w:space="0" w:color="auto"/>
              <w:left w:val="single" w:sz="8" w:space="0" w:color="auto"/>
              <w:bottom w:val="single" w:sz="8" w:space="0" w:color="auto"/>
              <w:right w:val="single" w:sz="8" w:space="0" w:color="auto"/>
            </w:tcBorders>
          </w:tcPr>
          <w:p w14:paraId="6CA5D1E1" w14:textId="77777777" w:rsidR="001C0EAD" w:rsidRPr="006F1451" w:rsidRDefault="001C0EAD" w:rsidP="006F1451"/>
        </w:tc>
        <w:tc>
          <w:tcPr>
            <w:tcW w:w="1629" w:type="dxa"/>
            <w:tcBorders>
              <w:top w:val="single" w:sz="8" w:space="0" w:color="auto"/>
              <w:left w:val="single" w:sz="8" w:space="0" w:color="auto"/>
              <w:bottom w:val="single" w:sz="8" w:space="0" w:color="auto"/>
              <w:right w:val="single" w:sz="8" w:space="0" w:color="auto"/>
            </w:tcBorders>
          </w:tcPr>
          <w:p w14:paraId="30719E59" w14:textId="77777777" w:rsidR="001C0EAD" w:rsidRPr="006F1451" w:rsidRDefault="001C0EAD" w:rsidP="006F1451"/>
        </w:tc>
      </w:tr>
    </w:tbl>
    <w:p w14:paraId="1BFA7BB9" w14:textId="77A97BFD" w:rsidR="001C0EAD" w:rsidRPr="006F1451" w:rsidRDefault="001C0EAD" w:rsidP="006F1451">
      <w:r w:rsidRPr="006F1451">
        <w:t>-------------------------------------------------------------------</w:t>
      </w:r>
    </w:p>
    <w:p w14:paraId="0938AACA" w14:textId="77777777" w:rsidR="00D03CDF" w:rsidRDefault="00D03CDF">
      <w:pPr>
        <w:spacing w:before="0" w:after="160" w:line="259" w:lineRule="auto"/>
        <w:rPr>
          <w:lang w:val="en-US"/>
        </w:rPr>
      </w:pPr>
      <w:r>
        <w:rPr>
          <w:lang w:val="en-US"/>
        </w:rPr>
        <w:br w:type="page"/>
      </w:r>
    </w:p>
    <w:p w14:paraId="73692918" w14:textId="6979BCAF" w:rsidR="001C0EAD" w:rsidRPr="001C0EAD" w:rsidRDefault="001C0EAD" w:rsidP="006F1451">
      <w:pPr>
        <w:pStyle w:val="ListNumber"/>
        <w:rPr>
          <w:lang w:val="en-US"/>
        </w:rPr>
      </w:pPr>
      <w:r w:rsidRPr="001C0EAD">
        <w:rPr>
          <w:lang w:val="en-US"/>
        </w:rPr>
        <w:t xml:space="preserve">To what extent do you agree with the following statements about TEAP? </w:t>
      </w:r>
      <w:r w:rsidR="001F088E" w:rsidRPr="001F088E">
        <w:rPr>
          <w:i/>
          <w:iCs/>
          <w:lang w:val="en-US"/>
        </w:rPr>
        <w:t>G</w:t>
      </w:r>
      <w:r w:rsidRPr="001C0EAD">
        <w:rPr>
          <w:i/>
          <w:iCs/>
          <w:lang w:val="en-US"/>
        </w:rPr>
        <w:t>rid</w:t>
      </w:r>
    </w:p>
    <w:tbl>
      <w:tblPr>
        <w:tblStyle w:val="TableGrid"/>
        <w:tblW w:w="9913" w:type="dxa"/>
        <w:tblLayout w:type="fixed"/>
        <w:tblLook w:val="06A0" w:firstRow="1" w:lastRow="0" w:firstColumn="1" w:lastColumn="0" w:noHBand="1" w:noVBand="1"/>
      </w:tblPr>
      <w:tblGrid>
        <w:gridCol w:w="1833"/>
        <w:gridCol w:w="1471"/>
        <w:gridCol w:w="1652"/>
        <w:gridCol w:w="1652"/>
        <w:gridCol w:w="1652"/>
        <w:gridCol w:w="1653"/>
      </w:tblGrid>
      <w:tr w:rsidR="001C0EAD" w:rsidRPr="001C0EAD" w14:paraId="63F69FE7" w14:textId="77777777" w:rsidTr="006F1451">
        <w:trPr>
          <w:cnfStyle w:val="100000000000" w:firstRow="1" w:lastRow="0" w:firstColumn="0" w:lastColumn="0" w:oddVBand="0" w:evenVBand="0" w:oddHBand="0" w:evenHBand="0" w:firstRowFirstColumn="0" w:firstRowLastColumn="0" w:lastRowFirstColumn="0" w:lastRowLastColumn="0"/>
          <w:tblHeader/>
        </w:trPr>
        <w:tc>
          <w:tcPr>
            <w:tcW w:w="1833" w:type="dxa"/>
            <w:tcBorders>
              <w:top w:val="single" w:sz="8" w:space="0" w:color="auto"/>
              <w:left w:val="single" w:sz="8" w:space="0" w:color="auto"/>
              <w:bottom w:val="single" w:sz="8" w:space="0" w:color="auto"/>
              <w:right w:val="single" w:sz="8" w:space="0" w:color="auto"/>
            </w:tcBorders>
          </w:tcPr>
          <w:p w14:paraId="245A6319" w14:textId="77777777" w:rsidR="001C0EAD" w:rsidRPr="006F1451" w:rsidRDefault="001C0EAD" w:rsidP="006F1451">
            <w:pPr>
              <w:pStyle w:val="Header"/>
            </w:pPr>
          </w:p>
        </w:tc>
        <w:tc>
          <w:tcPr>
            <w:tcW w:w="1471" w:type="dxa"/>
            <w:tcBorders>
              <w:top w:val="single" w:sz="8" w:space="0" w:color="auto"/>
              <w:left w:val="single" w:sz="8" w:space="0" w:color="auto"/>
              <w:bottom w:val="single" w:sz="8" w:space="0" w:color="auto"/>
              <w:right w:val="single" w:sz="8" w:space="0" w:color="auto"/>
            </w:tcBorders>
          </w:tcPr>
          <w:p w14:paraId="3A9886C8" w14:textId="77777777" w:rsidR="001C0EAD" w:rsidRPr="006F1451" w:rsidRDefault="001C0EAD" w:rsidP="006F1451">
            <w:pPr>
              <w:pStyle w:val="Header"/>
            </w:pPr>
            <w:r w:rsidRPr="006F1451">
              <w:t>Strongly disagree</w:t>
            </w:r>
          </w:p>
        </w:tc>
        <w:tc>
          <w:tcPr>
            <w:tcW w:w="1652" w:type="dxa"/>
            <w:tcBorders>
              <w:top w:val="single" w:sz="8" w:space="0" w:color="auto"/>
              <w:left w:val="single" w:sz="8" w:space="0" w:color="auto"/>
              <w:bottom w:val="single" w:sz="8" w:space="0" w:color="auto"/>
              <w:right w:val="single" w:sz="8" w:space="0" w:color="auto"/>
            </w:tcBorders>
          </w:tcPr>
          <w:p w14:paraId="08777230" w14:textId="77777777" w:rsidR="001C0EAD" w:rsidRPr="006F1451" w:rsidRDefault="001C0EAD" w:rsidP="006F1451">
            <w:pPr>
              <w:pStyle w:val="Header"/>
            </w:pPr>
            <w:r w:rsidRPr="006F1451">
              <w:t>Somewhat disagree</w:t>
            </w:r>
          </w:p>
        </w:tc>
        <w:tc>
          <w:tcPr>
            <w:tcW w:w="1652" w:type="dxa"/>
            <w:tcBorders>
              <w:top w:val="single" w:sz="8" w:space="0" w:color="auto"/>
              <w:left w:val="single" w:sz="8" w:space="0" w:color="auto"/>
              <w:bottom w:val="single" w:sz="8" w:space="0" w:color="auto"/>
              <w:right w:val="single" w:sz="8" w:space="0" w:color="auto"/>
            </w:tcBorders>
          </w:tcPr>
          <w:p w14:paraId="69645282" w14:textId="77777777" w:rsidR="001C0EAD" w:rsidRPr="006F1451" w:rsidRDefault="001C0EAD" w:rsidP="006F1451">
            <w:pPr>
              <w:pStyle w:val="Header"/>
            </w:pPr>
            <w:r w:rsidRPr="006F1451">
              <w:t>Neither agree nor disagree</w:t>
            </w:r>
          </w:p>
        </w:tc>
        <w:tc>
          <w:tcPr>
            <w:tcW w:w="1652" w:type="dxa"/>
            <w:tcBorders>
              <w:top w:val="single" w:sz="8" w:space="0" w:color="auto"/>
              <w:left w:val="single" w:sz="8" w:space="0" w:color="auto"/>
              <w:bottom w:val="single" w:sz="8" w:space="0" w:color="auto"/>
              <w:right w:val="single" w:sz="8" w:space="0" w:color="auto"/>
            </w:tcBorders>
          </w:tcPr>
          <w:p w14:paraId="48BE3279" w14:textId="77777777" w:rsidR="001C0EAD" w:rsidRPr="006F1451" w:rsidRDefault="001C0EAD" w:rsidP="006F1451">
            <w:pPr>
              <w:pStyle w:val="Header"/>
            </w:pPr>
            <w:r w:rsidRPr="006F1451">
              <w:t>Somewhat agree</w:t>
            </w:r>
          </w:p>
        </w:tc>
        <w:tc>
          <w:tcPr>
            <w:tcW w:w="1653" w:type="dxa"/>
            <w:tcBorders>
              <w:top w:val="single" w:sz="8" w:space="0" w:color="auto"/>
              <w:left w:val="single" w:sz="8" w:space="0" w:color="auto"/>
              <w:bottom w:val="single" w:sz="8" w:space="0" w:color="auto"/>
              <w:right w:val="single" w:sz="8" w:space="0" w:color="auto"/>
            </w:tcBorders>
          </w:tcPr>
          <w:p w14:paraId="43A31F5A" w14:textId="77777777" w:rsidR="001C0EAD" w:rsidRPr="006F1451" w:rsidRDefault="001C0EAD" w:rsidP="006F1451">
            <w:pPr>
              <w:pStyle w:val="Header"/>
            </w:pPr>
            <w:r w:rsidRPr="006F1451">
              <w:t>Strongly agree</w:t>
            </w:r>
          </w:p>
        </w:tc>
      </w:tr>
      <w:tr w:rsidR="001C0EAD" w:rsidRPr="001C0EAD" w14:paraId="4BB2EF68" w14:textId="77777777">
        <w:tc>
          <w:tcPr>
            <w:tcW w:w="1833" w:type="dxa"/>
            <w:tcBorders>
              <w:top w:val="single" w:sz="8" w:space="0" w:color="auto"/>
              <w:left w:val="single" w:sz="8" w:space="0" w:color="auto"/>
              <w:bottom w:val="single" w:sz="8" w:space="0" w:color="auto"/>
              <w:right w:val="single" w:sz="8" w:space="0" w:color="auto"/>
            </w:tcBorders>
          </w:tcPr>
          <w:p w14:paraId="07614374" w14:textId="77777777" w:rsidR="001C0EAD" w:rsidRPr="006F1451" w:rsidRDefault="001C0EAD" w:rsidP="006F1451">
            <w:r w:rsidRPr="006F1451">
              <w:t>I receive an appropriate level of support from ACPSEM to facilitate TEAP and complete my supervisor responsibilities</w:t>
            </w:r>
          </w:p>
        </w:tc>
        <w:tc>
          <w:tcPr>
            <w:tcW w:w="1471" w:type="dxa"/>
            <w:tcBorders>
              <w:top w:val="single" w:sz="8" w:space="0" w:color="auto"/>
              <w:left w:val="single" w:sz="8" w:space="0" w:color="auto"/>
              <w:bottom w:val="single" w:sz="8" w:space="0" w:color="auto"/>
              <w:right w:val="single" w:sz="8" w:space="0" w:color="auto"/>
            </w:tcBorders>
          </w:tcPr>
          <w:p w14:paraId="39656726"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0232E484"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757548E8"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2F7AEBE3" w14:textId="77777777" w:rsidR="001C0EAD" w:rsidRPr="006F1451" w:rsidRDefault="001C0EAD" w:rsidP="006F1451"/>
        </w:tc>
        <w:tc>
          <w:tcPr>
            <w:tcW w:w="1653" w:type="dxa"/>
            <w:tcBorders>
              <w:top w:val="single" w:sz="8" w:space="0" w:color="auto"/>
              <w:left w:val="single" w:sz="8" w:space="0" w:color="auto"/>
              <w:bottom w:val="single" w:sz="8" w:space="0" w:color="auto"/>
              <w:right w:val="single" w:sz="8" w:space="0" w:color="auto"/>
            </w:tcBorders>
          </w:tcPr>
          <w:p w14:paraId="19B83AC2" w14:textId="77777777" w:rsidR="001C0EAD" w:rsidRPr="006F1451" w:rsidRDefault="001C0EAD" w:rsidP="006F1451"/>
        </w:tc>
      </w:tr>
      <w:tr w:rsidR="001C0EAD" w:rsidRPr="001C0EAD" w14:paraId="146A9D5B" w14:textId="77777777">
        <w:tc>
          <w:tcPr>
            <w:tcW w:w="1833" w:type="dxa"/>
            <w:tcBorders>
              <w:top w:val="single" w:sz="8" w:space="0" w:color="auto"/>
              <w:left w:val="single" w:sz="8" w:space="0" w:color="auto"/>
              <w:bottom w:val="single" w:sz="8" w:space="0" w:color="auto"/>
              <w:right w:val="single" w:sz="8" w:space="0" w:color="auto"/>
            </w:tcBorders>
          </w:tcPr>
          <w:p w14:paraId="2A9734D6" w14:textId="77777777" w:rsidR="001C0EAD" w:rsidRPr="006F1451" w:rsidRDefault="001C0EAD" w:rsidP="006F1451">
            <w:r w:rsidRPr="006F1451">
              <w:t>I receive an appropriate level of support from my facility/department to facilitate TEAP and complete my supervisor responsibilities</w:t>
            </w:r>
          </w:p>
        </w:tc>
        <w:tc>
          <w:tcPr>
            <w:tcW w:w="1471" w:type="dxa"/>
            <w:tcBorders>
              <w:top w:val="single" w:sz="8" w:space="0" w:color="auto"/>
              <w:left w:val="single" w:sz="8" w:space="0" w:color="auto"/>
              <w:bottom w:val="single" w:sz="8" w:space="0" w:color="auto"/>
              <w:right w:val="single" w:sz="8" w:space="0" w:color="auto"/>
            </w:tcBorders>
          </w:tcPr>
          <w:p w14:paraId="05D2B73C"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7FCC22D4"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55611B65"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0964DF9D" w14:textId="77777777" w:rsidR="001C0EAD" w:rsidRPr="006F1451" w:rsidRDefault="001C0EAD" w:rsidP="006F1451"/>
        </w:tc>
        <w:tc>
          <w:tcPr>
            <w:tcW w:w="1653" w:type="dxa"/>
            <w:tcBorders>
              <w:top w:val="single" w:sz="8" w:space="0" w:color="auto"/>
              <w:left w:val="single" w:sz="8" w:space="0" w:color="auto"/>
              <w:bottom w:val="single" w:sz="8" w:space="0" w:color="auto"/>
              <w:right w:val="single" w:sz="8" w:space="0" w:color="auto"/>
            </w:tcBorders>
          </w:tcPr>
          <w:p w14:paraId="7DE34F6A" w14:textId="77777777" w:rsidR="001C0EAD" w:rsidRPr="006F1451" w:rsidRDefault="001C0EAD" w:rsidP="006F1451"/>
        </w:tc>
      </w:tr>
      <w:tr w:rsidR="001C0EAD" w:rsidRPr="001C0EAD" w14:paraId="4F382584" w14:textId="77777777">
        <w:tc>
          <w:tcPr>
            <w:tcW w:w="1833" w:type="dxa"/>
            <w:tcBorders>
              <w:top w:val="single" w:sz="8" w:space="0" w:color="auto"/>
              <w:left w:val="single" w:sz="8" w:space="0" w:color="auto"/>
              <w:bottom w:val="single" w:sz="8" w:space="0" w:color="auto"/>
              <w:right w:val="single" w:sz="8" w:space="0" w:color="auto"/>
            </w:tcBorders>
          </w:tcPr>
          <w:p w14:paraId="59236BAC" w14:textId="77777777" w:rsidR="001C0EAD" w:rsidRPr="006F1451" w:rsidDel="00424C11" w:rsidRDefault="001C0EAD" w:rsidP="006F1451">
            <w:r w:rsidRPr="006F1451">
              <w:t>I have capacity to provide trainees with an appropriate level of support</w:t>
            </w:r>
          </w:p>
        </w:tc>
        <w:tc>
          <w:tcPr>
            <w:tcW w:w="1471" w:type="dxa"/>
            <w:tcBorders>
              <w:top w:val="single" w:sz="8" w:space="0" w:color="auto"/>
              <w:left w:val="single" w:sz="8" w:space="0" w:color="auto"/>
              <w:bottom w:val="single" w:sz="8" w:space="0" w:color="auto"/>
              <w:right w:val="single" w:sz="8" w:space="0" w:color="auto"/>
            </w:tcBorders>
          </w:tcPr>
          <w:p w14:paraId="3EE6877E"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2CE8B6BB"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76B6E21F"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610DB652" w14:textId="77777777" w:rsidR="001C0EAD" w:rsidRPr="006F1451" w:rsidRDefault="001C0EAD" w:rsidP="006F1451"/>
        </w:tc>
        <w:tc>
          <w:tcPr>
            <w:tcW w:w="1653" w:type="dxa"/>
            <w:tcBorders>
              <w:top w:val="single" w:sz="8" w:space="0" w:color="auto"/>
              <w:left w:val="single" w:sz="8" w:space="0" w:color="auto"/>
              <w:bottom w:val="single" w:sz="8" w:space="0" w:color="auto"/>
              <w:right w:val="single" w:sz="8" w:space="0" w:color="auto"/>
            </w:tcBorders>
          </w:tcPr>
          <w:p w14:paraId="661859C1" w14:textId="77777777" w:rsidR="001C0EAD" w:rsidRPr="006F1451" w:rsidRDefault="001C0EAD" w:rsidP="006F1451"/>
        </w:tc>
      </w:tr>
      <w:tr w:rsidR="001C0EAD" w:rsidRPr="001C0EAD" w14:paraId="0F7DED95" w14:textId="77777777">
        <w:tc>
          <w:tcPr>
            <w:tcW w:w="1833" w:type="dxa"/>
            <w:tcBorders>
              <w:top w:val="single" w:sz="8" w:space="0" w:color="auto"/>
              <w:left w:val="single" w:sz="8" w:space="0" w:color="auto"/>
              <w:bottom w:val="single" w:sz="8" w:space="0" w:color="auto"/>
              <w:right w:val="single" w:sz="8" w:space="0" w:color="auto"/>
            </w:tcBorders>
          </w:tcPr>
          <w:p w14:paraId="38042214" w14:textId="77777777" w:rsidR="001C0EAD" w:rsidRPr="006F1451" w:rsidRDefault="001C0EAD" w:rsidP="006F1451">
            <w:r w:rsidRPr="006F1451">
              <w:t xml:space="preserve">Administration and reporting requirements for TEAP are clear </w:t>
            </w:r>
          </w:p>
        </w:tc>
        <w:tc>
          <w:tcPr>
            <w:tcW w:w="1471" w:type="dxa"/>
            <w:tcBorders>
              <w:top w:val="single" w:sz="8" w:space="0" w:color="auto"/>
              <w:left w:val="single" w:sz="8" w:space="0" w:color="auto"/>
              <w:bottom w:val="single" w:sz="8" w:space="0" w:color="auto"/>
              <w:right w:val="single" w:sz="8" w:space="0" w:color="auto"/>
            </w:tcBorders>
          </w:tcPr>
          <w:p w14:paraId="119C2D0A" w14:textId="77777777" w:rsidR="001C0EAD" w:rsidRPr="006F1451" w:rsidRDefault="001C0EAD"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2F788EF5" w14:textId="77777777" w:rsidR="001C0EAD" w:rsidRPr="006F1451" w:rsidRDefault="001C0EAD"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3F111AEE" w14:textId="77777777" w:rsidR="001C0EAD" w:rsidRPr="006F1451" w:rsidRDefault="001C0EAD"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0E42F2B5" w14:textId="77777777" w:rsidR="001C0EAD" w:rsidRPr="006F1451" w:rsidRDefault="001C0EAD"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3965BFDA" w14:textId="77777777" w:rsidR="001C0EAD" w:rsidRPr="006F1451" w:rsidRDefault="001C0EAD" w:rsidP="006F1451"/>
        </w:tc>
      </w:tr>
      <w:tr w:rsidR="001C0EAD" w:rsidRPr="001C0EAD" w14:paraId="2887D0D3" w14:textId="77777777">
        <w:tc>
          <w:tcPr>
            <w:tcW w:w="1833" w:type="dxa"/>
            <w:tcBorders>
              <w:top w:val="single" w:sz="8" w:space="0" w:color="auto"/>
              <w:left w:val="single" w:sz="8" w:space="0" w:color="auto"/>
              <w:bottom w:val="single" w:sz="8" w:space="0" w:color="auto"/>
              <w:right w:val="single" w:sz="8" w:space="0" w:color="auto"/>
            </w:tcBorders>
          </w:tcPr>
          <w:p w14:paraId="6D10295E" w14:textId="77777777" w:rsidR="001C0EAD" w:rsidRPr="006F1451" w:rsidRDefault="001C0EAD" w:rsidP="006F1451">
            <w:r w:rsidRPr="006F1451">
              <w:t>Administration and reporting requirements for TEAP are user-friendly and efficient.</w:t>
            </w:r>
          </w:p>
        </w:tc>
        <w:tc>
          <w:tcPr>
            <w:tcW w:w="1471" w:type="dxa"/>
            <w:tcBorders>
              <w:top w:val="single" w:sz="8" w:space="0" w:color="auto"/>
              <w:left w:val="single" w:sz="8" w:space="0" w:color="auto"/>
              <w:bottom w:val="single" w:sz="8" w:space="0" w:color="auto"/>
              <w:right w:val="single" w:sz="8" w:space="0" w:color="auto"/>
            </w:tcBorders>
          </w:tcPr>
          <w:p w14:paraId="200FFCDA"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2063FADC"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369B7E39"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0646224F" w14:textId="77777777" w:rsidR="001C0EAD" w:rsidRPr="006F1451" w:rsidRDefault="001C0EAD" w:rsidP="006F1451"/>
        </w:tc>
        <w:tc>
          <w:tcPr>
            <w:tcW w:w="1653" w:type="dxa"/>
            <w:tcBorders>
              <w:top w:val="single" w:sz="8" w:space="0" w:color="auto"/>
              <w:left w:val="single" w:sz="8" w:space="0" w:color="auto"/>
              <w:bottom w:val="single" w:sz="8" w:space="0" w:color="auto"/>
              <w:right w:val="single" w:sz="8" w:space="0" w:color="auto"/>
            </w:tcBorders>
          </w:tcPr>
          <w:p w14:paraId="4B9EDCC2" w14:textId="77777777" w:rsidR="001C0EAD" w:rsidRPr="006F1451" w:rsidRDefault="001C0EAD" w:rsidP="006F1451"/>
        </w:tc>
      </w:tr>
    </w:tbl>
    <w:p w14:paraId="591ED467" w14:textId="77777777" w:rsidR="001C0EAD" w:rsidRPr="001C0EAD" w:rsidRDefault="001C0EAD" w:rsidP="001C0EAD">
      <w:pPr>
        <w:pStyle w:val="BodyText"/>
        <w:rPr>
          <w:lang w:val="en-US"/>
        </w:rPr>
      </w:pPr>
      <w:r w:rsidRPr="001C0EAD">
        <w:rPr>
          <w:lang w:val="en-US"/>
        </w:rPr>
        <w:t>-------------------------------------------------------------------</w:t>
      </w:r>
    </w:p>
    <w:p w14:paraId="0EC768FC" w14:textId="35F3C44B" w:rsidR="001C0EAD" w:rsidRPr="001C0EAD" w:rsidRDefault="001C0EAD" w:rsidP="006F1451">
      <w:pPr>
        <w:pStyle w:val="ListNumber"/>
        <w:rPr>
          <w:lang w:val="en-US"/>
        </w:rPr>
      </w:pPr>
      <w:r w:rsidRPr="001C0EAD">
        <w:rPr>
          <w:lang w:val="en-US"/>
        </w:rPr>
        <w:t xml:space="preserve">Have you experienced any challenges with completing your responsibilities as a supervisor and providing trainees with an appropriate level of support? If so, please provide details. </w:t>
      </w:r>
      <w:r w:rsidR="00E306E9">
        <w:rPr>
          <w:i/>
          <w:iCs/>
          <w:lang w:val="en-US"/>
        </w:rPr>
        <w:t>Free text</w:t>
      </w:r>
    </w:p>
    <w:p w14:paraId="13133ECD" w14:textId="77777777" w:rsidR="001C0EAD" w:rsidRPr="001C0EAD" w:rsidRDefault="001C0EAD" w:rsidP="006F1451">
      <w:pPr>
        <w:rPr>
          <w:lang w:val="en-US"/>
        </w:rPr>
      </w:pPr>
      <w:r w:rsidRPr="001C0EAD">
        <w:rPr>
          <w:lang w:val="en-US"/>
        </w:rPr>
        <w:t>-------------------------------------------------------------------</w:t>
      </w:r>
    </w:p>
    <w:p w14:paraId="645CFB3D" w14:textId="1689FA36" w:rsidR="001C0EAD" w:rsidRPr="001C0EAD" w:rsidRDefault="001C0EAD" w:rsidP="006F1451">
      <w:pPr>
        <w:pStyle w:val="ListNumber"/>
        <w:rPr>
          <w:lang w:val="en-US"/>
        </w:rPr>
      </w:pPr>
      <w:r w:rsidRPr="001C0EAD">
        <w:rPr>
          <w:lang w:val="en-US"/>
        </w:rPr>
        <w:t xml:space="preserve">Are there any administrative process improvements you would like to see in TEAP? If yes, please provide details. </w:t>
      </w:r>
      <w:r w:rsidR="00E306E9">
        <w:rPr>
          <w:i/>
          <w:iCs/>
          <w:lang w:val="en-US"/>
        </w:rPr>
        <w:t>Free text</w:t>
      </w:r>
    </w:p>
    <w:p w14:paraId="5E1F38E9" w14:textId="77777777" w:rsidR="001C0EAD" w:rsidRPr="001C0EAD" w:rsidRDefault="001C0EAD" w:rsidP="001C0EAD">
      <w:pPr>
        <w:pStyle w:val="BodyText"/>
        <w:rPr>
          <w:lang w:val="en-US"/>
        </w:rPr>
      </w:pPr>
      <w:r w:rsidRPr="001C0EAD">
        <w:rPr>
          <w:lang w:val="en-US"/>
        </w:rPr>
        <w:t>-------------------------------------------------------------------</w:t>
      </w:r>
    </w:p>
    <w:p w14:paraId="2CCE3955" w14:textId="77777777" w:rsidR="00D03CDF" w:rsidRDefault="00D03CDF">
      <w:pPr>
        <w:spacing w:before="0" w:after="160" w:line="259" w:lineRule="auto"/>
        <w:rPr>
          <w:lang w:val="en-US"/>
        </w:rPr>
      </w:pPr>
      <w:r>
        <w:rPr>
          <w:lang w:val="en-US"/>
        </w:rPr>
        <w:br w:type="page"/>
      </w:r>
    </w:p>
    <w:p w14:paraId="5143A67D" w14:textId="376A95B7" w:rsidR="001C0EAD" w:rsidRPr="001C0EAD" w:rsidRDefault="001C0EAD" w:rsidP="006F1451">
      <w:pPr>
        <w:pStyle w:val="ListNumber"/>
        <w:rPr>
          <w:lang w:val="en-US"/>
        </w:rPr>
      </w:pPr>
      <w:r w:rsidRPr="001C0EAD">
        <w:rPr>
          <w:lang w:val="en-US"/>
        </w:rPr>
        <w:t xml:space="preserve">To what extent do you agree with the following statements about TEAP? </w:t>
      </w:r>
      <w:r w:rsidR="001F088E" w:rsidRPr="001F088E">
        <w:rPr>
          <w:i/>
          <w:iCs/>
          <w:lang w:val="en-US"/>
        </w:rPr>
        <w:t>G</w:t>
      </w:r>
      <w:r w:rsidRPr="001C0EAD">
        <w:rPr>
          <w:i/>
          <w:iCs/>
          <w:lang w:val="en-US"/>
        </w:rPr>
        <w:t>rid</w:t>
      </w:r>
    </w:p>
    <w:tbl>
      <w:tblPr>
        <w:tblStyle w:val="TableGrid"/>
        <w:tblW w:w="9913" w:type="dxa"/>
        <w:tblLayout w:type="fixed"/>
        <w:tblLook w:val="06A0" w:firstRow="1" w:lastRow="0" w:firstColumn="1" w:lastColumn="0" w:noHBand="1" w:noVBand="1"/>
      </w:tblPr>
      <w:tblGrid>
        <w:gridCol w:w="1652"/>
        <w:gridCol w:w="1652"/>
        <w:gridCol w:w="1652"/>
        <w:gridCol w:w="1652"/>
        <w:gridCol w:w="1652"/>
        <w:gridCol w:w="1653"/>
      </w:tblGrid>
      <w:tr w:rsidR="001C0EAD" w:rsidRPr="001C0EAD" w14:paraId="1A934D45" w14:textId="77777777" w:rsidTr="006F1451">
        <w:trPr>
          <w:cnfStyle w:val="100000000000" w:firstRow="1" w:lastRow="0" w:firstColumn="0" w:lastColumn="0" w:oddVBand="0" w:evenVBand="0" w:oddHBand="0" w:evenHBand="0" w:firstRowFirstColumn="0" w:firstRowLastColumn="0" w:lastRowFirstColumn="0" w:lastRowLastColumn="0"/>
          <w:tblHeader/>
        </w:trPr>
        <w:tc>
          <w:tcPr>
            <w:tcW w:w="1652" w:type="dxa"/>
            <w:tcBorders>
              <w:top w:val="single" w:sz="8" w:space="0" w:color="auto"/>
              <w:left w:val="single" w:sz="8" w:space="0" w:color="auto"/>
              <w:bottom w:val="single" w:sz="8" w:space="0" w:color="auto"/>
              <w:right w:val="single" w:sz="8" w:space="0" w:color="auto"/>
            </w:tcBorders>
          </w:tcPr>
          <w:p w14:paraId="2B56ECD7" w14:textId="77777777" w:rsidR="001C0EAD" w:rsidRPr="006F1451" w:rsidRDefault="001C0EAD" w:rsidP="006F1451">
            <w:pPr>
              <w:pStyle w:val="Header"/>
            </w:pPr>
          </w:p>
        </w:tc>
        <w:tc>
          <w:tcPr>
            <w:tcW w:w="1652" w:type="dxa"/>
            <w:tcBorders>
              <w:top w:val="single" w:sz="8" w:space="0" w:color="auto"/>
              <w:left w:val="single" w:sz="8" w:space="0" w:color="auto"/>
              <w:bottom w:val="single" w:sz="8" w:space="0" w:color="auto"/>
              <w:right w:val="single" w:sz="8" w:space="0" w:color="auto"/>
            </w:tcBorders>
          </w:tcPr>
          <w:p w14:paraId="40C8CF5E" w14:textId="77777777" w:rsidR="001C0EAD" w:rsidRPr="006F1451" w:rsidRDefault="001C0EAD" w:rsidP="006F1451">
            <w:pPr>
              <w:pStyle w:val="Header"/>
            </w:pPr>
            <w:r w:rsidRPr="006F1451">
              <w:t>Strongly disagree</w:t>
            </w:r>
          </w:p>
        </w:tc>
        <w:tc>
          <w:tcPr>
            <w:tcW w:w="1652" w:type="dxa"/>
            <w:tcBorders>
              <w:top w:val="single" w:sz="8" w:space="0" w:color="auto"/>
              <w:left w:val="single" w:sz="8" w:space="0" w:color="auto"/>
              <w:bottom w:val="single" w:sz="8" w:space="0" w:color="auto"/>
              <w:right w:val="single" w:sz="8" w:space="0" w:color="auto"/>
            </w:tcBorders>
          </w:tcPr>
          <w:p w14:paraId="72C82C20" w14:textId="77777777" w:rsidR="001C0EAD" w:rsidRPr="006F1451" w:rsidRDefault="001C0EAD" w:rsidP="006F1451">
            <w:pPr>
              <w:pStyle w:val="Header"/>
            </w:pPr>
            <w:r w:rsidRPr="006F1451">
              <w:t>Somewhat disagree</w:t>
            </w:r>
          </w:p>
        </w:tc>
        <w:tc>
          <w:tcPr>
            <w:tcW w:w="1652" w:type="dxa"/>
            <w:tcBorders>
              <w:top w:val="single" w:sz="8" w:space="0" w:color="auto"/>
              <w:left w:val="single" w:sz="8" w:space="0" w:color="auto"/>
              <w:bottom w:val="single" w:sz="8" w:space="0" w:color="auto"/>
              <w:right w:val="single" w:sz="8" w:space="0" w:color="auto"/>
            </w:tcBorders>
          </w:tcPr>
          <w:p w14:paraId="0451C5CF" w14:textId="77777777" w:rsidR="001C0EAD" w:rsidRPr="006F1451" w:rsidRDefault="001C0EAD" w:rsidP="006F1451">
            <w:pPr>
              <w:pStyle w:val="Header"/>
            </w:pPr>
            <w:r w:rsidRPr="006F1451">
              <w:t>Neither agree nor disagree</w:t>
            </w:r>
          </w:p>
        </w:tc>
        <w:tc>
          <w:tcPr>
            <w:tcW w:w="1652" w:type="dxa"/>
            <w:tcBorders>
              <w:top w:val="single" w:sz="8" w:space="0" w:color="auto"/>
              <w:left w:val="single" w:sz="8" w:space="0" w:color="auto"/>
              <w:bottom w:val="single" w:sz="8" w:space="0" w:color="auto"/>
              <w:right w:val="single" w:sz="8" w:space="0" w:color="auto"/>
            </w:tcBorders>
          </w:tcPr>
          <w:p w14:paraId="501E452E" w14:textId="77777777" w:rsidR="001C0EAD" w:rsidRPr="006F1451" w:rsidRDefault="001C0EAD" w:rsidP="006F1451">
            <w:pPr>
              <w:pStyle w:val="Header"/>
            </w:pPr>
            <w:r w:rsidRPr="006F1451">
              <w:t>Somewhat agree</w:t>
            </w:r>
          </w:p>
        </w:tc>
        <w:tc>
          <w:tcPr>
            <w:tcW w:w="1653" w:type="dxa"/>
            <w:tcBorders>
              <w:top w:val="single" w:sz="8" w:space="0" w:color="auto"/>
              <w:left w:val="single" w:sz="8" w:space="0" w:color="auto"/>
              <w:bottom w:val="single" w:sz="8" w:space="0" w:color="auto"/>
              <w:right w:val="single" w:sz="8" w:space="0" w:color="auto"/>
            </w:tcBorders>
          </w:tcPr>
          <w:p w14:paraId="3450CB48" w14:textId="77777777" w:rsidR="001C0EAD" w:rsidRPr="006F1451" w:rsidRDefault="001C0EAD" w:rsidP="006F1451">
            <w:pPr>
              <w:pStyle w:val="Header"/>
            </w:pPr>
            <w:r w:rsidRPr="006F1451">
              <w:t>Strongly agree</w:t>
            </w:r>
          </w:p>
        </w:tc>
      </w:tr>
      <w:tr w:rsidR="001C0EAD" w:rsidRPr="006F1451" w14:paraId="58EABA07" w14:textId="77777777">
        <w:tc>
          <w:tcPr>
            <w:tcW w:w="1652" w:type="dxa"/>
            <w:tcBorders>
              <w:top w:val="single" w:sz="8" w:space="0" w:color="auto"/>
              <w:left w:val="single" w:sz="8" w:space="0" w:color="auto"/>
              <w:bottom w:val="single" w:sz="8" w:space="0" w:color="auto"/>
              <w:right w:val="single" w:sz="8" w:space="0" w:color="auto"/>
            </w:tcBorders>
          </w:tcPr>
          <w:p w14:paraId="200807D1" w14:textId="77777777" w:rsidR="001C0EAD" w:rsidRPr="006F1451" w:rsidRDefault="001C0EAD" w:rsidP="006F1451">
            <w:r w:rsidRPr="006F1451">
              <w:t>The program is positively impacting the quality of services provided by professionals in your discipline in your region/facility</w:t>
            </w:r>
          </w:p>
        </w:tc>
        <w:tc>
          <w:tcPr>
            <w:tcW w:w="1652" w:type="dxa"/>
            <w:tcBorders>
              <w:top w:val="single" w:sz="8" w:space="0" w:color="auto"/>
              <w:left w:val="single" w:sz="8" w:space="0" w:color="auto"/>
              <w:bottom w:val="single" w:sz="8" w:space="0" w:color="auto"/>
              <w:right w:val="single" w:sz="8" w:space="0" w:color="auto"/>
            </w:tcBorders>
          </w:tcPr>
          <w:p w14:paraId="6F2095CB" w14:textId="77777777" w:rsidR="001C0EAD" w:rsidRPr="006F1451" w:rsidRDefault="001C0EAD"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501F87C7" w14:textId="77777777" w:rsidR="001C0EAD" w:rsidRPr="006F1451" w:rsidRDefault="001C0EAD"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64A8C105" w14:textId="77777777" w:rsidR="001C0EAD" w:rsidRPr="006F1451" w:rsidRDefault="001C0EAD"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3901D3F4" w14:textId="77777777" w:rsidR="001C0EAD" w:rsidRPr="006F1451" w:rsidRDefault="001C0EAD"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162D0A24" w14:textId="77777777" w:rsidR="001C0EAD" w:rsidRPr="006F1451" w:rsidRDefault="001C0EAD" w:rsidP="006F1451"/>
        </w:tc>
      </w:tr>
      <w:tr w:rsidR="001C0EAD" w:rsidRPr="006F1451" w14:paraId="0C5592BF" w14:textId="77777777">
        <w:tc>
          <w:tcPr>
            <w:tcW w:w="1652" w:type="dxa"/>
            <w:tcBorders>
              <w:top w:val="single" w:sz="8" w:space="0" w:color="auto"/>
              <w:left w:val="single" w:sz="8" w:space="0" w:color="auto"/>
              <w:bottom w:val="single" w:sz="8" w:space="0" w:color="auto"/>
              <w:right w:val="single" w:sz="8" w:space="0" w:color="auto"/>
            </w:tcBorders>
          </w:tcPr>
          <w:p w14:paraId="3FEF8C2A" w14:textId="77777777" w:rsidR="001C0EAD" w:rsidRPr="006F1451" w:rsidRDefault="001C0EAD" w:rsidP="006F1451">
            <w:r w:rsidRPr="006F1451">
              <w:t>The program is positively impacting the number of certified professionals in your discipline in your region/facility</w:t>
            </w:r>
          </w:p>
        </w:tc>
        <w:tc>
          <w:tcPr>
            <w:tcW w:w="1652" w:type="dxa"/>
            <w:tcBorders>
              <w:top w:val="single" w:sz="8" w:space="0" w:color="auto"/>
              <w:left w:val="single" w:sz="8" w:space="0" w:color="auto"/>
              <w:bottom w:val="single" w:sz="8" w:space="0" w:color="auto"/>
              <w:right w:val="single" w:sz="8" w:space="0" w:color="auto"/>
            </w:tcBorders>
          </w:tcPr>
          <w:p w14:paraId="63E0F721" w14:textId="77777777" w:rsidR="001C0EAD" w:rsidRPr="006F1451" w:rsidRDefault="001C0EAD"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48759EF4" w14:textId="77777777" w:rsidR="001C0EAD" w:rsidRPr="006F1451" w:rsidRDefault="001C0EAD"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635FDB0B" w14:textId="77777777" w:rsidR="001C0EAD" w:rsidRPr="006F1451" w:rsidRDefault="001C0EAD"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6F631E1E" w14:textId="77777777" w:rsidR="001C0EAD" w:rsidRPr="006F1451" w:rsidRDefault="001C0EAD"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48875F08" w14:textId="77777777" w:rsidR="001C0EAD" w:rsidRPr="006F1451" w:rsidRDefault="001C0EAD" w:rsidP="006F1451"/>
        </w:tc>
      </w:tr>
      <w:tr w:rsidR="001C0EAD" w:rsidRPr="006F1451" w14:paraId="7543EDFF" w14:textId="77777777">
        <w:tc>
          <w:tcPr>
            <w:tcW w:w="1652" w:type="dxa"/>
            <w:tcBorders>
              <w:top w:val="single" w:sz="8" w:space="0" w:color="auto"/>
              <w:left w:val="single" w:sz="8" w:space="0" w:color="auto"/>
              <w:bottom w:val="single" w:sz="8" w:space="0" w:color="auto"/>
              <w:right w:val="single" w:sz="8" w:space="0" w:color="auto"/>
            </w:tcBorders>
          </w:tcPr>
          <w:p w14:paraId="49EB5EE3" w14:textId="77777777" w:rsidR="001C0EAD" w:rsidRPr="006F1451" w:rsidRDefault="001C0EAD" w:rsidP="006F1451">
            <w:r w:rsidRPr="006F1451">
              <w:t>The program is positively impacting the distribution of the medical physicist workforce and radiopharmaceutical scientists, particularly in regional, rural or remote communities</w:t>
            </w:r>
          </w:p>
        </w:tc>
        <w:tc>
          <w:tcPr>
            <w:tcW w:w="1652" w:type="dxa"/>
            <w:tcBorders>
              <w:top w:val="single" w:sz="8" w:space="0" w:color="auto"/>
              <w:left w:val="single" w:sz="8" w:space="0" w:color="auto"/>
              <w:bottom w:val="single" w:sz="8" w:space="0" w:color="auto"/>
              <w:right w:val="single" w:sz="8" w:space="0" w:color="auto"/>
            </w:tcBorders>
          </w:tcPr>
          <w:p w14:paraId="65A3F877"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5E7FCA71"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67862964" w14:textId="77777777" w:rsidR="001C0EAD" w:rsidRPr="006F1451" w:rsidRDefault="001C0EAD" w:rsidP="006F1451"/>
        </w:tc>
        <w:tc>
          <w:tcPr>
            <w:tcW w:w="1652" w:type="dxa"/>
            <w:tcBorders>
              <w:top w:val="single" w:sz="8" w:space="0" w:color="auto"/>
              <w:left w:val="single" w:sz="8" w:space="0" w:color="auto"/>
              <w:bottom w:val="single" w:sz="8" w:space="0" w:color="auto"/>
              <w:right w:val="single" w:sz="8" w:space="0" w:color="auto"/>
            </w:tcBorders>
          </w:tcPr>
          <w:p w14:paraId="20EEC117" w14:textId="77777777" w:rsidR="001C0EAD" w:rsidRPr="006F1451" w:rsidRDefault="001C0EAD" w:rsidP="006F1451"/>
        </w:tc>
        <w:tc>
          <w:tcPr>
            <w:tcW w:w="1653" w:type="dxa"/>
            <w:tcBorders>
              <w:top w:val="single" w:sz="8" w:space="0" w:color="auto"/>
              <w:left w:val="single" w:sz="8" w:space="0" w:color="auto"/>
              <w:bottom w:val="single" w:sz="8" w:space="0" w:color="auto"/>
              <w:right w:val="single" w:sz="8" w:space="0" w:color="auto"/>
            </w:tcBorders>
          </w:tcPr>
          <w:p w14:paraId="02724815" w14:textId="77777777" w:rsidR="001C0EAD" w:rsidRPr="006F1451" w:rsidRDefault="001C0EAD" w:rsidP="006F1451"/>
        </w:tc>
      </w:tr>
    </w:tbl>
    <w:p w14:paraId="1F0BF6F6" w14:textId="77777777" w:rsidR="001C0EAD" w:rsidRPr="001C0EAD" w:rsidRDefault="001C0EAD" w:rsidP="001C0EAD">
      <w:pPr>
        <w:pStyle w:val="BodyText"/>
        <w:rPr>
          <w:lang w:val="en-US"/>
        </w:rPr>
      </w:pPr>
      <w:r w:rsidRPr="001C0EAD">
        <w:rPr>
          <w:lang w:val="en-US"/>
        </w:rPr>
        <w:t>-------------------------------------------------------------------</w:t>
      </w:r>
    </w:p>
    <w:p w14:paraId="290DEDB9" w14:textId="1D59D6E3" w:rsidR="001C0EAD" w:rsidRPr="001C0EAD" w:rsidRDefault="001C0EAD" w:rsidP="006F1451">
      <w:pPr>
        <w:pStyle w:val="ListNumber"/>
        <w:rPr>
          <w:lang w:val="en-US"/>
        </w:rPr>
      </w:pPr>
      <w:r w:rsidRPr="001C0EAD">
        <w:rPr>
          <w:lang w:val="en-US"/>
        </w:rPr>
        <w:t xml:space="preserve">What do you see as the key benefits of TEAP? </w:t>
      </w:r>
      <w:r w:rsidR="00E306E9">
        <w:rPr>
          <w:i/>
          <w:iCs/>
          <w:lang w:val="en-US"/>
        </w:rPr>
        <w:t>Free text</w:t>
      </w:r>
    </w:p>
    <w:p w14:paraId="16658815" w14:textId="0EFE5231" w:rsidR="001C0EAD" w:rsidRPr="001C0EAD" w:rsidRDefault="001C0EAD" w:rsidP="001C0EAD">
      <w:pPr>
        <w:pStyle w:val="BodyText"/>
        <w:rPr>
          <w:lang w:val="en-US"/>
        </w:rPr>
      </w:pPr>
      <w:r w:rsidRPr="001C0EAD">
        <w:rPr>
          <w:lang w:val="en-US"/>
        </w:rPr>
        <w:t xml:space="preserve">Benefits may </w:t>
      </w:r>
      <w:proofErr w:type="spellStart"/>
      <w:r w:rsidRPr="001C0EAD">
        <w:rPr>
          <w:lang w:val="en-US"/>
        </w:rPr>
        <w:t>relat</w:t>
      </w:r>
      <w:proofErr w:type="spellEnd"/>
      <w:r w:rsidRPr="006F1451">
        <w:t>e to supervisors, trainees, the medical physicist and radiopharmaceutical scientist workforce, patients, and the h</w:t>
      </w:r>
      <w:proofErr w:type="spellStart"/>
      <w:r w:rsidRPr="001C0EAD">
        <w:rPr>
          <w:lang w:val="en-US"/>
        </w:rPr>
        <w:t>ealth</w:t>
      </w:r>
      <w:proofErr w:type="spellEnd"/>
      <w:r w:rsidRPr="001C0EAD">
        <w:rPr>
          <w:lang w:val="en-US"/>
        </w:rPr>
        <w:t xml:space="preserve"> system more broadly. </w:t>
      </w:r>
    </w:p>
    <w:p w14:paraId="5022581B" w14:textId="77777777" w:rsidR="001C0EAD" w:rsidRPr="001C0EAD" w:rsidRDefault="001C0EAD" w:rsidP="001C0EAD">
      <w:pPr>
        <w:pStyle w:val="BodyText"/>
        <w:rPr>
          <w:lang w:val="en-US"/>
        </w:rPr>
      </w:pPr>
      <w:r w:rsidRPr="001C0EAD">
        <w:rPr>
          <w:lang w:val="en-US"/>
        </w:rPr>
        <w:t>-------------------------------------------------------------------</w:t>
      </w:r>
    </w:p>
    <w:p w14:paraId="509AF2C7" w14:textId="72369797" w:rsidR="001C0EAD" w:rsidRPr="001C0EAD" w:rsidRDefault="001C0EAD" w:rsidP="006F1451">
      <w:pPr>
        <w:pStyle w:val="ListNumber"/>
        <w:rPr>
          <w:lang w:val="en-US"/>
        </w:rPr>
      </w:pPr>
      <w:r w:rsidRPr="001C0EAD">
        <w:rPr>
          <w:lang w:val="en-US"/>
        </w:rPr>
        <w:t xml:space="preserve">Do you have any suggested improvements to the design, delivery, and/or funding arrangements of the program to best meet the training needs of medical physicists and radiopharmaceutical scientists? </w:t>
      </w:r>
      <w:r w:rsidR="00E306E9">
        <w:rPr>
          <w:i/>
          <w:iCs/>
          <w:lang w:val="en-US"/>
        </w:rPr>
        <w:t>Free text</w:t>
      </w:r>
    </w:p>
    <w:p w14:paraId="63609681" w14:textId="77777777" w:rsidR="001C0EAD" w:rsidRPr="001C0EAD" w:rsidRDefault="001C0EAD" w:rsidP="001C0EAD">
      <w:pPr>
        <w:pStyle w:val="BodyText"/>
        <w:rPr>
          <w:lang w:val="en-US"/>
        </w:rPr>
      </w:pPr>
      <w:r w:rsidRPr="001C0EAD">
        <w:rPr>
          <w:lang w:val="en-US"/>
        </w:rPr>
        <w:t xml:space="preserve">Suggestions may </w:t>
      </w:r>
      <w:proofErr w:type="spellStart"/>
      <w:r w:rsidRPr="001C0EAD">
        <w:rPr>
          <w:lang w:val="en-US"/>
        </w:rPr>
        <w:t>relat</w:t>
      </w:r>
      <w:proofErr w:type="spellEnd"/>
      <w:r w:rsidRPr="006F1451">
        <w:t>e to (but are not limited to) any gaps in knowledge or skills covered by the program, suggested changes to fundi</w:t>
      </w:r>
      <w:r w:rsidRPr="001C0EAD">
        <w:rPr>
          <w:lang w:val="en-US"/>
        </w:rPr>
        <w:t>ng, and/or any additional supports for trainees or supervisors.</w:t>
      </w:r>
    </w:p>
    <w:p w14:paraId="0B7AC761" w14:textId="77777777" w:rsidR="001C0EAD" w:rsidRPr="001C0EAD" w:rsidRDefault="001C0EAD" w:rsidP="001C0EAD">
      <w:pPr>
        <w:pStyle w:val="BodyText"/>
        <w:rPr>
          <w:lang w:val="en-US"/>
        </w:rPr>
      </w:pPr>
      <w:r w:rsidRPr="001C0EAD">
        <w:rPr>
          <w:lang w:val="en-US"/>
        </w:rPr>
        <w:t>-------------------------------------------------------------------</w:t>
      </w:r>
    </w:p>
    <w:p w14:paraId="6EDC5B00" w14:textId="2FBFFCC3" w:rsidR="00BB3AA0" w:rsidRDefault="001C0EAD" w:rsidP="006F1451">
      <w:pPr>
        <w:pStyle w:val="ListNumber"/>
        <w:rPr>
          <w:i/>
          <w:iCs/>
          <w:lang w:val="en-US"/>
        </w:rPr>
      </w:pPr>
      <w:r w:rsidRPr="001C0EAD">
        <w:rPr>
          <w:lang w:val="en-US"/>
        </w:rPr>
        <w:t xml:space="preserve">Any other comments? </w:t>
      </w:r>
      <w:r w:rsidR="00E306E9">
        <w:rPr>
          <w:i/>
          <w:iCs/>
          <w:lang w:val="en-US"/>
        </w:rPr>
        <w:t>Free text</w:t>
      </w:r>
    </w:p>
    <w:p w14:paraId="735091DD" w14:textId="77777777" w:rsidR="00BB3AA0" w:rsidRDefault="00BB3AA0">
      <w:pPr>
        <w:spacing w:before="0" w:after="160" w:line="259" w:lineRule="auto"/>
        <w:rPr>
          <w:i/>
          <w:iCs/>
          <w:lang w:val="en-US"/>
        </w:rPr>
      </w:pPr>
      <w:r>
        <w:rPr>
          <w:i/>
          <w:iCs/>
          <w:lang w:val="en-US"/>
        </w:rPr>
        <w:br w:type="page"/>
      </w:r>
    </w:p>
    <w:p w14:paraId="2EA9A353" w14:textId="182F30EE" w:rsidR="001C0EAD" w:rsidRDefault="001C0EAD" w:rsidP="00273E1A">
      <w:pPr>
        <w:pStyle w:val="Heading2"/>
      </w:pPr>
      <w:bookmarkStart w:id="332" w:name="_Toc184396593"/>
      <w:bookmarkStart w:id="333" w:name="_Toc216711627"/>
      <w:bookmarkStart w:id="334" w:name="_Toc216792021"/>
      <w:r>
        <w:t>Registrar survey question set</w:t>
      </w:r>
      <w:bookmarkEnd w:id="332"/>
      <w:bookmarkEnd w:id="333"/>
      <w:bookmarkEnd w:id="334"/>
    </w:p>
    <w:p w14:paraId="7AF3C434" w14:textId="4AC8F967" w:rsidR="00A900A5" w:rsidRPr="006F1451" w:rsidRDefault="00A900A5" w:rsidP="00584EC6">
      <w:pPr>
        <w:pStyle w:val="ListNumber"/>
        <w:numPr>
          <w:ilvl w:val="0"/>
          <w:numId w:val="98"/>
        </w:numPr>
        <w:rPr>
          <w:lang w:val="en-US"/>
        </w:rPr>
      </w:pPr>
      <w:r w:rsidRPr="006F1451">
        <w:rPr>
          <w:lang w:val="en-US"/>
        </w:rPr>
        <w:t xml:space="preserve">How old are you? </w:t>
      </w:r>
      <w:r w:rsidR="00D35D40" w:rsidRPr="006F1451">
        <w:rPr>
          <w:i/>
          <w:iCs/>
          <w:lang w:val="en-US"/>
        </w:rPr>
        <w:t>Select 1 option</w:t>
      </w:r>
    </w:p>
    <w:p w14:paraId="74BAE8C3" w14:textId="77777777" w:rsidR="00A900A5" w:rsidRPr="006F1451" w:rsidRDefault="00A900A5" w:rsidP="006F1451">
      <w:pPr>
        <w:pStyle w:val="ListBullet"/>
      </w:pPr>
      <w:r w:rsidRPr="00A900A5">
        <w:rPr>
          <w:lang w:val="en-US"/>
        </w:rPr>
        <w:t>Under 25 y</w:t>
      </w:r>
      <w:r w:rsidRPr="006F1451">
        <w:t>ears old</w:t>
      </w:r>
    </w:p>
    <w:p w14:paraId="41807401" w14:textId="77777777" w:rsidR="00A900A5" w:rsidRPr="006F1451" w:rsidRDefault="00A900A5" w:rsidP="006F1451">
      <w:pPr>
        <w:pStyle w:val="ListBullet"/>
      </w:pPr>
      <w:r w:rsidRPr="006F1451">
        <w:t>25 – 34 years old</w:t>
      </w:r>
    </w:p>
    <w:p w14:paraId="77EF2B3E" w14:textId="77777777" w:rsidR="00A900A5" w:rsidRPr="006F1451" w:rsidRDefault="00A900A5" w:rsidP="006F1451">
      <w:pPr>
        <w:pStyle w:val="ListBullet"/>
      </w:pPr>
      <w:r w:rsidRPr="006F1451">
        <w:t>35 – 44 years old</w:t>
      </w:r>
    </w:p>
    <w:p w14:paraId="2D5AE468" w14:textId="77777777" w:rsidR="00A900A5" w:rsidRPr="006F1451" w:rsidRDefault="00A900A5" w:rsidP="006F1451">
      <w:pPr>
        <w:pStyle w:val="ListBullet"/>
      </w:pPr>
      <w:r w:rsidRPr="006F1451">
        <w:t>45 – 54 years old</w:t>
      </w:r>
    </w:p>
    <w:p w14:paraId="12F93F6D" w14:textId="77777777" w:rsidR="00A900A5" w:rsidRPr="00A900A5" w:rsidRDefault="00A900A5" w:rsidP="006F1451">
      <w:pPr>
        <w:pStyle w:val="ListBullet"/>
        <w:rPr>
          <w:lang w:val="en-US"/>
        </w:rPr>
      </w:pPr>
      <w:r w:rsidRPr="006F1451">
        <w:t>55+ years o</w:t>
      </w:r>
      <w:proofErr w:type="spellStart"/>
      <w:r w:rsidRPr="00A900A5">
        <w:rPr>
          <w:lang w:val="en-US"/>
        </w:rPr>
        <w:t>ld</w:t>
      </w:r>
      <w:proofErr w:type="spellEnd"/>
    </w:p>
    <w:p w14:paraId="7F0303AC" w14:textId="77777777" w:rsidR="00A900A5" w:rsidRPr="00A900A5" w:rsidRDefault="00A900A5" w:rsidP="00A900A5">
      <w:pPr>
        <w:pStyle w:val="BodyText"/>
        <w:rPr>
          <w:lang w:val="en-US"/>
        </w:rPr>
      </w:pPr>
      <w:r w:rsidRPr="00A900A5">
        <w:rPr>
          <w:lang w:val="en-US"/>
        </w:rPr>
        <w:t>-------------------------------------------------------------------</w:t>
      </w:r>
    </w:p>
    <w:p w14:paraId="31B0DDD6" w14:textId="3D56BD57" w:rsidR="00A900A5" w:rsidRPr="00A900A5" w:rsidRDefault="00A900A5" w:rsidP="006F1451">
      <w:pPr>
        <w:pStyle w:val="ListNumber"/>
        <w:rPr>
          <w:lang w:val="en-US"/>
        </w:rPr>
      </w:pPr>
      <w:r w:rsidRPr="00A900A5">
        <w:rPr>
          <w:lang w:val="en-US"/>
        </w:rPr>
        <w:t xml:space="preserve">What is your gender? </w:t>
      </w:r>
      <w:r w:rsidR="00D35D40">
        <w:rPr>
          <w:i/>
          <w:iCs/>
          <w:lang w:val="en-US"/>
        </w:rPr>
        <w:t>Select 1 option</w:t>
      </w:r>
    </w:p>
    <w:p w14:paraId="693B3A6C" w14:textId="77777777" w:rsidR="00A900A5" w:rsidRPr="006F1451" w:rsidRDefault="00A900A5" w:rsidP="006F1451">
      <w:pPr>
        <w:pStyle w:val="ListBullet"/>
      </w:pPr>
      <w:r w:rsidRPr="00A900A5">
        <w:rPr>
          <w:lang w:val="en-US"/>
        </w:rPr>
        <w:t>Male</w:t>
      </w:r>
    </w:p>
    <w:p w14:paraId="203D3FB7" w14:textId="77777777" w:rsidR="00A900A5" w:rsidRPr="006F1451" w:rsidRDefault="00A900A5" w:rsidP="006F1451">
      <w:pPr>
        <w:pStyle w:val="ListBullet"/>
      </w:pPr>
      <w:r w:rsidRPr="006F1451">
        <w:t>Female</w:t>
      </w:r>
    </w:p>
    <w:p w14:paraId="68C21A55" w14:textId="1DF49250" w:rsidR="00A900A5" w:rsidRPr="006F1451" w:rsidRDefault="00A900A5" w:rsidP="006F1451">
      <w:pPr>
        <w:pStyle w:val="ListBullet"/>
      </w:pPr>
      <w:r w:rsidRPr="006F1451">
        <w:t xml:space="preserve">Other </w:t>
      </w:r>
      <w:r w:rsidR="00E306E9" w:rsidRPr="006F1451">
        <w:t>(free text)</w:t>
      </w:r>
    </w:p>
    <w:p w14:paraId="79791A53" w14:textId="77777777" w:rsidR="00A900A5" w:rsidRPr="00A900A5" w:rsidRDefault="00A900A5" w:rsidP="006F1451">
      <w:pPr>
        <w:pStyle w:val="ListBullet"/>
        <w:rPr>
          <w:lang w:val="en-US"/>
        </w:rPr>
      </w:pPr>
      <w:r w:rsidRPr="006F1451">
        <w:t>Prefer n</w:t>
      </w:r>
      <w:proofErr w:type="spellStart"/>
      <w:r w:rsidRPr="00A900A5">
        <w:rPr>
          <w:lang w:val="en-US"/>
        </w:rPr>
        <w:t>ot</w:t>
      </w:r>
      <w:proofErr w:type="spellEnd"/>
      <w:r w:rsidRPr="00A900A5">
        <w:rPr>
          <w:lang w:val="en-US"/>
        </w:rPr>
        <w:t xml:space="preserve"> to say</w:t>
      </w:r>
    </w:p>
    <w:p w14:paraId="35F3CE20" w14:textId="77777777" w:rsidR="00A900A5" w:rsidRPr="00A900A5" w:rsidRDefault="00A900A5" w:rsidP="00A900A5">
      <w:pPr>
        <w:pStyle w:val="BodyText"/>
        <w:rPr>
          <w:lang w:val="en-US"/>
        </w:rPr>
      </w:pPr>
      <w:r w:rsidRPr="00A900A5">
        <w:rPr>
          <w:lang w:val="en-US"/>
        </w:rPr>
        <w:t>-------------------------------------------------------------------</w:t>
      </w:r>
    </w:p>
    <w:p w14:paraId="35929286" w14:textId="333C3DD1" w:rsidR="00A900A5" w:rsidRPr="00A900A5" w:rsidRDefault="00A900A5" w:rsidP="006F1451">
      <w:pPr>
        <w:pStyle w:val="ListNumber"/>
        <w:rPr>
          <w:lang w:val="en-US"/>
        </w:rPr>
      </w:pPr>
      <w:r w:rsidRPr="00A900A5">
        <w:rPr>
          <w:lang w:val="en-US"/>
        </w:rPr>
        <w:t>Which program are/</w:t>
      </w:r>
      <w:proofErr w:type="gramStart"/>
      <w:r w:rsidRPr="00A900A5">
        <w:rPr>
          <w:lang w:val="en-US"/>
        </w:rPr>
        <w:t>were</w:t>
      </w:r>
      <w:proofErr w:type="gramEnd"/>
      <w:r w:rsidRPr="00A900A5">
        <w:rPr>
          <w:lang w:val="en-US"/>
        </w:rPr>
        <w:t xml:space="preserve"> you enrolled in? </w:t>
      </w:r>
      <w:r w:rsidR="00E306E9">
        <w:rPr>
          <w:i/>
          <w:iCs/>
          <w:lang w:val="en-US"/>
        </w:rPr>
        <w:t>Select multiple options</w:t>
      </w:r>
    </w:p>
    <w:p w14:paraId="530BE290" w14:textId="77777777" w:rsidR="00A900A5" w:rsidRPr="00A900A5" w:rsidRDefault="00A900A5" w:rsidP="006F1451">
      <w:pPr>
        <w:pStyle w:val="ListBullet"/>
        <w:rPr>
          <w:lang w:val="en-US"/>
        </w:rPr>
      </w:pPr>
      <w:r w:rsidRPr="00A900A5">
        <w:rPr>
          <w:lang w:val="en-US"/>
        </w:rPr>
        <w:t>Radiation Oncology Medical Physics (ROMP)</w:t>
      </w:r>
    </w:p>
    <w:p w14:paraId="09FF9DE2" w14:textId="77777777" w:rsidR="00A900A5" w:rsidRPr="00A900A5" w:rsidRDefault="00A900A5" w:rsidP="006F1451">
      <w:pPr>
        <w:pStyle w:val="ListBullet"/>
        <w:rPr>
          <w:lang w:val="en-US"/>
        </w:rPr>
      </w:pPr>
      <w:r w:rsidRPr="00A900A5">
        <w:rPr>
          <w:lang w:val="en-US"/>
        </w:rPr>
        <w:t xml:space="preserve">Diagnostic Imaging Medical Physics (DIMP) – Radiology </w:t>
      </w:r>
    </w:p>
    <w:p w14:paraId="2E58AC56" w14:textId="77777777" w:rsidR="00A900A5" w:rsidRPr="00A900A5" w:rsidRDefault="00A900A5" w:rsidP="006F1451">
      <w:pPr>
        <w:pStyle w:val="ListBullet"/>
        <w:rPr>
          <w:lang w:val="en-US"/>
        </w:rPr>
      </w:pPr>
      <w:r w:rsidRPr="00A900A5">
        <w:rPr>
          <w:lang w:val="en-US"/>
        </w:rPr>
        <w:t xml:space="preserve">Diagnostic Imaging Medical Physics (DIMP) – Nuclear Medicine </w:t>
      </w:r>
    </w:p>
    <w:p w14:paraId="1AD832CA" w14:textId="77777777" w:rsidR="00A900A5" w:rsidRPr="00A900A5" w:rsidRDefault="00A900A5" w:rsidP="006F1451">
      <w:pPr>
        <w:pStyle w:val="ListBullet"/>
        <w:rPr>
          <w:lang w:val="en-US"/>
        </w:rPr>
      </w:pPr>
      <w:r w:rsidRPr="00A900A5">
        <w:rPr>
          <w:lang w:val="en-US"/>
        </w:rPr>
        <w:t>Radiopharmaceutical Science (RPS)</w:t>
      </w:r>
    </w:p>
    <w:p w14:paraId="73213729" w14:textId="23264DFC" w:rsidR="00A900A5" w:rsidRPr="00A900A5" w:rsidRDefault="00A900A5" w:rsidP="006F1451">
      <w:pPr>
        <w:pStyle w:val="ListBullet"/>
        <w:rPr>
          <w:lang w:val="en-US"/>
        </w:rPr>
      </w:pPr>
      <w:r w:rsidRPr="00A900A5">
        <w:rPr>
          <w:lang w:val="en-US"/>
        </w:rPr>
        <w:t xml:space="preserve">Other (please specify) </w:t>
      </w:r>
      <w:r w:rsidR="00E306E9">
        <w:rPr>
          <w:lang w:val="en-US"/>
        </w:rPr>
        <w:t>(</w:t>
      </w:r>
      <w:r w:rsidR="00E306E9">
        <w:rPr>
          <w:i/>
          <w:iCs/>
          <w:lang w:val="en-US"/>
        </w:rPr>
        <w:t>free text)</w:t>
      </w:r>
    </w:p>
    <w:p w14:paraId="5C4E208C" w14:textId="77777777" w:rsidR="00A900A5" w:rsidRPr="00A900A5" w:rsidRDefault="00A900A5" w:rsidP="00A900A5">
      <w:pPr>
        <w:pStyle w:val="BodyText"/>
        <w:rPr>
          <w:lang w:val="en-US"/>
        </w:rPr>
      </w:pPr>
      <w:r w:rsidRPr="00A900A5">
        <w:rPr>
          <w:lang w:val="en-US"/>
        </w:rPr>
        <w:t>-------------------------------------------------------------------</w:t>
      </w:r>
    </w:p>
    <w:p w14:paraId="3C43700E" w14:textId="3E573B9A" w:rsidR="00A900A5" w:rsidRPr="00A900A5" w:rsidRDefault="00A900A5" w:rsidP="006F1451">
      <w:pPr>
        <w:pStyle w:val="ListNumber"/>
        <w:rPr>
          <w:lang w:val="en-US"/>
        </w:rPr>
      </w:pPr>
      <w:r w:rsidRPr="00A900A5">
        <w:rPr>
          <w:lang w:val="en-US"/>
        </w:rPr>
        <w:t xml:space="preserve">Why did you choose to participate in TEAP? </w:t>
      </w:r>
      <w:r w:rsidR="00E306E9">
        <w:rPr>
          <w:i/>
          <w:iCs/>
          <w:lang w:val="en-US"/>
        </w:rPr>
        <w:t>Select multiple options</w:t>
      </w:r>
    </w:p>
    <w:p w14:paraId="022E90B9" w14:textId="77777777" w:rsidR="00A900A5" w:rsidRPr="00A900A5" w:rsidRDefault="00A900A5" w:rsidP="006F1451">
      <w:pPr>
        <w:pStyle w:val="ListBullet"/>
        <w:rPr>
          <w:lang w:val="en-US"/>
        </w:rPr>
      </w:pPr>
      <w:r w:rsidRPr="00A900A5">
        <w:rPr>
          <w:lang w:val="en-US"/>
        </w:rPr>
        <w:t>Improve knowledge, skills and expertise in your profession</w:t>
      </w:r>
    </w:p>
    <w:p w14:paraId="4F72AF32" w14:textId="77777777" w:rsidR="00A900A5" w:rsidRPr="00A900A5" w:rsidRDefault="00A900A5" w:rsidP="006F1451">
      <w:pPr>
        <w:pStyle w:val="ListBullet"/>
        <w:rPr>
          <w:lang w:val="en-US"/>
        </w:rPr>
      </w:pPr>
      <w:r w:rsidRPr="00A900A5">
        <w:rPr>
          <w:lang w:val="en-US"/>
        </w:rPr>
        <w:t>Improve employment opportunities and career development</w:t>
      </w:r>
    </w:p>
    <w:p w14:paraId="144687F6" w14:textId="52E10E71" w:rsidR="00A900A5" w:rsidRPr="006F1451" w:rsidRDefault="00A900A5" w:rsidP="006F1451">
      <w:pPr>
        <w:pStyle w:val="ListBullet"/>
        <w:rPr>
          <w:lang w:val="en-US"/>
        </w:rPr>
      </w:pPr>
      <w:r w:rsidRPr="00A900A5">
        <w:rPr>
          <w:lang w:val="en-US"/>
        </w:rPr>
        <w:t xml:space="preserve">Other </w:t>
      </w:r>
      <w:r w:rsidR="00E306E9">
        <w:rPr>
          <w:lang w:val="en-US"/>
        </w:rPr>
        <w:t>(</w:t>
      </w:r>
      <w:r w:rsidR="00E306E9">
        <w:rPr>
          <w:i/>
          <w:iCs/>
          <w:lang w:val="en-US"/>
        </w:rPr>
        <w:t>free text)</w:t>
      </w:r>
    </w:p>
    <w:p w14:paraId="70DAB6D1" w14:textId="77777777" w:rsidR="00A900A5" w:rsidRPr="00A900A5" w:rsidRDefault="00A900A5" w:rsidP="00A900A5">
      <w:pPr>
        <w:pStyle w:val="BodyText"/>
        <w:rPr>
          <w:lang w:val="en-US"/>
        </w:rPr>
      </w:pPr>
      <w:r w:rsidRPr="00A900A5">
        <w:rPr>
          <w:lang w:val="en-US"/>
        </w:rPr>
        <w:t>-------------------------------------------------------------------</w:t>
      </w:r>
    </w:p>
    <w:p w14:paraId="11A45096" w14:textId="287A70C2" w:rsidR="00A900A5" w:rsidRPr="00A900A5" w:rsidRDefault="00A900A5" w:rsidP="006F1451">
      <w:pPr>
        <w:pStyle w:val="ListNumber"/>
        <w:rPr>
          <w:lang w:val="en-US"/>
        </w:rPr>
      </w:pPr>
      <w:r w:rsidRPr="00A900A5">
        <w:rPr>
          <w:lang w:val="en-US"/>
        </w:rPr>
        <w:t xml:space="preserve">How did you find out about TEAP? </w:t>
      </w:r>
      <w:r w:rsidR="00D35D40">
        <w:rPr>
          <w:i/>
          <w:iCs/>
          <w:lang w:val="en-US"/>
        </w:rPr>
        <w:t>Select 1 option</w:t>
      </w:r>
    </w:p>
    <w:p w14:paraId="67B44A41" w14:textId="77777777" w:rsidR="00A900A5" w:rsidRPr="00A900A5" w:rsidRDefault="00A900A5" w:rsidP="006F1451">
      <w:pPr>
        <w:pStyle w:val="ListBullet"/>
        <w:rPr>
          <w:lang w:val="en-US"/>
        </w:rPr>
      </w:pPr>
      <w:r w:rsidRPr="00A900A5">
        <w:rPr>
          <w:lang w:val="en-US"/>
        </w:rPr>
        <w:t>Advertisement</w:t>
      </w:r>
    </w:p>
    <w:p w14:paraId="0A918F8F" w14:textId="77777777" w:rsidR="00A900A5" w:rsidRPr="00A900A5" w:rsidRDefault="00A900A5" w:rsidP="006F1451">
      <w:pPr>
        <w:pStyle w:val="ListBullet"/>
        <w:rPr>
          <w:lang w:val="en-US"/>
        </w:rPr>
      </w:pPr>
      <w:r w:rsidRPr="00A900A5">
        <w:rPr>
          <w:lang w:val="en-US"/>
        </w:rPr>
        <w:t>Referral from a colleague</w:t>
      </w:r>
    </w:p>
    <w:p w14:paraId="0D3D22AA" w14:textId="77777777" w:rsidR="00A900A5" w:rsidRPr="00A900A5" w:rsidRDefault="00A900A5" w:rsidP="006F1451">
      <w:pPr>
        <w:pStyle w:val="ListBullet"/>
        <w:rPr>
          <w:lang w:val="en-US"/>
        </w:rPr>
      </w:pPr>
      <w:r w:rsidRPr="00A900A5">
        <w:rPr>
          <w:lang w:val="en-US"/>
        </w:rPr>
        <w:t>ACPSEM communications</w:t>
      </w:r>
    </w:p>
    <w:p w14:paraId="7D6792B2" w14:textId="77777777" w:rsidR="00A900A5" w:rsidRPr="00A900A5" w:rsidRDefault="00A900A5" w:rsidP="006F1451">
      <w:pPr>
        <w:pStyle w:val="ListBullet"/>
        <w:rPr>
          <w:lang w:val="en-US"/>
        </w:rPr>
      </w:pPr>
      <w:r w:rsidRPr="00A900A5">
        <w:rPr>
          <w:lang w:val="en-US"/>
        </w:rPr>
        <w:t>Professional association or industry body</w:t>
      </w:r>
    </w:p>
    <w:p w14:paraId="0973A6AF" w14:textId="77777777" w:rsidR="00A900A5" w:rsidRPr="00A900A5" w:rsidRDefault="00A900A5" w:rsidP="006F1451">
      <w:pPr>
        <w:pStyle w:val="ListBullet"/>
        <w:rPr>
          <w:lang w:val="en-US"/>
        </w:rPr>
      </w:pPr>
      <w:r w:rsidRPr="00A900A5">
        <w:rPr>
          <w:lang w:val="en-US"/>
        </w:rPr>
        <w:t>Personal research</w:t>
      </w:r>
    </w:p>
    <w:p w14:paraId="34CE5055" w14:textId="77777777" w:rsidR="00A900A5" w:rsidRPr="00A900A5" w:rsidRDefault="00A900A5" w:rsidP="006F1451">
      <w:pPr>
        <w:pStyle w:val="ListBullet"/>
        <w:rPr>
          <w:lang w:val="en-US"/>
        </w:rPr>
      </w:pPr>
      <w:r w:rsidRPr="00A900A5">
        <w:rPr>
          <w:lang w:val="en-US"/>
        </w:rPr>
        <w:t>Event or conference</w:t>
      </w:r>
    </w:p>
    <w:p w14:paraId="69EC8EAA" w14:textId="5D25EAF4" w:rsidR="00A900A5" w:rsidRPr="00A900A5" w:rsidRDefault="00A900A5" w:rsidP="006F1451">
      <w:pPr>
        <w:pStyle w:val="ListBullet"/>
        <w:rPr>
          <w:lang w:val="en-US"/>
        </w:rPr>
      </w:pPr>
      <w:r w:rsidRPr="00A900A5">
        <w:rPr>
          <w:lang w:val="en-US"/>
        </w:rPr>
        <w:t xml:space="preserve">Other (please specify) </w:t>
      </w:r>
      <w:r w:rsidR="00E306E9">
        <w:rPr>
          <w:lang w:val="en-US"/>
        </w:rPr>
        <w:t>(</w:t>
      </w:r>
      <w:r w:rsidR="00E306E9">
        <w:rPr>
          <w:i/>
          <w:iCs/>
          <w:lang w:val="en-US"/>
        </w:rPr>
        <w:t>free text)</w:t>
      </w:r>
    </w:p>
    <w:p w14:paraId="3329FC08" w14:textId="77777777" w:rsidR="00A900A5" w:rsidRPr="00A900A5" w:rsidRDefault="00A900A5" w:rsidP="00A900A5">
      <w:pPr>
        <w:pStyle w:val="BodyText"/>
        <w:rPr>
          <w:lang w:val="en-US"/>
        </w:rPr>
      </w:pPr>
      <w:r w:rsidRPr="00A900A5">
        <w:rPr>
          <w:lang w:val="en-US"/>
        </w:rPr>
        <w:t>-------------------------------------------------------------------</w:t>
      </w:r>
    </w:p>
    <w:p w14:paraId="6CB68470" w14:textId="6B313D64" w:rsidR="00A900A5" w:rsidRPr="00A900A5" w:rsidRDefault="00A900A5" w:rsidP="006F1451">
      <w:pPr>
        <w:pStyle w:val="ListNumber"/>
        <w:rPr>
          <w:lang w:val="en-US"/>
        </w:rPr>
      </w:pPr>
      <w:r w:rsidRPr="00A900A5">
        <w:rPr>
          <w:lang w:val="en-US"/>
        </w:rPr>
        <w:t xml:space="preserve">Are you a current or past TEAP trainee? </w:t>
      </w:r>
      <w:r w:rsidR="00D35D40">
        <w:rPr>
          <w:i/>
          <w:iCs/>
          <w:lang w:val="en-US"/>
        </w:rPr>
        <w:t>Select 1 option</w:t>
      </w:r>
    </w:p>
    <w:p w14:paraId="3103AC1B" w14:textId="77777777" w:rsidR="00A900A5" w:rsidRPr="00A900A5" w:rsidRDefault="00A900A5" w:rsidP="006F1451">
      <w:pPr>
        <w:pStyle w:val="ListBullet"/>
        <w:rPr>
          <w:lang w:val="en-US"/>
        </w:rPr>
      </w:pPr>
      <w:r w:rsidRPr="00A900A5">
        <w:rPr>
          <w:lang w:val="en-US"/>
        </w:rPr>
        <w:t>Current</w:t>
      </w:r>
    </w:p>
    <w:p w14:paraId="74EE658A" w14:textId="77777777" w:rsidR="00A900A5" w:rsidRPr="00A900A5" w:rsidRDefault="00A900A5" w:rsidP="006F1451">
      <w:pPr>
        <w:pStyle w:val="ListBullet"/>
        <w:rPr>
          <w:lang w:val="en-US"/>
        </w:rPr>
      </w:pPr>
      <w:r w:rsidRPr="00A900A5">
        <w:rPr>
          <w:lang w:val="en-US"/>
        </w:rPr>
        <w:t>Past</w:t>
      </w:r>
    </w:p>
    <w:p w14:paraId="78BA6840" w14:textId="326C78D2" w:rsidR="00A900A5" w:rsidRPr="00A900A5" w:rsidRDefault="001F088E" w:rsidP="00A900A5">
      <w:pPr>
        <w:pStyle w:val="BodyText"/>
        <w:rPr>
          <w:i/>
          <w:iCs/>
          <w:lang w:val="en-US"/>
        </w:rPr>
      </w:pPr>
      <w:r w:rsidRPr="001F088E">
        <w:rPr>
          <w:i/>
          <w:iCs/>
          <w:lang w:val="en-US"/>
        </w:rPr>
        <w:t>C</w:t>
      </w:r>
      <w:r w:rsidR="00A900A5" w:rsidRPr="00A900A5">
        <w:rPr>
          <w:i/>
          <w:iCs/>
          <w:lang w:val="en-US"/>
        </w:rPr>
        <w:t xml:space="preserve">onditional survey logic: if ‘Current’ is selected for Q6, questions 7-21 will appear. If ‘Past’ is selected for Q6, questions 22-41 will appear. </w:t>
      </w:r>
    </w:p>
    <w:p w14:paraId="223E48AD" w14:textId="77777777" w:rsidR="00A900A5" w:rsidRPr="00A900A5" w:rsidRDefault="00A900A5" w:rsidP="001F088E">
      <w:pPr>
        <w:pStyle w:val="BodyText"/>
        <w:rPr>
          <w:lang w:val="en-US"/>
        </w:rPr>
      </w:pPr>
      <w:r w:rsidRPr="00A900A5">
        <w:rPr>
          <w:lang w:val="en-US"/>
        </w:rPr>
        <w:t>-------------------------------------------------------------------</w:t>
      </w:r>
    </w:p>
    <w:p w14:paraId="5C3AE51D" w14:textId="0F27884E" w:rsidR="00A900A5" w:rsidRPr="00A900A5" w:rsidRDefault="00A900A5" w:rsidP="001F088E">
      <w:pPr>
        <w:pStyle w:val="BodyText"/>
        <w:rPr>
          <w:b/>
          <w:bCs/>
          <w:lang w:val="en-US"/>
        </w:rPr>
      </w:pPr>
      <w:r w:rsidRPr="00A900A5">
        <w:rPr>
          <w:b/>
          <w:bCs/>
          <w:lang w:val="en-US"/>
        </w:rPr>
        <w:t>Current trainees</w:t>
      </w:r>
    </w:p>
    <w:p w14:paraId="5A74786E" w14:textId="2265A428" w:rsidR="00A900A5" w:rsidRPr="00242835" w:rsidRDefault="00A900A5" w:rsidP="00584EC6">
      <w:pPr>
        <w:pStyle w:val="ListNumber"/>
        <w:numPr>
          <w:ilvl w:val="0"/>
          <w:numId w:val="100"/>
        </w:numPr>
        <w:rPr>
          <w:lang w:val="en-US"/>
        </w:rPr>
      </w:pPr>
      <w:r w:rsidRPr="00242835">
        <w:rPr>
          <w:lang w:val="en-US"/>
        </w:rPr>
        <w:t xml:space="preserve">Where is your facility located? </w:t>
      </w:r>
      <w:r w:rsidR="00D35D40" w:rsidRPr="00242835">
        <w:rPr>
          <w:i/>
          <w:iCs/>
          <w:lang w:val="en-US"/>
        </w:rPr>
        <w:t>Select 1 option</w:t>
      </w:r>
    </w:p>
    <w:p w14:paraId="413CE735" w14:textId="77777777" w:rsidR="00A900A5" w:rsidRPr="00A900A5" w:rsidRDefault="00A900A5" w:rsidP="006F1451">
      <w:pPr>
        <w:pStyle w:val="ListBullet"/>
        <w:rPr>
          <w:lang w:val="en-US"/>
        </w:rPr>
      </w:pPr>
      <w:r w:rsidRPr="00A900A5">
        <w:rPr>
          <w:lang w:val="en-US"/>
        </w:rPr>
        <w:t>Australian Capital Territory</w:t>
      </w:r>
    </w:p>
    <w:p w14:paraId="587EAE86" w14:textId="77777777" w:rsidR="00A900A5" w:rsidRPr="00A900A5" w:rsidRDefault="00A900A5" w:rsidP="006F1451">
      <w:pPr>
        <w:pStyle w:val="ListBullet"/>
        <w:rPr>
          <w:lang w:val="en-US"/>
        </w:rPr>
      </w:pPr>
      <w:r w:rsidRPr="00A900A5">
        <w:rPr>
          <w:lang w:val="en-US"/>
        </w:rPr>
        <w:t>New South Wales</w:t>
      </w:r>
    </w:p>
    <w:p w14:paraId="0EFA3575" w14:textId="77777777" w:rsidR="00A900A5" w:rsidRPr="00A900A5" w:rsidRDefault="00A900A5" w:rsidP="006F1451">
      <w:pPr>
        <w:pStyle w:val="ListBullet"/>
        <w:rPr>
          <w:lang w:val="en-US"/>
        </w:rPr>
      </w:pPr>
      <w:r w:rsidRPr="00A900A5">
        <w:rPr>
          <w:lang w:val="en-US"/>
        </w:rPr>
        <w:t>Queensland</w:t>
      </w:r>
    </w:p>
    <w:p w14:paraId="2FE176C3" w14:textId="77777777" w:rsidR="00A900A5" w:rsidRPr="00A900A5" w:rsidRDefault="00A900A5" w:rsidP="006F1451">
      <w:pPr>
        <w:pStyle w:val="ListBullet"/>
        <w:rPr>
          <w:lang w:val="en-US"/>
        </w:rPr>
      </w:pPr>
      <w:r w:rsidRPr="00A900A5">
        <w:rPr>
          <w:lang w:val="en-US"/>
        </w:rPr>
        <w:t>South Australia</w:t>
      </w:r>
    </w:p>
    <w:p w14:paraId="7795E596" w14:textId="77777777" w:rsidR="00A900A5" w:rsidRPr="00A900A5" w:rsidRDefault="00A900A5" w:rsidP="006F1451">
      <w:pPr>
        <w:pStyle w:val="ListBullet"/>
        <w:rPr>
          <w:lang w:val="en-US"/>
        </w:rPr>
      </w:pPr>
      <w:r w:rsidRPr="00A900A5">
        <w:rPr>
          <w:lang w:val="en-US"/>
        </w:rPr>
        <w:t>Victoria</w:t>
      </w:r>
    </w:p>
    <w:p w14:paraId="4C95A806" w14:textId="77777777" w:rsidR="00A900A5" w:rsidRPr="00A900A5" w:rsidRDefault="00A900A5" w:rsidP="006F1451">
      <w:pPr>
        <w:pStyle w:val="ListBullet"/>
        <w:rPr>
          <w:lang w:val="en-US"/>
        </w:rPr>
      </w:pPr>
      <w:r w:rsidRPr="00A900A5">
        <w:rPr>
          <w:lang w:val="en-US"/>
        </w:rPr>
        <w:t>Western Australia</w:t>
      </w:r>
    </w:p>
    <w:p w14:paraId="245BC3D3" w14:textId="77777777" w:rsidR="00A900A5" w:rsidRPr="00A900A5" w:rsidRDefault="00A900A5" w:rsidP="006F1451">
      <w:pPr>
        <w:pStyle w:val="ListBullet"/>
        <w:rPr>
          <w:lang w:val="en-US"/>
        </w:rPr>
      </w:pPr>
      <w:r w:rsidRPr="00A900A5">
        <w:rPr>
          <w:lang w:val="en-US"/>
        </w:rPr>
        <w:t>Northern Territory</w:t>
      </w:r>
    </w:p>
    <w:p w14:paraId="6F7440BA" w14:textId="77777777" w:rsidR="00A900A5" w:rsidRPr="00A900A5" w:rsidRDefault="00A900A5" w:rsidP="006F1451">
      <w:pPr>
        <w:pStyle w:val="ListBullet"/>
        <w:rPr>
          <w:lang w:val="en-US"/>
        </w:rPr>
      </w:pPr>
      <w:r w:rsidRPr="00A900A5">
        <w:rPr>
          <w:lang w:val="en-US"/>
        </w:rPr>
        <w:t>Other</w:t>
      </w:r>
    </w:p>
    <w:p w14:paraId="59E41FEC" w14:textId="77777777" w:rsidR="00A900A5" w:rsidRPr="00A900A5" w:rsidRDefault="00A900A5" w:rsidP="00A900A5">
      <w:pPr>
        <w:pStyle w:val="BodyText"/>
        <w:rPr>
          <w:lang w:val="en-US"/>
        </w:rPr>
      </w:pPr>
      <w:r w:rsidRPr="00A900A5">
        <w:rPr>
          <w:lang w:val="en-US"/>
        </w:rPr>
        <w:t>-------------------------------------------------------------------</w:t>
      </w:r>
    </w:p>
    <w:p w14:paraId="1FA9806C" w14:textId="201FA126" w:rsidR="00A900A5" w:rsidRPr="00A900A5" w:rsidRDefault="00A900A5" w:rsidP="006F1451">
      <w:pPr>
        <w:pStyle w:val="ListNumber"/>
        <w:rPr>
          <w:lang w:val="en-US"/>
        </w:rPr>
      </w:pPr>
      <w:r w:rsidRPr="00A900A5">
        <w:rPr>
          <w:lang w:val="en-US"/>
        </w:rPr>
        <w:t xml:space="preserve">How long do you have left until the completion of your program? </w:t>
      </w:r>
      <w:r w:rsidR="00D35D40">
        <w:rPr>
          <w:i/>
          <w:iCs/>
          <w:lang w:val="en-US"/>
        </w:rPr>
        <w:t>Select 1 option</w:t>
      </w:r>
    </w:p>
    <w:p w14:paraId="44B060FD" w14:textId="77777777" w:rsidR="00A900A5" w:rsidRPr="00A900A5" w:rsidRDefault="00A900A5" w:rsidP="006F1451">
      <w:pPr>
        <w:pStyle w:val="ListBullet"/>
        <w:rPr>
          <w:lang w:val="en-US"/>
        </w:rPr>
      </w:pPr>
      <w:r w:rsidRPr="00A900A5">
        <w:rPr>
          <w:lang w:val="en-US"/>
        </w:rPr>
        <w:t xml:space="preserve">&lt; 6 months </w:t>
      </w:r>
    </w:p>
    <w:p w14:paraId="3D8594C4" w14:textId="77777777" w:rsidR="00A900A5" w:rsidRPr="00A900A5" w:rsidRDefault="00A900A5" w:rsidP="006F1451">
      <w:pPr>
        <w:pStyle w:val="ListBullet"/>
        <w:rPr>
          <w:lang w:val="en-US"/>
        </w:rPr>
      </w:pPr>
      <w:r w:rsidRPr="00A900A5">
        <w:rPr>
          <w:lang w:val="en-US"/>
        </w:rPr>
        <w:t>&lt; 1 year</w:t>
      </w:r>
    </w:p>
    <w:p w14:paraId="48A8E849" w14:textId="77777777" w:rsidR="00A900A5" w:rsidRPr="00A900A5" w:rsidRDefault="00A900A5" w:rsidP="006F1451">
      <w:pPr>
        <w:pStyle w:val="ListBullet"/>
        <w:rPr>
          <w:lang w:val="en-US"/>
        </w:rPr>
      </w:pPr>
      <w:r w:rsidRPr="00A900A5">
        <w:rPr>
          <w:lang w:val="en-US"/>
        </w:rPr>
        <w:t>&lt; 2 years</w:t>
      </w:r>
    </w:p>
    <w:p w14:paraId="12E4247F" w14:textId="77777777" w:rsidR="00A900A5" w:rsidRPr="00A900A5" w:rsidRDefault="00A900A5" w:rsidP="006F1451">
      <w:pPr>
        <w:pStyle w:val="ListBullet"/>
        <w:rPr>
          <w:lang w:val="en-US"/>
        </w:rPr>
      </w:pPr>
      <w:r w:rsidRPr="00A900A5">
        <w:rPr>
          <w:lang w:val="en-US"/>
        </w:rPr>
        <w:t xml:space="preserve">&lt; 3 years </w:t>
      </w:r>
    </w:p>
    <w:p w14:paraId="5558C5CC" w14:textId="77777777" w:rsidR="00A900A5" w:rsidRPr="00A900A5" w:rsidRDefault="00A900A5" w:rsidP="006F1451">
      <w:pPr>
        <w:pStyle w:val="ListBullet"/>
        <w:rPr>
          <w:lang w:val="en-US"/>
        </w:rPr>
      </w:pPr>
      <w:r w:rsidRPr="00A900A5">
        <w:rPr>
          <w:lang w:val="en-US"/>
        </w:rPr>
        <w:t>3 years + (i.e., just started or currently undertaking postgraduate university studies)</w:t>
      </w:r>
    </w:p>
    <w:p w14:paraId="49A8FCA6" w14:textId="77777777" w:rsidR="00A900A5" w:rsidRPr="00A900A5" w:rsidRDefault="00A900A5" w:rsidP="00A900A5">
      <w:pPr>
        <w:pStyle w:val="BodyText"/>
        <w:rPr>
          <w:lang w:val="en-US"/>
        </w:rPr>
      </w:pPr>
      <w:r w:rsidRPr="00A900A5">
        <w:rPr>
          <w:lang w:val="en-US"/>
        </w:rPr>
        <w:t>-------------------------------------------------------------------</w:t>
      </w:r>
    </w:p>
    <w:p w14:paraId="2D75E71B" w14:textId="61286B47" w:rsidR="00A900A5" w:rsidRPr="00A900A5" w:rsidRDefault="00A900A5" w:rsidP="006F1451">
      <w:pPr>
        <w:pStyle w:val="ListNumber"/>
        <w:rPr>
          <w:lang w:val="en-US"/>
        </w:rPr>
      </w:pPr>
      <w:r w:rsidRPr="00A900A5">
        <w:rPr>
          <w:lang w:val="en-US"/>
        </w:rPr>
        <w:t xml:space="preserve">What is the Modified Monash Model (MMM) rating of the facility you are training at? </w:t>
      </w:r>
      <w:r w:rsidR="00D35D40">
        <w:rPr>
          <w:i/>
          <w:iCs/>
          <w:lang w:val="en-US"/>
        </w:rPr>
        <w:t>Select 1 option</w:t>
      </w:r>
    </w:p>
    <w:p w14:paraId="1F2FC39D" w14:textId="54F2EA9B" w:rsidR="00A900A5" w:rsidRPr="00A900A5" w:rsidRDefault="00A900A5" w:rsidP="00A900A5">
      <w:pPr>
        <w:pStyle w:val="BodyText"/>
        <w:rPr>
          <w:lang w:val="en-US"/>
        </w:rPr>
      </w:pPr>
      <w:r w:rsidRPr="00A900A5">
        <w:rPr>
          <w:lang w:val="en-US"/>
        </w:rPr>
        <w:t xml:space="preserve">MMM classifications are based on remoteness and population size. You can find your MMM classification </w:t>
      </w:r>
      <w:hyperlink r:id="rId69" w:history="1">
        <w:r w:rsidRPr="00A900A5">
          <w:rPr>
            <w:rStyle w:val="Hyperlink"/>
            <w:lang w:val="en-US"/>
          </w:rPr>
          <w:t>here</w:t>
        </w:r>
      </w:hyperlink>
      <w:r w:rsidRPr="00A900A5">
        <w:rPr>
          <w:lang w:val="en-US"/>
        </w:rPr>
        <w:t xml:space="preserve">. </w:t>
      </w:r>
    </w:p>
    <w:p w14:paraId="0670187C" w14:textId="77777777" w:rsidR="00A900A5" w:rsidRPr="00A900A5" w:rsidRDefault="00A900A5" w:rsidP="006F1451">
      <w:pPr>
        <w:pStyle w:val="ListBullet"/>
        <w:rPr>
          <w:lang w:val="en-US"/>
        </w:rPr>
      </w:pPr>
      <w:r w:rsidRPr="00A900A5">
        <w:rPr>
          <w:lang w:val="en-US"/>
        </w:rPr>
        <w:t>MM 1: Metropolitan area</w:t>
      </w:r>
    </w:p>
    <w:p w14:paraId="1567F43D" w14:textId="77777777" w:rsidR="00A900A5" w:rsidRPr="00A900A5" w:rsidRDefault="00A900A5" w:rsidP="006F1451">
      <w:pPr>
        <w:pStyle w:val="ListBullet"/>
        <w:rPr>
          <w:lang w:val="en-US"/>
        </w:rPr>
      </w:pPr>
      <w:r w:rsidRPr="00A900A5">
        <w:rPr>
          <w:lang w:val="en-US"/>
        </w:rPr>
        <w:t xml:space="preserve">MM 2: Regional </w:t>
      </w:r>
      <w:proofErr w:type="spellStart"/>
      <w:r w:rsidRPr="00A900A5">
        <w:rPr>
          <w:lang w:val="en-US"/>
        </w:rPr>
        <w:t>centre</w:t>
      </w:r>
      <w:proofErr w:type="spellEnd"/>
    </w:p>
    <w:p w14:paraId="50117B8F" w14:textId="77777777" w:rsidR="00A900A5" w:rsidRPr="00A900A5" w:rsidRDefault="00A900A5" w:rsidP="006F1451">
      <w:pPr>
        <w:pStyle w:val="ListBullet"/>
        <w:rPr>
          <w:lang w:val="en-US"/>
        </w:rPr>
      </w:pPr>
      <w:r w:rsidRPr="00A900A5">
        <w:rPr>
          <w:lang w:val="en-US"/>
        </w:rPr>
        <w:t>MM 3: Large rural town</w:t>
      </w:r>
    </w:p>
    <w:p w14:paraId="49BE0E04" w14:textId="77777777" w:rsidR="00A900A5" w:rsidRPr="00A900A5" w:rsidRDefault="00A900A5" w:rsidP="006F1451">
      <w:pPr>
        <w:pStyle w:val="ListBullet"/>
        <w:rPr>
          <w:lang w:val="en-US"/>
        </w:rPr>
      </w:pPr>
      <w:r w:rsidRPr="00A900A5">
        <w:rPr>
          <w:lang w:val="en-US"/>
        </w:rPr>
        <w:t>MM 4: Medium rural town</w:t>
      </w:r>
    </w:p>
    <w:p w14:paraId="1B2C8CF7" w14:textId="77777777" w:rsidR="00A900A5" w:rsidRPr="00A900A5" w:rsidRDefault="00A900A5" w:rsidP="006F1451">
      <w:pPr>
        <w:pStyle w:val="ListBullet"/>
        <w:rPr>
          <w:lang w:val="en-US"/>
        </w:rPr>
      </w:pPr>
      <w:r w:rsidRPr="00A900A5">
        <w:rPr>
          <w:lang w:val="en-US"/>
        </w:rPr>
        <w:t>MM 5: Small rural town</w:t>
      </w:r>
    </w:p>
    <w:p w14:paraId="1728AD95" w14:textId="77777777" w:rsidR="00A900A5" w:rsidRPr="00A900A5" w:rsidRDefault="00A900A5" w:rsidP="006F1451">
      <w:pPr>
        <w:pStyle w:val="ListBullet"/>
        <w:rPr>
          <w:lang w:val="en-US"/>
        </w:rPr>
      </w:pPr>
      <w:r w:rsidRPr="00A900A5">
        <w:rPr>
          <w:lang w:val="en-US"/>
        </w:rPr>
        <w:t>MM 6: Remote community</w:t>
      </w:r>
    </w:p>
    <w:p w14:paraId="0E97FC68" w14:textId="77777777" w:rsidR="00A900A5" w:rsidRPr="00A900A5" w:rsidRDefault="00A900A5" w:rsidP="006F1451">
      <w:pPr>
        <w:pStyle w:val="ListBullet"/>
        <w:rPr>
          <w:lang w:val="en-US"/>
        </w:rPr>
      </w:pPr>
      <w:r w:rsidRPr="00A900A5">
        <w:rPr>
          <w:lang w:val="en-US"/>
        </w:rPr>
        <w:t>MM 7: Very remote community</w:t>
      </w:r>
    </w:p>
    <w:p w14:paraId="77BADBFF" w14:textId="087DBA8C" w:rsidR="00A900A5" w:rsidRPr="00A900A5" w:rsidRDefault="00A900A5" w:rsidP="006F1451">
      <w:pPr>
        <w:pStyle w:val="ListBullet"/>
        <w:rPr>
          <w:lang w:val="en-US"/>
        </w:rPr>
      </w:pPr>
      <w:r w:rsidRPr="00A900A5">
        <w:rPr>
          <w:lang w:val="en-US"/>
        </w:rPr>
        <w:t xml:space="preserve">Unsure </w:t>
      </w:r>
      <w:r w:rsidR="00E306E9">
        <w:rPr>
          <w:lang w:val="en-US"/>
        </w:rPr>
        <w:t>(</w:t>
      </w:r>
      <w:r w:rsidR="00E306E9">
        <w:rPr>
          <w:i/>
          <w:iCs/>
          <w:lang w:val="en-US"/>
        </w:rPr>
        <w:t>free text)</w:t>
      </w:r>
    </w:p>
    <w:p w14:paraId="5696CB02" w14:textId="4BF6D6D8" w:rsidR="00A900A5" w:rsidRPr="00A900A5" w:rsidRDefault="00A900A5" w:rsidP="006F1451">
      <w:pPr>
        <w:rPr>
          <w:lang w:val="en-US"/>
        </w:rPr>
      </w:pPr>
      <w:r w:rsidRPr="00A900A5">
        <w:rPr>
          <w:lang w:val="en-US"/>
        </w:rPr>
        <w:t xml:space="preserve">Please enter your facility’s address. </w:t>
      </w:r>
    </w:p>
    <w:p w14:paraId="71F6F1DA" w14:textId="77777777" w:rsidR="00A900A5" w:rsidRPr="00A900A5" w:rsidRDefault="00A900A5" w:rsidP="00A900A5">
      <w:pPr>
        <w:pStyle w:val="BodyText"/>
        <w:rPr>
          <w:lang w:val="en-US"/>
        </w:rPr>
      </w:pPr>
      <w:r w:rsidRPr="00A900A5">
        <w:rPr>
          <w:lang w:val="en-US"/>
        </w:rPr>
        <w:t>-------------------------------------------------------------------</w:t>
      </w:r>
    </w:p>
    <w:p w14:paraId="29A92824" w14:textId="67B0D996" w:rsidR="00A900A5" w:rsidRPr="00A900A5" w:rsidRDefault="00A900A5" w:rsidP="006F1451">
      <w:pPr>
        <w:pStyle w:val="ListNumber"/>
        <w:rPr>
          <w:lang w:val="en-US"/>
        </w:rPr>
      </w:pPr>
      <w:r w:rsidRPr="00A900A5">
        <w:rPr>
          <w:lang w:val="en-US"/>
        </w:rPr>
        <w:t xml:space="preserve">Is your facility a public or private facility? </w:t>
      </w:r>
      <w:r w:rsidR="00D35D40">
        <w:rPr>
          <w:i/>
          <w:iCs/>
          <w:lang w:val="en-US"/>
        </w:rPr>
        <w:t>Select 1 option</w:t>
      </w:r>
    </w:p>
    <w:p w14:paraId="5975AEF0" w14:textId="061F2909" w:rsidR="00A900A5" w:rsidRPr="00A900A5" w:rsidRDefault="00A900A5" w:rsidP="006F1451">
      <w:pPr>
        <w:rPr>
          <w:lang w:val="en-US"/>
        </w:rPr>
      </w:pPr>
      <w:r w:rsidRPr="00A900A5">
        <w:rPr>
          <w:lang w:val="en-US"/>
        </w:rPr>
        <w:t xml:space="preserve">If you train across multiple facilities, please select for the facility in which you </w:t>
      </w:r>
      <w:proofErr w:type="gramStart"/>
      <w:r w:rsidRPr="00A900A5">
        <w:rPr>
          <w:lang w:val="en-US"/>
        </w:rPr>
        <w:t>perform</w:t>
      </w:r>
      <w:proofErr w:type="gramEnd"/>
      <w:r w:rsidRPr="00A900A5">
        <w:rPr>
          <w:lang w:val="en-US"/>
        </w:rPr>
        <w:t xml:space="preserve"> most of your training. </w:t>
      </w:r>
    </w:p>
    <w:p w14:paraId="12C5206E" w14:textId="77777777" w:rsidR="00A900A5" w:rsidRPr="00A900A5" w:rsidRDefault="00A900A5" w:rsidP="006F1451">
      <w:pPr>
        <w:pStyle w:val="ListBullet"/>
        <w:rPr>
          <w:lang w:val="en-US"/>
        </w:rPr>
      </w:pPr>
      <w:r w:rsidRPr="00A900A5">
        <w:rPr>
          <w:lang w:val="en-US"/>
        </w:rPr>
        <w:t>Public</w:t>
      </w:r>
    </w:p>
    <w:p w14:paraId="2F79DD60" w14:textId="77777777" w:rsidR="00A900A5" w:rsidRPr="00A900A5" w:rsidRDefault="00A900A5" w:rsidP="006F1451">
      <w:pPr>
        <w:pStyle w:val="ListBullet"/>
        <w:rPr>
          <w:lang w:val="en-US"/>
        </w:rPr>
      </w:pPr>
      <w:r w:rsidRPr="00A900A5">
        <w:rPr>
          <w:lang w:val="en-US"/>
        </w:rPr>
        <w:t>Private</w:t>
      </w:r>
    </w:p>
    <w:p w14:paraId="712E754D" w14:textId="77777777" w:rsidR="00A900A5" w:rsidRPr="00A900A5" w:rsidRDefault="00A900A5" w:rsidP="00A900A5">
      <w:pPr>
        <w:pStyle w:val="BodyText"/>
        <w:rPr>
          <w:lang w:val="en-US"/>
        </w:rPr>
      </w:pPr>
      <w:r w:rsidRPr="00A900A5">
        <w:rPr>
          <w:lang w:val="en-US"/>
        </w:rPr>
        <w:t>-------------------------------------------------------------------</w:t>
      </w:r>
    </w:p>
    <w:p w14:paraId="1E570B7A" w14:textId="18539E16" w:rsidR="00A900A5" w:rsidRPr="00A900A5" w:rsidRDefault="00A900A5" w:rsidP="006F1451">
      <w:pPr>
        <w:pStyle w:val="ListNumber"/>
        <w:rPr>
          <w:lang w:val="en-US"/>
        </w:rPr>
      </w:pPr>
      <w:r w:rsidRPr="00A900A5">
        <w:rPr>
          <w:lang w:val="en-US"/>
        </w:rPr>
        <w:t xml:space="preserve">Have you received training under the previous curriculum? </w:t>
      </w:r>
      <w:r w:rsidR="00D35D40">
        <w:rPr>
          <w:i/>
          <w:iCs/>
          <w:lang w:val="en-US"/>
        </w:rPr>
        <w:t>Select 1 option</w:t>
      </w:r>
    </w:p>
    <w:p w14:paraId="0C600E95" w14:textId="7475E0E2" w:rsidR="00A900A5" w:rsidRPr="00A900A5" w:rsidRDefault="00A900A5" w:rsidP="006F1451">
      <w:pPr>
        <w:rPr>
          <w:lang w:val="en-US"/>
        </w:rPr>
      </w:pPr>
      <w:r w:rsidRPr="00A900A5">
        <w:rPr>
          <w:lang w:val="en-US"/>
        </w:rPr>
        <w:t xml:space="preserve">The previous curriculum is the curriculum delivered prior to the recent formal review and update of TEAP. </w:t>
      </w:r>
    </w:p>
    <w:p w14:paraId="5C1C13A3" w14:textId="77777777" w:rsidR="00A900A5" w:rsidRPr="00A900A5" w:rsidRDefault="00A900A5" w:rsidP="006F1451">
      <w:pPr>
        <w:pStyle w:val="ListBullet"/>
        <w:rPr>
          <w:lang w:val="en-US"/>
        </w:rPr>
      </w:pPr>
      <w:r w:rsidRPr="00A900A5">
        <w:rPr>
          <w:lang w:val="en-US"/>
        </w:rPr>
        <w:t>Yes</w:t>
      </w:r>
    </w:p>
    <w:p w14:paraId="3C2A462E" w14:textId="77777777" w:rsidR="00A900A5" w:rsidRPr="00A900A5" w:rsidRDefault="00A900A5" w:rsidP="006F1451">
      <w:pPr>
        <w:pStyle w:val="ListBullet"/>
        <w:rPr>
          <w:lang w:val="en-US"/>
        </w:rPr>
      </w:pPr>
      <w:r w:rsidRPr="00A900A5">
        <w:rPr>
          <w:lang w:val="en-US"/>
        </w:rPr>
        <w:t>No</w:t>
      </w:r>
    </w:p>
    <w:p w14:paraId="72ECCC49" w14:textId="77777777" w:rsidR="001F088E" w:rsidRPr="00A900A5" w:rsidRDefault="001F088E" w:rsidP="001F088E">
      <w:pPr>
        <w:pStyle w:val="BodyText"/>
        <w:rPr>
          <w:lang w:val="en-US"/>
        </w:rPr>
      </w:pPr>
      <w:r w:rsidRPr="00A900A5">
        <w:rPr>
          <w:lang w:val="en-US"/>
        </w:rPr>
        <w:t>-------------------------------------------------------------------</w:t>
      </w:r>
    </w:p>
    <w:p w14:paraId="0DF63CAA" w14:textId="5D506145" w:rsidR="00A900A5" w:rsidRPr="00A900A5" w:rsidRDefault="00A900A5" w:rsidP="006F1451">
      <w:pPr>
        <w:pStyle w:val="ListNumber"/>
        <w:rPr>
          <w:lang w:val="en-US"/>
        </w:rPr>
      </w:pPr>
      <w:r w:rsidRPr="00A900A5">
        <w:rPr>
          <w:lang w:val="en-US"/>
        </w:rPr>
        <w:t xml:space="preserve">To what extent do you agree with the following statements about TEAP? </w:t>
      </w:r>
      <w:r w:rsidR="00125E6A" w:rsidRPr="00125E6A">
        <w:rPr>
          <w:i/>
          <w:iCs/>
          <w:lang w:val="en-US"/>
        </w:rPr>
        <w:t>G</w:t>
      </w:r>
      <w:r w:rsidRPr="00A900A5">
        <w:rPr>
          <w:i/>
          <w:iCs/>
          <w:lang w:val="en-US"/>
        </w:rPr>
        <w:t>ri</w:t>
      </w:r>
      <w:r w:rsidR="00125E6A" w:rsidRPr="00125E6A">
        <w:rPr>
          <w:i/>
          <w:iCs/>
          <w:lang w:val="en-US"/>
        </w:rPr>
        <w:t>d</w:t>
      </w:r>
    </w:p>
    <w:tbl>
      <w:tblPr>
        <w:tblStyle w:val="TableGrid"/>
        <w:tblW w:w="9629" w:type="dxa"/>
        <w:tblLayout w:type="fixed"/>
        <w:tblLook w:val="06A0" w:firstRow="1" w:lastRow="0" w:firstColumn="1" w:lastColumn="0" w:noHBand="1" w:noVBand="1"/>
      </w:tblPr>
      <w:tblGrid>
        <w:gridCol w:w="1604"/>
        <w:gridCol w:w="1605"/>
        <w:gridCol w:w="1605"/>
        <w:gridCol w:w="1605"/>
        <w:gridCol w:w="1605"/>
        <w:gridCol w:w="1605"/>
      </w:tblGrid>
      <w:tr w:rsidR="00A900A5" w:rsidRPr="00A900A5" w14:paraId="45E6BCA2" w14:textId="77777777" w:rsidTr="006F1451">
        <w:trPr>
          <w:cnfStyle w:val="100000000000" w:firstRow="1" w:lastRow="0" w:firstColumn="0" w:lastColumn="0" w:oddVBand="0" w:evenVBand="0" w:oddHBand="0" w:evenHBand="0" w:firstRowFirstColumn="0" w:firstRowLastColumn="0" w:lastRowFirstColumn="0" w:lastRowLastColumn="0"/>
          <w:tblHeader/>
        </w:trPr>
        <w:tc>
          <w:tcPr>
            <w:tcW w:w="1604" w:type="dxa"/>
            <w:tcBorders>
              <w:top w:val="single" w:sz="8" w:space="0" w:color="auto"/>
              <w:left w:val="single" w:sz="8" w:space="0" w:color="auto"/>
              <w:bottom w:val="single" w:sz="8" w:space="0" w:color="auto"/>
              <w:right w:val="single" w:sz="8" w:space="0" w:color="auto"/>
            </w:tcBorders>
          </w:tcPr>
          <w:p w14:paraId="3A81F32A" w14:textId="77777777" w:rsidR="00A900A5" w:rsidRPr="006F1451" w:rsidRDefault="00A900A5" w:rsidP="006F1451">
            <w:pPr>
              <w:pStyle w:val="Header"/>
            </w:pPr>
          </w:p>
        </w:tc>
        <w:tc>
          <w:tcPr>
            <w:tcW w:w="1605" w:type="dxa"/>
            <w:tcBorders>
              <w:top w:val="single" w:sz="8" w:space="0" w:color="auto"/>
              <w:left w:val="single" w:sz="8" w:space="0" w:color="auto"/>
              <w:bottom w:val="single" w:sz="8" w:space="0" w:color="auto"/>
              <w:right w:val="single" w:sz="8" w:space="0" w:color="auto"/>
            </w:tcBorders>
          </w:tcPr>
          <w:p w14:paraId="265A6EF2" w14:textId="77777777" w:rsidR="00A900A5" w:rsidRPr="006F1451" w:rsidRDefault="00A900A5" w:rsidP="006F1451">
            <w:pPr>
              <w:pStyle w:val="Header"/>
            </w:pPr>
            <w:r w:rsidRPr="006F1451">
              <w:t>Strongly disagree</w:t>
            </w:r>
          </w:p>
        </w:tc>
        <w:tc>
          <w:tcPr>
            <w:tcW w:w="1605" w:type="dxa"/>
            <w:tcBorders>
              <w:top w:val="single" w:sz="8" w:space="0" w:color="auto"/>
              <w:left w:val="single" w:sz="8" w:space="0" w:color="auto"/>
              <w:bottom w:val="single" w:sz="8" w:space="0" w:color="auto"/>
              <w:right w:val="single" w:sz="8" w:space="0" w:color="auto"/>
            </w:tcBorders>
          </w:tcPr>
          <w:p w14:paraId="765F07D6" w14:textId="77777777" w:rsidR="00A900A5" w:rsidRPr="006F1451" w:rsidRDefault="00A900A5" w:rsidP="006F1451">
            <w:pPr>
              <w:pStyle w:val="Header"/>
            </w:pPr>
            <w:r w:rsidRPr="006F1451">
              <w:t>Somewhat disagree</w:t>
            </w:r>
          </w:p>
        </w:tc>
        <w:tc>
          <w:tcPr>
            <w:tcW w:w="1605" w:type="dxa"/>
            <w:tcBorders>
              <w:top w:val="single" w:sz="8" w:space="0" w:color="auto"/>
              <w:left w:val="single" w:sz="8" w:space="0" w:color="auto"/>
              <w:bottom w:val="single" w:sz="8" w:space="0" w:color="auto"/>
              <w:right w:val="single" w:sz="8" w:space="0" w:color="auto"/>
            </w:tcBorders>
          </w:tcPr>
          <w:p w14:paraId="36BC9959" w14:textId="77777777" w:rsidR="00A900A5" w:rsidRPr="006F1451" w:rsidRDefault="00A900A5" w:rsidP="006F1451">
            <w:pPr>
              <w:pStyle w:val="Header"/>
            </w:pPr>
            <w:r w:rsidRPr="006F1451">
              <w:t>Neither agree nor disagree</w:t>
            </w:r>
          </w:p>
        </w:tc>
        <w:tc>
          <w:tcPr>
            <w:tcW w:w="1605" w:type="dxa"/>
            <w:tcBorders>
              <w:top w:val="single" w:sz="8" w:space="0" w:color="auto"/>
              <w:left w:val="single" w:sz="8" w:space="0" w:color="auto"/>
              <w:bottom w:val="single" w:sz="8" w:space="0" w:color="auto"/>
              <w:right w:val="single" w:sz="8" w:space="0" w:color="auto"/>
            </w:tcBorders>
          </w:tcPr>
          <w:p w14:paraId="7C53C7DD" w14:textId="77777777" w:rsidR="00A900A5" w:rsidRPr="006F1451" w:rsidRDefault="00A900A5" w:rsidP="006F1451">
            <w:pPr>
              <w:pStyle w:val="Header"/>
            </w:pPr>
            <w:r w:rsidRPr="006F1451">
              <w:t>Somewhat agree</w:t>
            </w:r>
          </w:p>
        </w:tc>
        <w:tc>
          <w:tcPr>
            <w:tcW w:w="1605" w:type="dxa"/>
            <w:tcBorders>
              <w:top w:val="single" w:sz="8" w:space="0" w:color="auto"/>
              <w:left w:val="single" w:sz="8" w:space="0" w:color="auto"/>
              <w:bottom w:val="single" w:sz="8" w:space="0" w:color="auto"/>
              <w:right w:val="single" w:sz="8" w:space="0" w:color="auto"/>
            </w:tcBorders>
          </w:tcPr>
          <w:p w14:paraId="35277600" w14:textId="77777777" w:rsidR="00A900A5" w:rsidRPr="006F1451" w:rsidRDefault="00A900A5" w:rsidP="006F1451">
            <w:pPr>
              <w:pStyle w:val="Header"/>
            </w:pPr>
            <w:r w:rsidRPr="006F1451">
              <w:t>Strongly agree</w:t>
            </w:r>
          </w:p>
        </w:tc>
      </w:tr>
      <w:tr w:rsidR="00A900A5" w:rsidRPr="00A900A5" w14:paraId="6703D61E" w14:textId="77777777">
        <w:tc>
          <w:tcPr>
            <w:tcW w:w="1604" w:type="dxa"/>
            <w:tcBorders>
              <w:top w:val="single" w:sz="8" w:space="0" w:color="auto"/>
              <w:left w:val="single" w:sz="8" w:space="0" w:color="auto"/>
              <w:bottom w:val="single" w:sz="8" w:space="0" w:color="auto"/>
              <w:right w:val="single" w:sz="8" w:space="0" w:color="auto"/>
            </w:tcBorders>
          </w:tcPr>
          <w:p w14:paraId="3FDF7C80" w14:textId="77777777" w:rsidR="00A900A5" w:rsidRPr="006F1451" w:rsidRDefault="00A900A5" w:rsidP="006F1451">
            <w:r w:rsidRPr="006F1451">
              <w:t>The TEAP curriculum is providing me with the required knowledge I will need in my profession</w:t>
            </w:r>
          </w:p>
        </w:tc>
        <w:tc>
          <w:tcPr>
            <w:tcW w:w="1605" w:type="dxa"/>
            <w:tcBorders>
              <w:top w:val="single" w:sz="8" w:space="0" w:color="auto"/>
              <w:left w:val="single" w:sz="8" w:space="0" w:color="auto"/>
              <w:bottom w:val="single" w:sz="8" w:space="0" w:color="auto"/>
              <w:right w:val="single" w:sz="8" w:space="0" w:color="auto"/>
            </w:tcBorders>
          </w:tcPr>
          <w:p w14:paraId="7BB818AE"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6097D7C6"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3C3DBDD7"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27A8C510"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109CB621" w14:textId="77777777" w:rsidR="00A900A5" w:rsidRPr="006F1451" w:rsidRDefault="00A900A5" w:rsidP="006F1451"/>
        </w:tc>
      </w:tr>
      <w:tr w:rsidR="00A900A5" w:rsidRPr="00A900A5" w14:paraId="43503819" w14:textId="77777777">
        <w:tc>
          <w:tcPr>
            <w:tcW w:w="1604" w:type="dxa"/>
            <w:tcBorders>
              <w:top w:val="single" w:sz="8" w:space="0" w:color="auto"/>
              <w:left w:val="single" w:sz="8" w:space="0" w:color="auto"/>
              <w:bottom w:val="single" w:sz="8" w:space="0" w:color="auto"/>
              <w:right w:val="single" w:sz="8" w:space="0" w:color="auto"/>
            </w:tcBorders>
          </w:tcPr>
          <w:p w14:paraId="193A3DB4" w14:textId="77777777" w:rsidR="00A900A5" w:rsidRPr="006F1451" w:rsidRDefault="00A900A5" w:rsidP="006F1451">
            <w:r w:rsidRPr="006F1451">
              <w:t>TEAP is providing me with the practical skills I will need in my profession</w:t>
            </w:r>
          </w:p>
        </w:tc>
        <w:tc>
          <w:tcPr>
            <w:tcW w:w="1605" w:type="dxa"/>
            <w:tcBorders>
              <w:top w:val="single" w:sz="8" w:space="0" w:color="auto"/>
              <w:left w:val="single" w:sz="8" w:space="0" w:color="auto"/>
              <w:bottom w:val="single" w:sz="8" w:space="0" w:color="auto"/>
              <w:right w:val="single" w:sz="8" w:space="0" w:color="auto"/>
            </w:tcBorders>
          </w:tcPr>
          <w:p w14:paraId="6A5DDF15"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2E44076A"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02DD3EBC"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7CBC61DF"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6203B554" w14:textId="77777777" w:rsidR="00A900A5" w:rsidRPr="006F1451" w:rsidRDefault="00A900A5" w:rsidP="006F1451"/>
        </w:tc>
      </w:tr>
      <w:tr w:rsidR="00A900A5" w:rsidRPr="00A900A5" w14:paraId="4962F152" w14:textId="77777777">
        <w:tc>
          <w:tcPr>
            <w:tcW w:w="1604" w:type="dxa"/>
            <w:tcBorders>
              <w:top w:val="single" w:sz="8" w:space="0" w:color="auto"/>
              <w:left w:val="single" w:sz="8" w:space="0" w:color="auto"/>
              <w:bottom w:val="single" w:sz="8" w:space="0" w:color="auto"/>
              <w:right w:val="single" w:sz="8" w:space="0" w:color="auto"/>
            </w:tcBorders>
          </w:tcPr>
          <w:p w14:paraId="7784F617" w14:textId="77777777" w:rsidR="00A900A5" w:rsidRPr="006F1451" w:rsidRDefault="00A900A5" w:rsidP="006F1451">
            <w:r w:rsidRPr="006F1451">
              <w:t>TEAP is providing me with the experience I will need in my profession</w:t>
            </w:r>
          </w:p>
        </w:tc>
        <w:tc>
          <w:tcPr>
            <w:tcW w:w="1605" w:type="dxa"/>
            <w:tcBorders>
              <w:top w:val="single" w:sz="8" w:space="0" w:color="auto"/>
              <w:left w:val="single" w:sz="8" w:space="0" w:color="auto"/>
              <w:bottom w:val="single" w:sz="8" w:space="0" w:color="auto"/>
              <w:right w:val="single" w:sz="8" w:space="0" w:color="auto"/>
            </w:tcBorders>
          </w:tcPr>
          <w:p w14:paraId="42E1B67C"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68227CB3"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0E16CE13"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1BEC69B9" w14:textId="77777777" w:rsidR="00A900A5" w:rsidRPr="006F1451" w:rsidRDefault="00A900A5" w:rsidP="006F1451">
            <w:r w:rsidRPr="006F1451">
              <w:t xml:space="preserve"> </w:t>
            </w:r>
          </w:p>
        </w:tc>
        <w:tc>
          <w:tcPr>
            <w:tcW w:w="1605" w:type="dxa"/>
            <w:tcBorders>
              <w:top w:val="single" w:sz="8" w:space="0" w:color="auto"/>
              <w:left w:val="single" w:sz="8" w:space="0" w:color="auto"/>
              <w:bottom w:val="single" w:sz="8" w:space="0" w:color="auto"/>
              <w:right w:val="single" w:sz="8" w:space="0" w:color="auto"/>
            </w:tcBorders>
          </w:tcPr>
          <w:p w14:paraId="57A0A83C" w14:textId="77777777" w:rsidR="00A900A5" w:rsidRPr="006F1451" w:rsidRDefault="00A900A5" w:rsidP="006F1451"/>
        </w:tc>
      </w:tr>
      <w:tr w:rsidR="00A900A5" w:rsidRPr="00A900A5" w14:paraId="07A6F3F3" w14:textId="77777777">
        <w:tc>
          <w:tcPr>
            <w:tcW w:w="1604" w:type="dxa"/>
            <w:tcBorders>
              <w:top w:val="single" w:sz="8" w:space="0" w:color="auto"/>
              <w:left w:val="single" w:sz="8" w:space="0" w:color="auto"/>
              <w:bottom w:val="single" w:sz="8" w:space="0" w:color="auto"/>
              <w:right w:val="single" w:sz="8" w:space="0" w:color="auto"/>
            </w:tcBorders>
          </w:tcPr>
          <w:p w14:paraId="73D0A35D" w14:textId="77777777" w:rsidR="00A900A5" w:rsidRPr="006F1451" w:rsidRDefault="00A900A5" w:rsidP="006F1451">
            <w:r w:rsidRPr="006F1451">
              <w:t>TEAP is preparing me for future changes/ advancements in my profession</w:t>
            </w:r>
          </w:p>
        </w:tc>
        <w:tc>
          <w:tcPr>
            <w:tcW w:w="1605" w:type="dxa"/>
            <w:tcBorders>
              <w:top w:val="single" w:sz="8" w:space="0" w:color="auto"/>
              <w:left w:val="single" w:sz="8" w:space="0" w:color="auto"/>
              <w:bottom w:val="single" w:sz="8" w:space="0" w:color="auto"/>
              <w:right w:val="single" w:sz="8" w:space="0" w:color="auto"/>
            </w:tcBorders>
          </w:tcPr>
          <w:p w14:paraId="2618190D" w14:textId="77777777" w:rsidR="00A900A5" w:rsidRPr="006F1451" w:rsidRDefault="00A900A5" w:rsidP="006F1451"/>
        </w:tc>
        <w:tc>
          <w:tcPr>
            <w:tcW w:w="1605" w:type="dxa"/>
            <w:tcBorders>
              <w:top w:val="single" w:sz="8" w:space="0" w:color="auto"/>
              <w:left w:val="single" w:sz="8" w:space="0" w:color="auto"/>
              <w:bottom w:val="single" w:sz="8" w:space="0" w:color="auto"/>
              <w:right w:val="single" w:sz="8" w:space="0" w:color="auto"/>
            </w:tcBorders>
          </w:tcPr>
          <w:p w14:paraId="0585E1B7" w14:textId="77777777" w:rsidR="00A900A5" w:rsidRPr="006F1451" w:rsidRDefault="00A900A5" w:rsidP="006F1451"/>
        </w:tc>
        <w:tc>
          <w:tcPr>
            <w:tcW w:w="1605" w:type="dxa"/>
            <w:tcBorders>
              <w:top w:val="single" w:sz="8" w:space="0" w:color="auto"/>
              <w:left w:val="single" w:sz="8" w:space="0" w:color="auto"/>
              <w:bottom w:val="single" w:sz="8" w:space="0" w:color="auto"/>
              <w:right w:val="single" w:sz="8" w:space="0" w:color="auto"/>
            </w:tcBorders>
          </w:tcPr>
          <w:p w14:paraId="7C30E2B9" w14:textId="77777777" w:rsidR="00A900A5" w:rsidRPr="006F1451" w:rsidRDefault="00A900A5" w:rsidP="006F1451"/>
        </w:tc>
        <w:tc>
          <w:tcPr>
            <w:tcW w:w="1605" w:type="dxa"/>
            <w:tcBorders>
              <w:top w:val="single" w:sz="8" w:space="0" w:color="auto"/>
              <w:left w:val="single" w:sz="8" w:space="0" w:color="auto"/>
              <w:bottom w:val="single" w:sz="8" w:space="0" w:color="auto"/>
              <w:right w:val="single" w:sz="8" w:space="0" w:color="auto"/>
            </w:tcBorders>
          </w:tcPr>
          <w:p w14:paraId="7A76CAB7" w14:textId="77777777" w:rsidR="00A900A5" w:rsidRPr="006F1451" w:rsidRDefault="00A900A5" w:rsidP="006F1451"/>
        </w:tc>
        <w:tc>
          <w:tcPr>
            <w:tcW w:w="1605" w:type="dxa"/>
            <w:tcBorders>
              <w:top w:val="single" w:sz="8" w:space="0" w:color="auto"/>
              <w:left w:val="single" w:sz="8" w:space="0" w:color="auto"/>
              <w:bottom w:val="single" w:sz="8" w:space="0" w:color="auto"/>
              <w:right w:val="single" w:sz="8" w:space="0" w:color="auto"/>
            </w:tcBorders>
          </w:tcPr>
          <w:p w14:paraId="3A4BC3E5" w14:textId="77777777" w:rsidR="00A900A5" w:rsidRPr="006F1451" w:rsidRDefault="00A900A5" w:rsidP="006F1451"/>
        </w:tc>
      </w:tr>
    </w:tbl>
    <w:p w14:paraId="54B749B6" w14:textId="77777777" w:rsidR="00A900A5" w:rsidRPr="00A900A5" w:rsidRDefault="00A900A5" w:rsidP="00A900A5">
      <w:pPr>
        <w:pStyle w:val="BodyText"/>
        <w:rPr>
          <w:lang w:val="en-US"/>
        </w:rPr>
      </w:pPr>
      <w:r w:rsidRPr="00A900A5">
        <w:rPr>
          <w:lang w:val="en-US"/>
        </w:rPr>
        <w:t>-------------------------------------------------------------------</w:t>
      </w:r>
    </w:p>
    <w:p w14:paraId="16939FA4" w14:textId="4A00B9EB" w:rsidR="00A900A5" w:rsidRPr="00A900A5" w:rsidRDefault="00A900A5" w:rsidP="006F1451">
      <w:pPr>
        <w:pStyle w:val="ListNumber"/>
        <w:rPr>
          <w:lang w:val="en-US"/>
        </w:rPr>
      </w:pPr>
      <w:r w:rsidRPr="00A900A5">
        <w:rPr>
          <w:lang w:val="en-US"/>
        </w:rPr>
        <w:t xml:space="preserve">Are there particular aspects of TEAP program design which you find useful for your career and/or professional development? If so, please provide details?  </w:t>
      </w:r>
      <w:r w:rsidR="00E306E9">
        <w:rPr>
          <w:i/>
          <w:iCs/>
          <w:lang w:val="en-US"/>
        </w:rPr>
        <w:t>Free text</w:t>
      </w:r>
    </w:p>
    <w:p w14:paraId="386005DC" w14:textId="77777777" w:rsidR="00A900A5" w:rsidRPr="00A900A5" w:rsidRDefault="00A900A5" w:rsidP="00A900A5">
      <w:pPr>
        <w:pStyle w:val="BodyText"/>
        <w:rPr>
          <w:lang w:val="en-US"/>
        </w:rPr>
      </w:pPr>
      <w:r w:rsidRPr="00A900A5">
        <w:rPr>
          <w:lang w:val="en-US"/>
        </w:rPr>
        <w:t>-------------------------------------------------------------------</w:t>
      </w:r>
    </w:p>
    <w:p w14:paraId="56CD9400" w14:textId="4956CA5B" w:rsidR="00A900A5" w:rsidRPr="00A900A5" w:rsidRDefault="00A900A5" w:rsidP="006F1451">
      <w:pPr>
        <w:pStyle w:val="ListNumber"/>
        <w:rPr>
          <w:lang w:val="en-US"/>
        </w:rPr>
      </w:pPr>
      <w:r w:rsidRPr="00A900A5">
        <w:rPr>
          <w:lang w:val="en-US"/>
        </w:rPr>
        <w:t xml:space="preserve">Do you have any suggested improvements to TEAP program design?  </w:t>
      </w:r>
      <w:r w:rsidR="00E306E9">
        <w:rPr>
          <w:i/>
          <w:iCs/>
          <w:lang w:val="en-US"/>
        </w:rPr>
        <w:t>Free text</w:t>
      </w:r>
    </w:p>
    <w:p w14:paraId="27B39DFE" w14:textId="41B855C0" w:rsidR="00A900A5" w:rsidRPr="00A900A5" w:rsidRDefault="00A900A5" w:rsidP="001F088E">
      <w:pPr>
        <w:pStyle w:val="BodyText"/>
        <w:rPr>
          <w:lang w:val="en-US"/>
        </w:rPr>
      </w:pPr>
      <w:r w:rsidRPr="00A900A5">
        <w:rPr>
          <w:lang w:val="en-US"/>
        </w:rPr>
        <w:t xml:space="preserve">Suggestions may relate to any skills, knowledge, or experience which you feel are gaps in the program. </w:t>
      </w:r>
    </w:p>
    <w:p w14:paraId="30C0D285" w14:textId="77777777" w:rsidR="00A900A5" w:rsidRPr="00A900A5" w:rsidRDefault="00A900A5" w:rsidP="00A900A5">
      <w:pPr>
        <w:pStyle w:val="BodyText"/>
        <w:rPr>
          <w:lang w:val="en-US"/>
        </w:rPr>
      </w:pPr>
      <w:r w:rsidRPr="00A900A5">
        <w:rPr>
          <w:lang w:val="en-US"/>
        </w:rPr>
        <w:t>-------------------------------------------------------------------</w:t>
      </w:r>
    </w:p>
    <w:p w14:paraId="22CCE935" w14:textId="2D6EF922" w:rsidR="00A900A5" w:rsidRPr="00A900A5" w:rsidRDefault="00A900A5" w:rsidP="006F1451">
      <w:pPr>
        <w:pStyle w:val="ListNumber"/>
        <w:rPr>
          <w:lang w:val="en-US"/>
        </w:rPr>
      </w:pPr>
      <w:r w:rsidRPr="00A900A5">
        <w:rPr>
          <w:lang w:val="en-US"/>
        </w:rPr>
        <w:t xml:space="preserve">To what extent do you agree with the following statements about TEAP? </w:t>
      </w:r>
      <w:r w:rsidR="00125E6A" w:rsidRPr="00207CD2">
        <w:rPr>
          <w:i/>
          <w:iCs/>
          <w:lang w:val="en-US"/>
        </w:rPr>
        <w:t>G</w:t>
      </w:r>
      <w:r w:rsidRPr="00A900A5">
        <w:rPr>
          <w:i/>
          <w:iCs/>
          <w:lang w:val="en-US"/>
        </w:rPr>
        <w:t>rid</w:t>
      </w:r>
    </w:p>
    <w:tbl>
      <w:tblPr>
        <w:tblStyle w:val="TableGrid"/>
        <w:tblW w:w="9913" w:type="dxa"/>
        <w:tblLayout w:type="fixed"/>
        <w:tblLook w:val="06A0" w:firstRow="1" w:lastRow="0" w:firstColumn="1" w:lastColumn="0" w:noHBand="1" w:noVBand="1"/>
      </w:tblPr>
      <w:tblGrid>
        <w:gridCol w:w="1652"/>
        <w:gridCol w:w="1652"/>
        <w:gridCol w:w="1652"/>
        <w:gridCol w:w="1652"/>
        <w:gridCol w:w="1652"/>
        <w:gridCol w:w="1653"/>
      </w:tblGrid>
      <w:tr w:rsidR="00A900A5" w:rsidRPr="00A900A5" w14:paraId="54A6AB0B" w14:textId="77777777" w:rsidTr="006F1451">
        <w:trPr>
          <w:cnfStyle w:val="100000000000" w:firstRow="1" w:lastRow="0" w:firstColumn="0" w:lastColumn="0" w:oddVBand="0" w:evenVBand="0" w:oddHBand="0" w:evenHBand="0" w:firstRowFirstColumn="0" w:firstRowLastColumn="0" w:lastRowFirstColumn="0" w:lastRowLastColumn="0"/>
          <w:tblHeader/>
        </w:trPr>
        <w:tc>
          <w:tcPr>
            <w:tcW w:w="1652" w:type="dxa"/>
            <w:tcBorders>
              <w:top w:val="single" w:sz="8" w:space="0" w:color="auto"/>
              <w:left w:val="single" w:sz="8" w:space="0" w:color="auto"/>
              <w:bottom w:val="single" w:sz="8" w:space="0" w:color="auto"/>
              <w:right w:val="single" w:sz="8" w:space="0" w:color="auto"/>
            </w:tcBorders>
          </w:tcPr>
          <w:p w14:paraId="2A1B5B1D" w14:textId="77777777" w:rsidR="00A900A5" w:rsidRPr="006F1451" w:rsidRDefault="00A900A5" w:rsidP="006F1451">
            <w:pPr>
              <w:pStyle w:val="Header"/>
            </w:pPr>
          </w:p>
        </w:tc>
        <w:tc>
          <w:tcPr>
            <w:tcW w:w="1652" w:type="dxa"/>
            <w:tcBorders>
              <w:top w:val="single" w:sz="8" w:space="0" w:color="auto"/>
              <w:left w:val="single" w:sz="8" w:space="0" w:color="auto"/>
              <w:bottom w:val="single" w:sz="8" w:space="0" w:color="auto"/>
              <w:right w:val="single" w:sz="8" w:space="0" w:color="auto"/>
            </w:tcBorders>
          </w:tcPr>
          <w:p w14:paraId="76833E99" w14:textId="77777777" w:rsidR="00A900A5" w:rsidRPr="006F1451" w:rsidRDefault="00A900A5" w:rsidP="006F1451">
            <w:pPr>
              <w:pStyle w:val="Header"/>
            </w:pPr>
            <w:r w:rsidRPr="006F1451">
              <w:t>Strongly disagree</w:t>
            </w:r>
          </w:p>
        </w:tc>
        <w:tc>
          <w:tcPr>
            <w:tcW w:w="1652" w:type="dxa"/>
            <w:tcBorders>
              <w:top w:val="single" w:sz="8" w:space="0" w:color="auto"/>
              <w:left w:val="single" w:sz="8" w:space="0" w:color="auto"/>
              <w:bottom w:val="single" w:sz="8" w:space="0" w:color="auto"/>
              <w:right w:val="single" w:sz="8" w:space="0" w:color="auto"/>
            </w:tcBorders>
          </w:tcPr>
          <w:p w14:paraId="24057655" w14:textId="77777777" w:rsidR="00A900A5" w:rsidRPr="006F1451" w:rsidRDefault="00A900A5" w:rsidP="006F1451">
            <w:pPr>
              <w:pStyle w:val="Header"/>
            </w:pPr>
            <w:r w:rsidRPr="006F1451">
              <w:t>Somewhat disagree</w:t>
            </w:r>
          </w:p>
        </w:tc>
        <w:tc>
          <w:tcPr>
            <w:tcW w:w="1652" w:type="dxa"/>
            <w:tcBorders>
              <w:top w:val="single" w:sz="8" w:space="0" w:color="auto"/>
              <w:left w:val="single" w:sz="8" w:space="0" w:color="auto"/>
              <w:bottom w:val="single" w:sz="8" w:space="0" w:color="auto"/>
              <w:right w:val="single" w:sz="8" w:space="0" w:color="auto"/>
            </w:tcBorders>
          </w:tcPr>
          <w:p w14:paraId="00997360" w14:textId="77777777" w:rsidR="00A900A5" w:rsidRPr="006F1451" w:rsidRDefault="00A900A5" w:rsidP="006F1451">
            <w:pPr>
              <w:pStyle w:val="Header"/>
            </w:pPr>
            <w:r w:rsidRPr="006F1451">
              <w:t>Neither agree nor disagree</w:t>
            </w:r>
          </w:p>
        </w:tc>
        <w:tc>
          <w:tcPr>
            <w:tcW w:w="1652" w:type="dxa"/>
            <w:tcBorders>
              <w:top w:val="single" w:sz="8" w:space="0" w:color="auto"/>
              <w:left w:val="single" w:sz="8" w:space="0" w:color="auto"/>
              <w:bottom w:val="single" w:sz="8" w:space="0" w:color="auto"/>
              <w:right w:val="single" w:sz="8" w:space="0" w:color="auto"/>
            </w:tcBorders>
          </w:tcPr>
          <w:p w14:paraId="19EBCAD9" w14:textId="77777777" w:rsidR="00A900A5" w:rsidRPr="006F1451" w:rsidRDefault="00A900A5" w:rsidP="006F1451">
            <w:pPr>
              <w:pStyle w:val="Header"/>
            </w:pPr>
            <w:r w:rsidRPr="006F1451">
              <w:t>Somewhat agree</w:t>
            </w:r>
          </w:p>
        </w:tc>
        <w:tc>
          <w:tcPr>
            <w:tcW w:w="1653" w:type="dxa"/>
            <w:tcBorders>
              <w:top w:val="single" w:sz="8" w:space="0" w:color="auto"/>
              <w:left w:val="single" w:sz="8" w:space="0" w:color="auto"/>
              <w:bottom w:val="single" w:sz="8" w:space="0" w:color="auto"/>
              <w:right w:val="single" w:sz="8" w:space="0" w:color="auto"/>
            </w:tcBorders>
          </w:tcPr>
          <w:p w14:paraId="05D19751" w14:textId="77777777" w:rsidR="00A900A5" w:rsidRPr="006F1451" w:rsidRDefault="00A900A5" w:rsidP="006F1451">
            <w:pPr>
              <w:pStyle w:val="Header"/>
            </w:pPr>
            <w:r w:rsidRPr="006F1451">
              <w:t>Strongly agree</w:t>
            </w:r>
          </w:p>
        </w:tc>
      </w:tr>
      <w:tr w:rsidR="00A900A5" w:rsidRPr="00A900A5" w14:paraId="3F1EC137" w14:textId="77777777">
        <w:tc>
          <w:tcPr>
            <w:tcW w:w="1652" w:type="dxa"/>
            <w:tcBorders>
              <w:top w:val="single" w:sz="8" w:space="0" w:color="auto"/>
              <w:left w:val="single" w:sz="8" w:space="0" w:color="auto"/>
              <w:bottom w:val="single" w:sz="8" w:space="0" w:color="auto"/>
              <w:right w:val="single" w:sz="8" w:space="0" w:color="auto"/>
            </w:tcBorders>
          </w:tcPr>
          <w:p w14:paraId="18FCB86D" w14:textId="77777777" w:rsidR="00A900A5" w:rsidRPr="006F1451" w:rsidRDefault="00A900A5" w:rsidP="006F1451">
            <w:r w:rsidRPr="006F1451">
              <w:t>The clinical training I am receiving is high-quality</w:t>
            </w:r>
          </w:p>
        </w:tc>
        <w:tc>
          <w:tcPr>
            <w:tcW w:w="1652" w:type="dxa"/>
            <w:tcBorders>
              <w:top w:val="single" w:sz="8" w:space="0" w:color="auto"/>
              <w:left w:val="single" w:sz="8" w:space="0" w:color="auto"/>
              <w:bottom w:val="single" w:sz="8" w:space="0" w:color="auto"/>
              <w:right w:val="single" w:sz="8" w:space="0" w:color="auto"/>
            </w:tcBorders>
          </w:tcPr>
          <w:p w14:paraId="323BED4A"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400AF27F"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7F05B7F7"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196F8A06" w14:textId="77777777" w:rsidR="00A900A5" w:rsidRPr="006F1451" w:rsidRDefault="00A900A5" w:rsidP="006F1451"/>
        </w:tc>
        <w:tc>
          <w:tcPr>
            <w:tcW w:w="1653" w:type="dxa"/>
            <w:tcBorders>
              <w:top w:val="single" w:sz="8" w:space="0" w:color="auto"/>
              <w:left w:val="single" w:sz="8" w:space="0" w:color="auto"/>
              <w:bottom w:val="single" w:sz="8" w:space="0" w:color="auto"/>
              <w:right w:val="single" w:sz="8" w:space="0" w:color="auto"/>
            </w:tcBorders>
          </w:tcPr>
          <w:p w14:paraId="670ED56E" w14:textId="77777777" w:rsidR="00A900A5" w:rsidRPr="006F1451" w:rsidRDefault="00A900A5" w:rsidP="006F1451"/>
        </w:tc>
      </w:tr>
      <w:tr w:rsidR="00A900A5" w:rsidRPr="00A900A5" w14:paraId="7EE15388" w14:textId="77777777">
        <w:tc>
          <w:tcPr>
            <w:tcW w:w="1652" w:type="dxa"/>
            <w:tcBorders>
              <w:top w:val="single" w:sz="8" w:space="0" w:color="auto"/>
              <w:left w:val="single" w:sz="8" w:space="0" w:color="auto"/>
              <w:bottom w:val="single" w:sz="8" w:space="0" w:color="auto"/>
              <w:right w:val="single" w:sz="8" w:space="0" w:color="auto"/>
            </w:tcBorders>
          </w:tcPr>
          <w:p w14:paraId="19E7362C" w14:textId="77777777" w:rsidR="00A900A5" w:rsidRPr="006F1451" w:rsidRDefault="00A900A5" w:rsidP="006F1451">
            <w:r w:rsidRPr="006F1451">
              <w:t>My supervisor is making strong contributions to my training and professional development</w:t>
            </w:r>
          </w:p>
        </w:tc>
        <w:tc>
          <w:tcPr>
            <w:tcW w:w="1652" w:type="dxa"/>
            <w:tcBorders>
              <w:top w:val="single" w:sz="8" w:space="0" w:color="auto"/>
              <w:left w:val="single" w:sz="8" w:space="0" w:color="auto"/>
              <w:bottom w:val="single" w:sz="8" w:space="0" w:color="auto"/>
              <w:right w:val="single" w:sz="8" w:space="0" w:color="auto"/>
            </w:tcBorders>
          </w:tcPr>
          <w:p w14:paraId="5615EBA2"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21FD81CA"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1568F75B"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76E610C8" w14:textId="77777777" w:rsidR="00A900A5" w:rsidRPr="006F1451" w:rsidRDefault="00A900A5" w:rsidP="006F1451"/>
        </w:tc>
        <w:tc>
          <w:tcPr>
            <w:tcW w:w="1653" w:type="dxa"/>
            <w:tcBorders>
              <w:top w:val="single" w:sz="8" w:space="0" w:color="auto"/>
              <w:left w:val="single" w:sz="8" w:space="0" w:color="auto"/>
              <w:bottom w:val="single" w:sz="8" w:space="0" w:color="auto"/>
              <w:right w:val="single" w:sz="8" w:space="0" w:color="auto"/>
            </w:tcBorders>
          </w:tcPr>
          <w:p w14:paraId="731EC7BB" w14:textId="77777777" w:rsidR="00A900A5" w:rsidRPr="006F1451" w:rsidRDefault="00A900A5" w:rsidP="006F1451"/>
        </w:tc>
      </w:tr>
      <w:tr w:rsidR="00A900A5" w:rsidRPr="00A900A5" w14:paraId="1C6642F4" w14:textId="77777777">
        <w:tc>
          <w:tcPr>
            <w:tcW w:w="1652" w:type="dxa"/>
            <w:tcBorders>
              <w:top w:val="single" w:sz="8" w:space="0" w:color="auto"/>
              <w:left w:val="single" w:sz="8" w:space="0" w:color="auto"/>
              <w:bottom w:val="single" w:sz="8" w:space="0" w:color="auto"/>
              <w:right w:val="single" w:sz="8" w:space="0" w:color="auto"/>
            </w:tcBorders>
          </w:tcPr>
          <w:p w14:paraId="254E7953" w14:textId="77777777" w:rsidR="00A900A5" w:rsidRPr="006F1451" w:rsidRDefault="00A900A5" w:rsidP="006F1451">
            <w:r w:rsidRPr="006F1451">
              <w:t>My supervisor makes themselves available to provide an appropriate level of ongoing support</w:t>
            </w:r>
          </w:p>
        </w:tc>
        <w:tc>
          <w:tcPr>
            <w:tcW w:w="1652" w:type="dxa"/>
            <w:tcBorders>
              <w:top w:val="single" w:sz="8" w:space="0" w:color="auto"/>
              <w:left w:val="single" w:sz="8" w:space="0" w:color="auto"/>
              <w:bottom w:val="single" w:sz="8" w:space="0" w:color="auto"/>
              <w:right w:val="single" w:sz="8" w:space="0" w:color="auto"/>
            </w:tcBorders>
          </w:tcPr>
          <w:p w14:paraId="4E9134CD"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33A37989"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217A472D"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6B094AFC" w14:textId="77777777" w:rsidR="00A900A5" w:rsidRPr="006F1451" w:rsidRDefault="00A900A5" w:rsidP="006F1451"/>
        </w:tc>
        <w:tc>
          <w:tcPr>
            <w:tcW w:w="1653" w:type="dxa"/>
            <w:tcBorders>
              <w:top w:val="single" w:sz="8" w:space="0" w:color="auto"/>
              <w:left w:val="single" w:sz="8" w:space="0" w:color="auto"/>
              <w:bottom w:val="single" w:sz="8" w:space="0" w:color="auto"/>
              <w:right w:val="single" w:sz="8" w:space="0" w:color="auto"/>
            </w:tcBorders>
          </w:tcPr>
          <w:p w14:paraId="5E8E83E1" w14:textId="77777777" w:rsidR="00A900A5" w:rsidRPr="006F1451" w:rsidRDefault="00A900A5" w:rsidP="006F1451"/>
        </w:tc>
      </w:tr>
      <w:tr w:rsidR="00A900A5" w:rsidRPr="00A900A5" w14:paraId="6864F27A" w14:textId="77777777">
        <w:tc>
          <w:tcPr>
            <w:tcW w:w="1652" w:type="dxa"/>
            <w:tcBorders>
              <w:top w:val="single" w:sz="8" w:space="0" w:color="auto"/>
              <w:left w:val="single" w:sz="8" w:space="0" w:color="auto"/>
              <w:bottom w:val="single" w:sz="8" w:space="0" w:color="auto"/>
              <w:right w:val="single" w:sz="8" w:space="0" w:color="auto"/>
            </w:tcBorders>
          </w:tcPr>
          <w:p w14:paraId="1A2359EB" w14:textId="77777777" w:rsidR="00A900A5" w:rsidRPr="006F1451" w:rsidRDefault="00A900A5" w:rsidP="006F1451">
            <w:r w:rsidRPr="006F1451">
              <w:t>I am receiving the support I need in this program</w:t>
            </w:r>
          </w:p>
        </w:tc>
        <w:tc>
          <w:tcPr>
            <w:tcW w:w="1652" w:type="dxa"/>
            <w:tcBorders>
              <w:top w:val="single" w:sz="8" w:space="0" w:color="auto"/>
              <w:left w:val="single" w:sz="8" w:space="0" w:color="auto"/>
              <w:bottom w:val="single" w:sz="8" w:space="0" w:color="auto"/>
              <w:right w:val="single" w:sz="8" w:space="0" w:color="auto"/>
            </w:tcBorders>
          </w:tcPr>
          <w:p w14:paraId="593D4697"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1EC9EDDE"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43B71D6A"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62F03516" w14:textId="77777777" w:rsidR="00A900A5" w:rsidRPr="006F1451" w:rsidRDefault="00A900A5" w:rsidP="006F1451"/>
        </w:tc>
        <w:tc>
          <w:tcPr>
            <w:tcW w:w="1653" w:type="dxa"/>
            <w:tcBorders>
              <w:top w:val="single" w:sz="8" w:space="0" w:color="auto"/>
              <w:left w:val="single" w:sz="8" w:space="0" w:color="auto"/>
              <w:bottom w:val="single" w:sz="8" w:space="0" w:color="auto"/>
              <w:right w:val="single" w:sz="8" w:space="0" w:color="auto"/>
            </w:tcBorders>
          </w:tcPr>
          <w:p w14:paraId="34317512" w14:textId="77777777" w:rsidR="00A900A5" w:rsidRPr="006F1451" w:rsidRDefault="00A900A5" w:rsidP="006F1451"/>
        </w:tc>
      </w:tr>
      <w:tr w:rsidR="00A900A5" w:rsidRPr="00A900A5" w14:paraId="0FDFB5F9" w14:textId="77777777">
        <w:tc>
          <w:tcPr>
            <w:tcW w:w="1652" w:type="dxa"/>
            <w:tcBorders>
              <w:top w:val="single" w:sz="8" w:space="0" w:color="auto"/>
              <w:left w:val="single" w:sz="8" w:space="0" w:color="auto"/>
              <w:bottom w:val="single" w:sz="8" w:space="0" w:color="auto"/>
              <w:right w:val="single" w:sz="8" w:space="0" w:color="auto"/>
            </w:tcBorders>
          </w:tcPr>
          <w:p w14:paraId="03B72258" w14:textId="77777777" w:rsidR="00A900A5" w:rsidRPr="006F1451" w:rsidRDefault="00A900A5" w:rsidP="006F1451">
            <w:r w:rsidRPr="006F1451">
              <w:t xml:space="preserve">Administrative processes for TEAP (e.g. assessment submissions and reporting requirements) are clear </w:t>
            </w:r>
          </w:p>
        </w:tc>
        <w:tc>
          <w:tcPr>
            <w:tcW w:w="1652" w:type="dxa"/>
            <w:tcBorders>
              <w:top w:val="single" w:sz="8" w:space="0" w:color="auto"/>
              <w:left w:val="single" w:sz="8" w:space="0" w:color="auto"/>
              <w:bottom w:val="single" w:sz="8" w:space="0" w:color="auto"/>
              <w:right w:val="single" w:sz="8" w:space="0" w:color="auto"/>
            </w:tcBorders>
          </w:tcPr>
          <w:p w14:paraId="23AD2C4A"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4588CDB4"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2C483C6C"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6A42C064" w14:textId="77777777" w:rsidR="00A900A5" w:rsidRPr="006F1451" w:rsidRDefault="00A900A5"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1DDBAF45" w14:textId="77777777" w:rsidR="00A900A5" w:rsidRPr="006F1451" w:rsidRDefault="00A900A5" w:rsidP="006F1451"/>
        </w:tc>
      </w:tr>
      <w:tr w:rsidR="00A900A5" w:rsidRPr="00A900A5" w14:paraId="475C33BD" w14:textId="77777777">
        <w:tc>
          <w:tcPr>
            <w:tcW w:w="1652" w:type="dxa"/>
            <w:tcBorders>
              <w:top w:val="single" w:sz="8" w:space="0" w:color="auto"/>
              <w:left w:val="single" w:sz="8" w:space="0" w:color="auto"/>
              <w:bottom w:val="single" w:sz="8" w:space="0" w:color="auto"/>
              <w:right w:val="single" w:sz="8" w:space="0" w:color="auto"/>
            </w:tcBorders>
          </w:tcPr>
          <w:p w14:paraId="1454C503" w14:textId="77777777" w:rsidR="00A900A5" w:rsidRPr="006F1451" w:rsidRDefault="00A900A5" w:rsidP="006F1451">
            <w:r w:rsidRPr="006F1451">
              <w:t>Administrative processes for TEAP (e.g. ALEX, Collage response times) are efficient and user-friendly</w:t>
            </w:r>
          </w:p>
        </w:tc>
        <w:tc>
          <w:tcPr>
            <w:tcW w:w="1652" w:type="dxa"/>
            <w:tcBorders>
              <w:top w:val="single" w:sz="8" w:space="0" w:color="auto"/>
              <w:left w:val="single" w:sz="8" w:space="0" w:color="auto"/>
              <w:bottom w:val="single" w:sz="8" w:space="0" w:color="auto"/>
              <w:right w:val="single" w:sz="8" w:space="0" w:color="auto"/>
            </w:tcBorders>
          </w:tcPr>
          <w:p w14:paraId="1316B65F"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695F096A"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7DF91C78"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58C61630" w14:textId="77777777" w:rsidR="00A900A5" w:rsidRPr="006F1451" w:rsidRDefault="00A900A5"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424E0D2C" w14:textId="77777777" w:rsidR="00A900A5" w:rsidRPr="006F1451" w:rsidRDefault="00A900A5" w:rsidP="006F1451"/>
        </w:tc>
      </w:tr>
    </w:tbl>
    <w:p w14:paraId="3739C2EF" w14:textId="77777777" w:rsidR="00A900A5" w:rsidRPr="00A900A5" w:rsidRDefault="00A900A5" w:rsidP="00A900A5">
      <w:pPr>
        <w:pStyle w:val="BodyText"/>
        <w:rPr>
          <w:lang w:val="en-US"/>
        </w:rPr>
      </w:pPr>
      <w:r w:rsidRPr="00A900A5">
        <w:rPr>
          <w:lang w:val="en-US"/>
        </w:rPr>
        <w:t>-------------------------------------------------------------------</w:t>
      </w:r>
    </w:p>
    <w:p w14:paraId="3DF82C88" w14:textId="41E71EEF" w:rsidR="00A900A5" w:rsidRPr="00A900A5" w:rsidRDefault="00A900A5" w:rsidP="006F1451">
      <w:pPr>
        <w:pStyle w:val="ListNumber"/>
        <w:rPr>
          <w:lang w:val="en-US"/>
        </w:rPr>
      </w:pPr>
      <w:r w:rsidRPr="00A900A5">
        <w:rPr>
          <w:lang w:val="en-US"/>
        </w:rPr>
        <w:t xml:space="preserve">Please describe any program elements that you have found positive or beneficial. </w:t>
      </w:r>
      <w:r w:rsidR="00E306E9">
        <w:rPr>
          <w:i/>
          <w:iCs/>
          <w:lang w:val="en-US"/>
        </w:rPr>
        <w:t>Free text</w:t>
      </w:r>
    </w:p>
    <w:p w14:paraId="74D131D9" w14:textId="15584E8B" w:rsidR="00A900A5" w:rsidRPr="006F1451" w:rsidRDefault="00A900A5" w:rsidP="006F1451">
      <w:r w:rsidRPr="00A900A5">
        <w:rPr>
          <w:lang w:val="en-US"/>
        </w:rPr>
        <w:t xml:space="preserve">Program elements may include (but are not limited to) supervisors, support roles and resources, and/or administrative processes. </w:t>
      </w:r>
    </w:p>
    <w:p w14:paraId="187246DF" w14:textId="77777777" w:rsidR="00A900A5" w:rsidRPr="00A900A5" w:rsidRDefault="00A900A5" w:rsidP="00A900A5">
      <w:pPr>
        <w:pStyle w:val="BodyText"/>
        <w:rPr>
          <w:lang w:val="en-US"/>
        </w:rPr>
      </w:pPr>
      <w:r w:rsidRPr="00A900A5">
        <w:rPr>
          <w:lang w:val="en-US"/>
        </w:rPr>
        <w:t>-------------------------------------------------------------------</w:t>
      </w:r>
    </w:p>
    <w:p w14:paraId="7315A85C" w14:textId="7387BFA3" w:rsidR="00A900A5" w:rsidRPr="00A900A5" w:rsidRDefault="00A900A5" w:rsidP="006F1451">
      <w:pPr>
        <w:pStyle w:val="ListNumber"/>
        <w:rPr>
          <w:lang w:val="en-US"/>
        </w:rPr>
      </w:pPr>
      <w:r w:rsidRPr="00A900A5">
        <w:rPr>
          <w:lang w:val="en-US"/>
        </w:rPr>
        <w:t xml:space="preserve">Do you have any suggested improvements to the delivery of TEAP?  </w:t>
      </w:r>
      <w:r w:rsidR="00E306E9">
        <w:rPr>
          <w:i/>
          <w:iCs/>
          <w:lang w:val="en-US"/>
        </w:rPr>
        <w:t>Free text</w:t>
      </w:r>
    </w:p>
    <w:p w14:paraId="20E8B8FA" w14:textId="77C9DF05" w:rsidR="00A900A5" w:rsidRPr="00A900A5" w:rsidRDefault="00A900A5" w:rsidP="00207CD2">
      <w:pPr>
        <w:pStyle w:val="BodyText"/>
        <w:rPr>
          <w:lang w:val="en-US"/>
        </w:rPr>
      </w:pPr>
      <w:r w:rsidRPr="00A900A5">
        <w:rPr>
          <w:lang w:val="en-US"/>
        </w:rPr>
        <w:t xml:space="preserve">Suggestions may relate to any additional supports or resources which you feel are gaps in the program. </w:t>
      </w:r>
    </w:p>
    <w:p w14:paraId="1B0D037F" w14:textId="77777777" w:rsidR="00A900A5" w:rsidRPr="00A900A5" w:rsidRDefault="00A900A5" w:rsidP="00A900A5">
      <w:pPr>
        <w:pStyle w:val="BodyText"/>
        <w:rPr>
          <w:lang w:val="en-US"/>
        </w:rPr>
      </w:pPr>
      <w:r w:rsidRPr="00A900A5">
        <w:rPr>
          <w:lang w:val="en-US"/>
        </w:rPr>
        <w:t>-------------------------------------------------------------------</w:t>
      </w:r>
    </w:p>
    <w:p w14:paraId="44D814CC" w14:textId="77F34F28" w:rsidR="00A900A5" w:rsidRPr="00A900A5" w:rsidRDefault="00A900A5" w:rsidP="006F1451">
      <w:pPr>
        <w:pStyle w:val="ListNumber"/>
        <w:rPr>
          <w:lang w:val="en-US"/>
        </w:rPr>
      </w:pPr>
      <w:r w:rsidRPr="00A900A5">
        <w:rPr>
          <w:lang w:val="en-US"/>
        </w:rPr>
        <w:t xml:space="preserve">To what extent do you agree with the following statements about TEAP? </w:t>
      </w:r>
      <w:r w:rsidR="00207CD2">
        <w:rPr>
          <w:i/>
          <w:iCs/>
          <w:lang w:val="en-US"/>
        </w:rPr>
        <w:t>Grid</w:t>
      </w:r>
    </w:p>
    <w:tbl>
      <w:tblPr>
        <w:tblStyle w:val="TableGrid"/>
        <w:tblW w:w="10055" w:type="dxa"/>
        <w:tblLayout w:type="fixed"/>
        <w:tblLook w:val="06A0" w:firstRow="1" w:lastRow="0" w:firstColumn="1" w:lastColumn="0" w:noHBand="1" w:noVBand="1"/>
      </w:tblPr>
      <w:tblGrid>
        <w:gridCol w:w="1675"/>
        <w:gridCol w:w="1676"/>
        <w:gridCol w:w="1676"/>
        <w:gridCol w:w="1676"/>
        <w:gridCol w:w="1676"/>
        <w:gridCol w:w="1676"/>
      </w:tblGrid>
      <w:tr w:rsidR="00A900A5" w:rsidRPr="00A900A5" w14:paraId="1F6EFBCD" w14:textId="77777777" w:rsidTr="006F1451">
        <w:trPr>
          <w:cnfStyle w:val="100000000000" w:firstRow="1" w:lastRow="0" w:firstColumn="0" w:lastColumn="0" w:oddVBand="0" w:evenVBand="0" w:oddHBand="0" w:evenHBand="0" w:firstRowFirstColumn="0" w:firstRowLastColumn="0" w:lastRowFirstColumn="0" w:lastRowLastColumn="0"/>
          <w:tblHeader/>
        </w:trPr>
        <w:tc>
          <w:tcPr>
            <w:tcW w:w="1675" w:type="dxa"/>
            <w:tcBorders>
              <w:top w:val="single" w:sz="8" w:space="0" w:color="auto"/>
              <w:left w:val="single" w:sz="8" w:space="0" w:color="auto"/>
              <w:bottom w:val="single" w:sz="8" w:space="0" w:color="auto"/>
              <w:right w:val="single" w:sz="8" w:space="0" w:color="auto"/>
            </w:tcBorders>
          </w:tcPr>
          <w:p w14:paraId="30A2AA54" w14:textId="77777777" w:rsidR="00A900A5" w:rsidRPr="006F1451" w:rsidRDefault="00A900A5" w:rsidP="006F1451">
            <w:pPr>
              <w:pStyle w:val="Header"/>
            </w:pPr>
          </w:p>
        </w:tc>
        <w:tc>
          <w:tcPr>
            <w:tcW w:w="1676" w:type="dxa"/>
            <w:tcBorders>
              <w:top w:val="single" w:sz="8" w:space="0" w:color="auto"/>
              <w:left w:val="single" w:sz="8" w:space="0" w:color="auto"/>
              <w:bottom w:val="single" w:sz="8" w:space="0" w:color="auto"/>
              <w:right w:val="single" w:sz="8" w:space="0" w:color="auto"/>
            </w:tcBorders>
          </w:tcPr>
          <w:p w14:paraId="6B6D38A5" w14:textId="77777777" w:rsidR="00A900A5" w:rsidRPr="006F1451" w:rsidRDefault="00A900A5" w:rsidP="006F1451">
            <w:pPr>
              <w:pStyle w:val="Header"/>
            </w:pPr>
            <w:r w:rsidRPr="006F1451">
              <w:t>Strongly disagree</w:t>
            </w:r>
          </w:p>
        </w:tc>
        <w:tc>
          <w:tcPr>
            <w:tcW w:w="1676" w:type="dxa"/>
            <w:tcBorders>
              <w:top w:val="single" w:sz="8" w:space="0" w:color="auto"/>
              <w:left w:val="single" w:sz="8" w:space="0" w:color="auto"/>
              <w:bottom w:val="single" w:sz="8" w:space="0" w:color="auto"/>
              <w:right w:val="single" w:sz="8" w:space="0" w:color="auto"/>
            </w:tcBorders>
          </w:tcPr>
          <w:p w14:paraId="582313DE" w14:textId="77777777" w:rsidR="00A900A5" w:rsidRPr="006F1451" w:rsidRDefault="00A900A5" w:rsidP="006F1451">
            <w:pPr>
              <w:pStyle w:val="Header"/>
            </w:pPr>
            <w:r w:rsidRPr="006F1451">
              <w:t>Somewhat disagree</w:t>
            </w:r>
          </w:p>
        </w:tc>
        <w:tc>
          <w:tcPr>
            <w:tcW w:w="1676" w:type="dxa"/>
            <w:tcBorders>
              <w:top w:val="single" w:sz="8" w:space="0" w:color="auto"/>
              <w:left w:val="single" w:sz="8" w:space="0" w:color="auto"/>
              <w:bottom w:val="single" w:sz="8" w:space="0" w:color="auto"/>
              <w:right w:val="single" w:sz="8" w:space="0" w:color="auto"/>
            </w:tcBorders>
          </w:tcPr>
          <w:p w14:paraId="54BE044A" w14:textId="77777777" w:rsidR="00A900A5" w:rsidRPr="006F1451" w:rsidRDefault="00A900A5" w:rsidP="006F1451">
            <w:pPr>
              <w:pStyle w:val="Header"/>
            </w:pPr>
            <w:r w:rsidRPr="006F1451">
              <w:t>Neither agree nor disagree</w:t>
            </w:r>
          </w:p>
        </w:tc>
        <w:tc>
          <w:tcPr>
            <w:tcW w:w="1676" w:type="dxa"/>
            <w:tcBorders>
              <w:top w:val="single" w:sz="8" w:space="0" w:color="auto"/>
              <w:left w:val="single" w:sz="8" w:space="0" w:color="auto"/>
              <w:bottom w:val="single" w:sz="8" w:space="0" w:color="auto"/>
              <w:right w:val="single" w:sz="8" w:space="0" w:color="auto"/>
            </w:tcBorders>
          </w:tcPr>
          <w:p w14:paraId="18B76027" w14:textId="77777777" w:rsidR="00A900A5" w:rsidRPr="006F1451" w:rsidRDefault="00A900A5" w:rsidP="006F1451">
            <w:pPr>
              <w:pStyle w:val="Header"/>
            </w:pPr>
            <w:r w:rsidRPr="006F1451">
              <w:t>Somewhat agree</w:t>
            </w:r>
          </w:p>
        </w:tc>
        <w:tc>
          <w:tcPr>
            <w:tcW w:w="1676" w:type="dxa"/>
            <w:tcBorders>
              <w:top w:val="single" w:sz="8" w:space="0" w:color="auto"/>
              <w:left w:val="single" w:sz="8" w:space="0" w:color="auto"/>
              <w:bottom w:val="single" w:sz="8" w:space="0" w:color="auto"/>
              <w:right w:val="single" w:sz="8" w:space="0" w:color="auto"/>
            </w:tcBorders>
          </w:tcPr>
          <w:p w14:paraId="4DF086C4" w14:textId="77777777" w:rsidR="00A900A5" w:rsidRPr="006F1451" w:rsidRDefault="00A900A5" w:rsidP="006F1451">
            <w:pPr>
              <w:pStyle w:val="Header"/>
            </w:pPr>
            <w:r w:rsidRPr="006F1451">
              <w:t>Strongly agree</w:t>
            </w:r>
          </w:p>
        </w:tc>
      </w:tr>
      <w:tr w:rsidR="00A900A5" w:rsidRPr="00A900A5" w14:paraId="350D50BF" w14:textId="77777777">
        <w:tc>
          <w:tcPr>
            <w:tcW w:w="1675" w:type="dxa"/>
            <w:tcBorders>
              <w:top w:val="single" w:sz="8" w:space="0" w:color="auto"/>
              <w:left w:val="single" w:sz="8" w:space="0" w:color="auto"/>
              <w:bottom w:val="single" w:sz="8" w:space="0" w:color="auto"/>
              <w:right w:val="single" w:sz="8" w:space="0" w:color="auto"/>
            </w:tcBorders>
          </w:tcPr>
          <w:p w14:paraId="7FBE9ED7" w14:textId="77777777" w:rsidR="00A900A5" w:rsidRPr="006F1451" w:rsidRDefault="00A900A5" w:rsidP="006F1451">
            <w:r w:rsidRPr="006F1451">
              <w:t xml:space="preserve">The training and education I </w:t>
            </w:r>
            <w:proofErr w:type="gramStart"/>
            <w:r w:rsidRPr="006F1451">
              <w:t>am</w:t>
            </w:r>
            <w:proofErr w:type="gramEnd"/>
            <w:r w:rsidRPr="006F1451">
              <w:t xml:space="preserve"> receiving is having a positive impact on the quality of my work</w:t>
            </w:r>
          </w:p>
        </w:tc>
        <w:tc>
          <w:tcPr>
            <w:tcW w:w="1676" w:type="dxa"/>
            <w:tcBorders>
              <w:top w:val="single" w:sz="8" w:space="0" w:color="auto"/>
              <w:left w:val="single" w:sz="8" w:space="0" w:color="auto"/>
              <w:bottom w:val="single" w:sz="8" w:space="0" w:color="auto"/>
              <w:right w:val="single" w:sz="8" w:space="0" w:color="auto"/>
            </w:tcBorders>
          </w:tcPr>
          <w:p w14:paraId="4EE0A739" w14:textId="77777777" w:rsidR="00A900A5" w:rsidRPr="006F1451" w:rsidRDefault="00A900A5" w:rsidP="006F1451">
            <w:r w:rsidRPr="006F1451">
              <w:t xml:space="preserve"> </w:t>
            </w:r>
          </w:p>
        </w:tc>
        <w:tc>
          <w:tcPr>
            <w:tcW w:w="1676" w:type="dxa"/>
            <w:tcBorders>
              <w:top w:val="single" w:sz="8" w:space="0" w:color="auto"/>
              <w:left w:val="single" w:sz="8" w:space="0" w:color="auto"/>
              <w:bottom w:val="single" w:sz="8" w:space="0" w:color="auto"/>
              <w:right w:val="single" w:sz="8" w:space="0" w:color="auto"/>
            </w:tcBorders>
          </w:tcPr>
          <w:p w14:paraId="1B7C1F22" w14:textId="77777777" w:rsidR="00A900A5" w:rsidRPr="006F1451" w:rsidRDefault="00A900A5" w:rsidP="006F1451">
            <w:r w:rsidRPr="006F1451">
              <w:t xml:space="preserve"> </w:t>
            </w:r>
          </w:p>
        </w:tc>
        <w:tc>
          <w:tcPr>
            <w:tcW w:w="1676" w:type="dxa"/>
            <w:tcBorders>
              <w:top w:val="single" w:sz="8" w:space="0" w:color="auto"/>
              <w:left w:val="single" w:sz="8" w:space="0" w:color="auto"/>
              <w:bottom w:val="single" w:sz="8" w:space="0" w:color="auto"/>
              <w:right w:val="single" w:sz="8" w:space="0" w:color="auto"/>
            </w:tcBorders>
          </w:tcPr>
          <w:p w14:paraId="03C324A3" w14:textId="77777777" w:rsidR="00A900A5" w:rsidRPr="006F1451" w:rsidRDefault="00A900A5" w:rsidP="006F1451">
            <w:r w:rsidRPr="006F1451">
              <w:t xml:space="preserve"> </w:t>
            </w:r>
          </w:p>
        </w:tc>
        <w:tc>
          <w:tcPr>
            <w:tcW w:w="1676" w:type="dxa"/>
            <w:tcBorders>
              <w:top w:val="single" w:sz="8" w:space="0" w:color="auto"/>
              <w:left w:val="single" w:sz="8" w:space="0" w:color="auto"/>
              <w:bottom w:val="single" w:sz="8" w:space="0" w:color="auto"/>
              <w:right w:val="single" w:sz="8" w:space="0" w:color="auto"/>
            </w:tcBorders>
          </w:tcPr>
          <w:p w14:paraId="7061270D" w14:textId="77777777" w:rsidR="00A900A5" w:rsidRPr="006F1451" w:rsidRDefault="00A900A5" w:rsidP="006F1451">
            <w:r w:rsidRPr="006F1451">
              <w:t xml:space="preserve"> </w:t>
            </w:r>
          </w:p>
        </w:tc>
        <w:tc>
          <w:tcPr>
            <w:tcW w:w="1676" w:type="dxa"/>
            <w:tcBorders>
              <w:top w:val="single" w:sz="8" w:space="0" w:color="auto"/>
              <w:left w:val="single" w:sz="8" w:space="0" w:color="auto"/>
              <w:bottom w:val="single" w:sz="8" w:space="0" w:color="auto"/>
              <w:right w:val="single" w:sz="8" w:space="0" w:color="auto"/>
            </w:tcBorders>
          </w:tcPr>
          <w:p w14:paraId="5A241382" w14:textId="77777777" w:rsidR="00A900A5" w:rsidRPr="006F1451" w:rsidRDefault="00A900A5" w:rsidP="006F1451"/>
        </w:tc>
      </w:tr>
      <w:tr w:rsidR="00A900A5" w:rsidRPr="00A900A5" w14:paraId="77F5C893" w14:textId="77777777">
        <w:tc>
          <w:tcPr>
            <w:tcW w:w="1675" w:type="dxa"/>
            <w:tcBorders>
              <w:top w:val="single" w:sz="8" w:space="0" w:color="auto"/>
              <w:left w:val="single" w:sz="8" w:space="0" w:color="auto"/>
              <w:bottom w:val="single" w:sz="8" w:space="0" w:color="auto"/>
              <w:right w:val="single" w:sz="8" w:space="0" w:color="auto"/>
            </w:tcBorders>
          </w:tcPr>
          <w:p w14:paraId="5ADF8627" w14:textId="77777777" w:rsidR="00A900A5" w:rsidRPr="006F1451" w:rsidRDefault="00A900A5" w:rsidP="006F1451">
            <w:r w:rsidRPr="006F1451">
              <w:t xml:space="preserve">I am considering or would consider a career in regional, rural or remote communities </w:t>
            </w:r>
          </w:p>
        </w:tc>
        <w:tc>
          <w:tcPr>
            <w:tcW w:w="1676" w:type="dxa"/>
            <w:tcBorders>
              <w:top w:val="single" w:sz="8" w:space="0" w:color="auto"/>
              <w:left w:val="single" w:sz="8" w:space="0" w:color="auto"/>
              <w:bottom w:val="single" w:sz="8" w:space="0" w:color="auto"/>
              <w:right w:val="single" w:sz="8" w:space="0" w:color="auto"/>
            </w:tcBorders>
          </w:tcPr>
          <w:p w14:paraId="4C2A6D0B" w14:textId="77777777" w:rsidR="00A900A5" w:rsidRPr="006F1451" w:rsidRDefault="00A900A5" w:rsidP="006F1451"/>
        </w:tc>
        <w:tc>
          <w:tcPr>
            <w:tcW w:w="1676" w:type="dxa"/>
            <w:tcBorders>
              <w:top w:val="single" w:sz="8" w:space="0" w:color="auto"/>
              <w:left w:val="single" w:sz="8" w:space="0" w:color="auto"/>
              <w:bottom w:val="single" w:sz="8" w:space="0" w:color="auto"/>
              <w:right w:val="single" w:sz="8" w:space="0" w:color="auto"/>
            </w:tcBorders>
          </w:tcPr>
          <w:p w14:paraId="12A627E6" w14:textId="77777777" w:rsidR="00A900A5" w:rsidRPr="006F1451" w:rsidRDefault="00A900A5" w:rsidP="006F1451"/>
        </w:tc>
        <w:tc>
          <w:tcPr>
            <w:tcW w:w="1676" w:type="dxa"/>
            <w:tcBorders>
              <w:top w:val="single" w:sz="8" w:space="0" w:color="auto"/>
              <w:left w:val="single" w:sz="8" w:space="0" w:color="auto"/>
              <w:bottom w:val="single" w:sz="8" w:space="0" w:color="auto"/>
              <w:right w:val="single" w:sz="8" w:space="0" w:color="auto"/>
            </w:tcBorders>
          </w:tcPr>
          <w:p w14:paraId="0B55616C" w14:textId="77777777" w:rsidR="00A900A5" w:rsidRPr="006F1451" w:rsidRDefault="00A900A5" w:rsidP="006F1451"/>
        </w:tc>
        <w:tc>
          <w:tcPr>
            <w:tcW w:w="1676" w:type="dxa"/>
            <w:tcBorders>
              <w:top w:val="single" w:sz="8" w:space="0" w:color="auto"/>
              <w:left w:val="single" w:sz="8" w:space="0" w:color="auto"/>
              <w:bottom w:val="single" w:sz="8" w:space="0" w:color="auto"/>
              <w:right w:val="single" w:sz="8" w:space="0" w:color="auto"/>
            </w:tcBorders>
          </w:tcPr>
          <w:p w14:paraId="65872EEB" w14:textId="77777777" w:rsidR="00A900A5" w:rsidRPr="006F1451" w:rsidRDefault="00A900A5" w:rsidP="006F1451"/>
        </w:tc>
        <w:tc>
          <w:tcPr>
            <w:tcW w:w="1676" w:type="dxa"/>
            <w:tcBorders>
              <w:top w:val="single" w:sz="8" w:space="0" w:color="auto"/>
              <w:left w:val="single" w:sz="8" w:space="0" w:color="auto"/>
              <w:bottom w:val="single" w:sz="8" w:space="0" w:color="auto"/>
              <w:right w:val="single" w:sz="8" w:space="0" w:color="auto"/>
            </w:tcBorders>
          </w:tcPr>
          <w:p w14:paraId="0E1FE08A" w14:textId="77777777" w:rsidR="00A900A5" w:rsidRPr="006F1451" w:rsidRDefault="00A900A5" w:rsidP="006F1451"/>
        </w:tc>
      </w:tr>
    </w:tbl>
    <w:p w14:paraId="04B23445" w14:textId="77777777" w:rsidR="00A900A5" w:rsidRPr="00A900A5" w:rsidRDefault="00A900A5" w:rsidP="00A900A5">
      <w:pPr>
        <w:pStyle w:val="BodyText"/>
        <w:rPr>
          <w:lang w:val="en-US"/>
        </w:rPr>
      </w:pPr>
      <w:r w:rsidRPr="00A900A5">
        <w:rPr>
          <w:lang w:val="en-US"/>
        </w:rPr>
        <w:t>-------------------------------------------------------------------</w:t>
      </w:r>
    </w:p>
    <w:p w14:paraId="438BE660" w14:textId="74DD2638" w:rsidR="00A900A5" w:rsidRPr="00A900A5" w:rsidRDefault="00A900A5" w:rsidP="006F1451">
      <w:pPr>
        <w:pStyle w:val="ListNumber"/>
        <w:rPr>
          <w:lang w:val="en-US"/>
        </w:rPr>
      </w:pPr>
      <w:r w:rsidRPr="00A900A5">
        <w:rPr>
          <w:lang w:val="en-US"/>
        </w:rPr>
        <w:t xml:space="preserve">Please describe any </w:t>
      </w:r>
      <w:proofErr w:type="gramStart"/>
      <w:r w:rsidRPr="00A900A5">
        <w:rPr>
          <w:lang w:val="en-US"/>
        </w:rPr>
        <w:t>impacts</w:t>
      </w:r>
      <w:proofErr w:type="gramEnd"/>
      <w:r w:rsidRPr="00A900A5">
        <w:rPr>
          <w:lang w:val="en-US"/>
        </w:rPr>
        <w:t xml:space="preserve"> TEAP is having/will have on your career progression and professional development. </w:t>
      </w:r>
      <w:r w:rsidR="00E306E9">
        <w:rPr>
          <w:i/>
          <w:iCs/>
          <w:lang w:val="en-US"/>
        </w:rPr>
        <w:t>Free text</w:t>
      </w:r>
    </w:p>
    <w:p w14:paraId="6911CA43" w14:textId="77777777" w:rsidR="00A900A5" w:rsidRPr="00A900A5" w:rsidRDefault="00A900A5" w:rsidP="00A900A5">
      <w:pPr>
        <w:pStyle w:val="BodyText"/>
        <w:rPr>
          <w:lang w:val="en-US"/>
        </w:rPr>
      </w:pPr>
      <w:r w:rsidRPr="00A900A5">
        <w:rPr>
          <w:lang w:val="en-US"/>
        </w:rPr>
        <w:t>-------------------------------------------------------------------</w:t>
      </w:r>
    </w:p>
    <w:p w14:paraId="6A8960ED" w14:textId="07FB73EC" w:rsidR="00A900A5" w:rsidRPr="00A900A5" w:rsidRDefault="00A900A5" w:rsidP="006F1451">
      <w:pPr>
        <w:pStyle w:val="ListNumber"/>
        <w:rPr>
          <w:lang w:val="en-US"/>
        </w:rPr>
      </w:pPr>
      <w:r w:rsidRPr="00A900A5">
        <w:rPr>
          <w:lang w:val="en-US"/>
        </w:rPr>
        <w:t>Overall, how would you rate your satisfaction with the program?</w:t>
      </w:r>
      <w:r w:rsidR="00D35D40">
        <w:rPr>
          <w:lang w:val="en-US"/>
        </w:rPr>
        <w:t xml:space="preserve"> </w:t>
      </w:r>
      <w:r w:rsidR="00D35D40">
        <w:rPr>
          <w:i/>
          <w:iCs/>
          <w:lang w:val="en-US"/>
        </w:rPr>
        <w:t>Select 1 option</w:t>
      </w:r>
    </w:p>
    <w:p w14:paraId="33585637" w14:textId="77777777" w:rsidR="00A900A5" w:rsidRPr="00A900A5" w:rsidRDefault="00A900A5" w:rsidP="006F1451">
      <w:pPr>
        <w:pStyle w:val="ListBullet"/>
        <w:rPr>
          <w:lang w:val="en-US"/>
        </w:rPr>
      </w:pPr>
      <w:r w:rsidRPr="00A900A5">
        <w:rPr>
          <w:lang w:val="en-US"/>
        </w:rPr>
        <w:t>Very satisfied</w:t>
      </w:r>
    </w:p>
    <w:p w14:paraId="5EF047F5" w14:textId="77777777" w:rsidR="00A900A5" w:rsidRPr="00A900A5" w:rsidRDefault="00A900A5" w:rsidP="006F1451">
      <w:pPr>
        <w:pStyle w:val="ListBullet"/>
        <w:rPr>
          <w:lang w:val="en-US"/>
        </w:rPr>
      </w:pPr>
      <w:r w:rsidRPr="00A900A5">
        <w:rPr>
          <w:lang w:val="en-US"/>
        </w:rPr>
        <w:t>Somewhat satisfied</w:t>
      </w:r>
    </w:p>
    <w:p w14:paraId="430562E3" w14:textId="77777777" w:rsidR="00A900A5" w:rsidRPr="00A900A5" w:rsidRDefault="00A900A5" w:rsidP="006F1451">
      <w:pPr>
        <w:pStyle w:val="ListBullet"/>
        <w:rPr>
          <w:lang w:val="en-US"/>
        </w:rPr>
      </w:pPr>
      <w:r w:rsidRPr="00A900A5">
        <w:rPr>
          <w:lang w:val="en-US"/>
        </w:rPr>
        <w:t>Neither satisfied nor dissatisfied</w:t>
      </w:r>
    </w:p>
    <w:p w14:paraId="40AF72FC" w14:textId="77777777" w:rsidR="00A900A5" w:rsidRPr="00A900A5" w:rsidRDefault="00A900A5" w:rsidP="006F1451">
      <w:pPr>
        <w:pStyle w:val="ListBullet"/>
        <w:rPr>
          <w:lang w:val="en-US"/>
        </w:rPr>
      </w:pPr>
      <w:r w:rsidRPr="00A900A5">
        <w:rPr>
          <w:lang w:val="en-US"/>
        </w:rPr>
        <w:t>Somewhat dissatisfied</w:t>
      </w:r>
    </w:p>
    <w:p w14:paraId="25DB0331" w14:textId="77777777" w:rsidR="00A900A5" w:rsidRPr="00A900A5" w:rsidRDefault="00A900A5" w:rsidP="006F1451">
      <w:pPr>
        <w:pStyle w:val="ListBullet"/>
        <w:rPr>
          <w:lang w:val="en-US"/>
        </w:rPr>
      </w:pPr>
      <w:r w:rsidRPr="00A900A5">
        <w:rPr>
          <w:lang w:val="en-US"/>
        </w:rPr>
        <w:t>Very dissatisfied</w:t>
      </w:r>
    </w:p>
    <w:p w14:paraId="5E1639E1" w14:textId="77777777" w:rsidR="00A900A5" w:rsidRPr="00A900A5" w:rsidRDefault="00A900A5" w:rsidP="00A900A5">
      <w:pPr>
        <w:pStyle w:val="BodyText"/>
        <w:rPr>
          <w:lang w:val="en-US"/>
        </w:rPr>
      </w:pPr>
      <w:r w:rsidRPr="00A900A5">
        <w:rPr>
          <w:lang w:val="en-US"/>
        </w:rPr>
        <w:t>-------------------------------------------------------------------</w:t>
      </w:r>
    </w:p>
    <w:p w14:paraId="33212D2E" w14:textId="066CEA28" w:rsidR="00A900A5" w:rsidRPr="00207CD2" w:rsidRDefault="00A900A5" w:rsidP="006F1451">
      <w:pPr>
        <w:pStyle w:val="ListNumber"/>
        <w:rPr>
          <w:lang w:val="en-US"/>
        </w:rPr>
      </w:pPr>
      <w:r w:rsidRPr="00A900A5">
        <w:rPr>
          <w:lang w:val="en-US"/>
        </w:rPr>
        <w:t xml:space="preserve">Any other comments? </w:t>
      </w:r>
      <w:r w:rsidR="00E306E9">
        <w:rPr>
          <w:i/>
          <w:iCs/>
          <w:lang w:val="en-US"/>
        </w:rPr>
        <w:t>Free text</w:t>
      </w:r>
    </w:p>
    <w:p w14:paraId="3110D58E" w14:textId="50F9DD85" w:rsidR="00207CD2" w:rsidRPr="00A900A5" w:rsidRDefault="00207CD2" w:rsidP="00207CD2">
      <w:pPr>
        <w:pStyle w:val="BodyText"/>
        <w:rPr>
          <w:lang w:val="en-US"/>
        </w:rPr>
      </w:pPr>
      <w:r w:rsidRPr="00A900A5">
        <w:rPr>
          <w:lang w:val="en-US"/>
        </w:rPr>
        <w:t>-------------------------------------------------------------------</w:t>
      </w:r>
    </w:p>
    <w:p w14:paraId="44DFFD65" w14:textId="77777777" w:rsidR="00A900A5" w:rsidRPr="00A900A5" w:rsidRDefault="00A900A5" w:rsidP="00A900A5">
      <w:pPr>
        <w:pStyle w:val="BodyText"/>
        <w:rPr>
          <w:b/>
          <w:bCs/>
          <w:lang w:val="en-US"/>
        </w:rPr>
      </w:pPr>
      <w:r w:rsidRPr="00A900A5">
        <w:rPr>
          <w:b/>
          <w:bCs/>
          <w:lang w:val="en-US"/>
        </w:rPr>
        <w:t>Past trainees</w:t>
      </w:r>
    </w:p>
    <w:p w14:paraId="6008D319" w14:textId="1B5FB3EF" w:rsidR="00A900A5" w:rsidRPr="00194457" w:rsidRDefault="00207CD2" w:rsidP="006F1451">
      <w:pPr>
        <w:rPr>
          <w:i/>
          <w:lang w:val="en-US"/>
        </w:rPr>
      </w:pPr>
      <w:r w:rsidRPr="00194457">
        <w:rPr>
          <w:i/>
          <w:lang w:val="en-US"/>
        </w:rPr>
        <w:t xml:space="preserve">Conditional survey logic: </w:t>
      </w:r>
      <w:r w:rsidR="00A900A5" w:rsidRPr="00194457">
        <w:rPr>
          <w:i/>
          <w:lang w:val="en-US"/>
        </w:rPr>
        <w:t xml:space="preserve">Questions 22 – 41 are for respondents who select ‘Past’ in Q6. </w:t>
      </w:r>
    </w:p>
    <w:p w14:paraId="0D6EE561" w14:textId="55AA072A" w:rsidR="00A900A5" w:rsidRPr="006F1451" w:rsidRDefault="00A900A5" w:rsidP="00584EC6">
      <w:pPr>
        <w:pStyle w:val="ListNumber"/>
        <w:numPr>
          <w:ilvl w:val="0"/>
          <w:numId w:val="99"/>
        </w:numPr>
        <w:rPr>
          <w:lang w:val="en-US"/>
        </w:rPr>
      </w:pPr>
      <w:r w:rsidRPr="006F1451">
        <w:rPr>
          <w:lang w:val="en-US"/>
        </w:rPr>
        <w:t>How long ago did you complete TEAP?</w:t>
      </w:r>
      <w:r w:rsidR="00D35D40" w:rsidRPr="006F1451">
        <w:rPr>
          <w:lang w:val="en-US"/>
        </w:rPr>
        <w:t xml:space="preserve"> </w:t>
      </w:r>
      <w:r w:rsidR="00D35D40" w:rsidRPr="006F1451">
        <w:rPr>
          <w:i/>
          <w:iCs/>
          <w:lang w:val="en-US"/>
        </w:rPr>
        <w:t>Select 1 option</w:t>
      </w:r>
    </w:p>
    <w:p w14:paraId="726275F4" w14:textId="77777777" w:rsidR="00A900A5" w:rsidRPr="00A900A5" w:rsidRDefault="00A900A5" w:rsidP="006F1451">
      <w:pPr>
        <w:pStyle w:val="ListBullet"/>
        <w:rPr>
          <w:lang w:val="en-US"/>
        </w:rPr>
      </w:pPr>
      <w:r w:rsidRPr="00A900A5">
        <w:rPr>
          <w:lang w:val="en-US"/>
        </w:rPr>
        <w:t>Less than 3 months ago</w:t>
      </w:r>
    </w:p>
    <w:p w14:paraId="465408ED" w14:textId="77777777" w:rsidR="00A900A5" w:rsidRPr="00A900A5" w:rsidRDefault="00A900A5" w:rsidP="006F1451">
      <w:pPr>
        <w:pStyle w:val="ListBullet"/>
        <w:rPr>
          <w:lang w:val="en-US"/>
        </w:rPr>
      </w:pPr>
      <w:r w:rsidRPr="00A900A5">
        <w:rPr>
          <w:lang w:val="en-US"/>
        </w:rPr>
        <w:t>3-6 months ago</w:t>
      </w:r>
    </w:p>
    <w:p w14:paraId="20E74C88" w14:textId="77777777" w:rsidR="00A900A5" w:rsidRPr="00A900A5" w:rsidRDefault="00A900A5" w:rsidP="006F1451">
      <w:pPr>
        <w:pStyle w:val="ListBullet"/>
        <w:rPr>
          <w:lang w:val="en-US"/>
        </w:rPr>
      </w:pPr>
      <w:r w:rsidRPr="00A900A5">
        <w:rPr>
          <w:lang w:val="en-US"/>
        </w:rPr>
        <w:t>6-12 months ago</w:t>
      </w:r>
    </w:p>
    <w:p w14:paraId="646FCE7A" w14:textId="77777777" w:rsidR="00A900A5" w:rsidRPr="00A900A5" w:rsidRDefault="00A900A5" w:rsidP="006F1451">
      <w:pPr>
        <w:pStyle w:val="ListBullet"/>
        <w:rPr>
          <w:lang w:val="en-US"/>
        </w:rPr>
      </w:pPr>
      <w:r w:rsidRPr="00A900A5">
        <w:rPr>
          <w:lang w:val="en-US"/>
        </w:rPr>
        <w:t>1-2 years ago</w:t>
      </w:r>
    </w:p>
    <w:p w14:paraId="30510CB1" w14:textId="3BFBD4D7" w:rsidR="00A900A5" w:rsidRPr="00A900A5" w:rsidRDefault="00A900A5" w:rsidP="006F1451">
      <w:pPr>
        <w:pStyle w:val="ListBullet"/>
        <w:rPr>
          <w:lang w:val="en-US"/>
        </w:rPr>
      </w:pPr>
      <w:r w:rsidRPr="00A900A5">
        <w:rPr>
          <w:lang w:val="en-US"/>
        </w:rPr>
        <w:t xml:space="preserve">Over 2 years ago (please specify the year you graduated) </w:t>
      </w:r>
      <w:r w:rsidR="00E306E9">
        <w:rPr>
          <w:lang w:val="en-US"/>
        </w:rPr>
        <w:t>(</w:t>
      </w:r>
      <w:r w:rsidR="00E306E9">
        <w:rPr>
          <w:i/>
          <w:iCs/>
          <w:lang w:val="en-US"/>
        </w:rPr>
        <w:t>free text)</w:t>
      </w:r>
    </w:p>
    <w:p w14:paraId="3060AB22" w14:textId="77777777" w:rsidR="00A900A5" w:rsidRPr="00A900A5" w:rsidRDefault="00A900A5" w:rsidP="00A900A5">
      <w:pPr>
        <w:pStyle w:val="BodyText"/>
        <w:rPr>
          <w:lang w:val="en-US"/>
        </w:rPr>
      </w:pPr>
      <w:r w:rsidRPr="00A900A5">
        <w:rPr>
          <w:lang w:val="en-US"/>
        </w:rPr>
        <w:t>-------------------------------------------------------------------</w:t>
      </w:r>
    </w:p>
    <w:p w14:paraId="0792001C" w14:textId="4CD6ED9D" w:rsidR="00A900A5" w:rsidRPr="00A900A5" w:rsidRDefault="00A900A5" w:rsidP="006F1451">
      <w:pPr>
        <w:pStyle w:val="ListNumber"/>
        <w:rPr>
          <w:lang w:val="en-US"/>
        </w:rPr>
      </w:pPr>
      <w:r w:rsidRPr="00A900A5">
        <w:rPr>
          <w:lang w:val="en-US"/>
        </w:rPr>
        <w:t xml:space="preserve">What is the location of the facility you completed your training at? </w:t>
      </w:r>
      <w:r w:rsidR="00D35D40">
        <w:rPr>
          <w:i/>
          <w:iCs/>
          <w:lang w:val="en-US"/>
        </w:rPr>
        <w:t>Select 1 option</w:t>
      </w:r>
    </w:p>
    <w:p w14:paraId="071AF3F6" w14:textId="77777777" w:rsidR="00A900A5" w:rsidRPr="00A900A5" w:rsidRDefault="00A900A5" w:rsidP="006F1451">
      <w:pPr>
        <w:pStyle w:val="ListBullet"/>
        <w:rPr>
          <w:lang w:val="en-US"/>
        </w:rPr>
      </w:pPr>
      <w:r w:rsidRPr="00A900A5">
        <w:rPr>
          <w:lang w:val="en-US"/>
        </w:rPr>
        <w:t>Australian Capital Territory</w:t>
      </w:r>
    </w:p>
    <w:p w14:paraId="300DEA47" w14:textId="77777777" w:rsidR="00A900A5" w:rsidRPr="00A900A5" w:rsidRDefault="00A900A5" w:rsidP="006F1451">
      <w:pPr>
        <w:pStyle w:val="ListBullet"/>
        <w:rPr>
          <w:lang w:val="en-US"/>
        </w:rPr>
      </w:pPr>
      <w:r w:rsidRPr="00A900A5">
        <w:rPr>
          <w:lang w:val="en-US"/>
        </w:rPr>
        <w:t>New South Wales</w:t>
      </w:r>
    </w:p>
    <w:p w14:paraId="20E16B54" w14:textId="77777777" w:rsidR="00A900A5" w:rsidRPr="00A900A5" w:rsidRDefault="00A900A5" w:rsidP="006F1451">
      <w:pPr>
        <w:pStyle w:val="ListBullet"/>
        <w:rPr>
          <w:lang w:val="en-US"/>
        </w:rPr>
      </w:pPr>
      <w:r w:rsidRPr="00A900A5">
        <w:rPr>
          <w:lang w:val="en-US"/>
        </w:rPr>
        <w:t>Queensland</w:t>
      </w:r>
    </w:p>
    <w:p w14:paraId="02DF3E93" w14:textId="77777777" w:rsidR="00A900A5" w:rsidRPr="00A900A5" w:rsidRDefault="00A900A5" w:rsidP="006F1451">
      <w:pPr>
        <w:pStyle w:val="ListBullet"/>
        <w:rPr>
          <w:lang w:val="en-US"/>
        </w:rPr>
      </w:pPr>
      <w:r w:rsidRPr="00A900A5">
        <w:rPr>
          <w:lang w:val="en-US"/>
        </w:rPr>
        <w:t>South Australia</w:t>
      </w:r>
    </w:p>
    <w:p w14:paraId="497044B3" w14:textId="77777777" w:rsidR="00A900A5" w:rsidRPr="00A900A5" w:rsidRDefault="00A900A5" w:rsidP="006F1451">
      <w:pPr>
        <w:pStyle w:val="ListBullet"/>
        <w:rPr>
          <w:lang w:val="en-US"/>
        </w:rPr>
      </w:pPr>
      <w:r w:rsidRPr="00A900A5">
        <w:rPr>
          <w:lang w:val="en-US"/>
        </w:rPr>
        <w:t>Victoria</w:t>
      </w:r>
    </w:p>
    <w:p w14:paraId="730862D0" w14:textId="77777777" w:rsidR="00A900A5" w:rsidRPr="00A900A5" w:rsidRDefault="00A900A5" w:rsidP="006F1451">
      <w:pPr>
        <w:pStyle w:val="ListBullet"/>
        <w:rPr>
          <w:lang w:val="en-US"/>
        </w:rPr>
      </w:pPr>
      <w:r w:rsidRPr="00A900A5">
        <w:rPr>
          <w:lang w:val="en-US"/>
        </w:rPr>
        <w:t>Western Australia</w:t>
      </w:r>
    </w:p>
    <w:p w14:paraId="23C3C9F6" w14:textId="77777777" w:rsidR="00A900A5" w:rsidRPr="00A900A5" w:rsidRDefault="00A900A5" w:rsidP="006F1451">
      <w:pPr>
        <w:pStyle w:val="ListBullet"/>
        <w:rPr>
          <w:lang w:val="en-US"/>
        </w:rPr>
      </w:pPr>
      <w:r w:rsidRPr="00A900A5">
        <w:rPr>
          <w:lang w:val="en-US"/>
        </w:rPr>
        <w:t>Northern Territory</w:t>
      </w:r>
    </w:p>
    <w:p w14:paraId="2927BAB6" w14:textId="77777777" w:rsidR="00A900A5" w:rsidRPr="00A900A5" w:rsidRDefault="00A900A5" w:rsidP="006F1451">
      <w:pPr>
        <w:pStyle w:val="ListBullet"/>
        <w:rPr>
          <w:lang w:val="en-US"/>
        </w:rPr>
      </w:pPr>
      <w:r w:rsidRPr="00A900A5">
        <w:rPr>
          <w:lang w:val="en-US"/>
        </w:rPr>
        <w:t>Other</w:t>
      </w:r>
    </w:p>
    <w:p w14:paraId="74329182" w14:textId="77777777" w:rsidR="00A900A5" w:rsidRPr="00A900A5" w:rsidRDefault="00A900A5" w:rsidP="00A900A5">
      <w:pPr>
        <w:pStyle w:val="BodyText"/>
        <w:rPr>
          <w:lang w:val="en-US"/>
        </w:rPr>
      </w:pPr>
      <w:r w:rsidRPr="00A900A5">
        <w:rPr>
          <w:lang w:val="en-US"/>
        </w:rPr>
        <w:t>-------------------------------------------------------------------</w:t>
      </w:r>
    </w:p>
    <w:p w14:paraId="08B60CA9" w14:textId="32E851D7" w:rsidR="00A900A5" w:rsidRPr="00A900A5" w:rsidRDefault="00A900A5" w:rsidP="006F1451">
      <w:pPr>
        <w:pStyle w:val="ListNumber"/>
        <w:rPr>
          <w:lang w:val="en-US"/>
        </w:rPr>
      </w:pPr>
      <w:r w:rsidRPr="00A900A5">
        <w:rPr>
          <w:lang w:val="en-US"/>
        </w:rPr>
        <w:t xml:space="preserve">What is the Modified Monash Model (MMM) rating of the facility you completed TEAP at? </w:t>
      </w:r>
      <w:r w:rsidR="00D35D40">
        <w:rPr>
          <w:i/>
          <w:iCs/>
          <w:lang w:val="en-US"/>
        </w:rPr>
        <w:t>Select 1 option</w:t>
      </w:r>
    </w:p>
    <w:p w14:paraId="4B105575" w14:textId="1606FF70" w:rsidR="00A900A5" w:rsidRPr="00A900A5" w:rsidRDefault="00A900A5" w:rsidP="006F1451">
      <w:pPr>
        <w:rPr>
          <w:lang w:val="en-US"/>
        </w:rPr>
      </w:pPr>
      <w:r w:rsidRPr="00A900A5">
        <w:rPr>
          <w:lang w:val="en-US"/>
        </w:rPr>
        <w:t xml:space="preserve">MMM classifications are based on remoteness and population size. You can find your MMM classification </w:t>
      </w:r>
      <w:hyperlink r:id="rId70" w:history="1">
        <w:r w:rsidRPr="00A900A5">
          <w:rPr>
            <w:rStyle w:val="Hyperlink"/>
            <w:lang w:val="en-US"/>
          </w:rPr>
          <w:t>here</w:t>
        </w:r>
      </w:hyperlink>
      <w:r w:rsidRPr="00A900A5">
        <w:rPr>
          <w:lang w:val="en-US"/>
        </w:rPr>
        <w:t xml:space="preserve">. If you operate across multiple facilities, please select the MMM rating of the facility in which you perform most of your work. </w:t>
      </w:r>
    </w:p>
    <w:p w14:paraId="4CAB4DD5" w14:textId="77777777" w:rsidR="00A900A5" w:rsidRPr="00A900A5" w:rsidRDefault="00A900A5" w:rsidP="006F1451">
      <w:pPr>
        <w:pStyle w:val="ListBullet"/>
        <w:rPr>
          <w:lang w:val="en-US"/>
        </w:rPr>
      </w:pPr>
      <w:r w:rsidRPr="00A900A5">
        <w:rPr>
          <w:lang w:val="en-US"/>
        </w:rPr>
        <w:t>MM 1: Metropolitan area</w:t>
      </w:r>
    </w:p>
    <w:p w14:paraId="62D5C688" w14:textId="77777777" w:rsidR="00A900A5" w:rsidRPr="00A900A5" w:rsidRDefault="00A900A5" w:rsidP="006F1451">
      <w:pPr>
        <w:pStyle w:val="ListBullet"/>
        <w:rPr>
          <w:lang w:val="en-US"/>
        </w:rPr>
      </w:pPr>
      <w:r w:rsidRPr="00A900A5">
        <w:rPr>
          <w:lang w:val="en-US"/>
        </w:rPr>
        <w:t xml:space="preserve">MM 2: Regional </w:t>
      </w:r>
      <w:proofErr w:type="spellStart"/>
      <w:r w:rsidRPr="00A900A5">
        <w:rPr>
          <w:lang w:val="en-US"/>
        </w:rPr>
        <w:t>centre</w:t>
      </w:r>
      <w:proofErr w:type="spellEnd"/>
    </w:p>
    <w:p w14:paraId="3E2E4DA9" w14:textId="77777777" w:rsidR="00A900A5" w:rsidRPr="00A900A5" w:rsidRDefault="00A900A5" w:rsidP="006F1451">
      <w:pPr>
        <w:pStyle w:val="ListBullet"/>
        <w:rPr>
          <w:lang w:val="en-US"/>
        </w:rPr>
      </w:pPr>
      <w:r w:rsidRPr="00A900A5">
        <w:rPr>
          <w:lang w:val="en-US"/>
        </w:rPr>
        <w:t>MM 3: Large rural town</w:t>
      </w:r>
    </w:p>
    <w:p w14:paraId="116628B6" w14:textId="77777777" w:rsidR="00A900A5" w:rsidRPr="00A900A5" w:rsidRDefault="00A900A5" w:rsidP="006F1451">
      <w:pPr>
        <w:pStyle w:val="ListBullet"/>
        <w:rPr>
          <w:lang w:val="en-US"/>
        </w:rPr>
      </w:pPr>
      <w:r w:rsidRPr="00A900A5">
        <w:rPr>
          <w:lang w:val="en-US"/>
        </w:rPr>
        <w:t>MM 4: Medium rural town</w:t>
      </w:r>
    </w:p>
    <w:p w14:paraId="17347934" w14:textId="77777777" w:rsidR="00A900A5" w:rsidRPr="00A900A5" w:rsidRDefault="00A900A5" w:rsidP="006F1451">
      <w:pPr>
        <w:pStyle w:val="ListBullet"/>
        <w:rPr>
          <w:lang w:val="en-US"/>
        </w:rPr>
      </w:pPr>
      <w:r w:rsidRPr="00A900A5">
        <w:rPr>
          <w:lang w:val="en-US"/>
        </w:rPr>
        <w:t>MM 5: Small rural town</w:t>
      </w:r>
    </w:p>
    <w:p w14:paraId="531A8460" w14:textId="77777777" w:rsidR="00A900A5" w:rsidRPr="00A900A5" w:rsidRDefault="00A900A5" w:rsidP="006F1451">
      <w:pPr>
        <w:pStyle w:val="ListBullet"/>
        <w:rPr>
          <w:lang w:val="en-US"/>
        </w:rPr>
      </w:pPr>
      <w:r w:rsidRPr="00A900A5">
        <w:rPr>
          <w:lang w:val="en-US"/>
        </w:rPr>
        <w:t>MM 6: Remote community</w:t>
      </w:r>
    </w:p>
    <w:p w14:paraId="3B553177" w14:textId="77777777" w:rsidR="00A900A5" w:rsidRPr="00A900A5" w:rsidRDefault="00A900A5" w:rsidP="006F1451">
      <w:pPr>
        <w:pStyle w:val="ListBullet"/>
        <w:rPr>
          <w:lang w:val="en-US"/>
        </w:rPr>
      </w:pPr>
      <w:r w:rsidRPr="00A900A5">
        <w:rPr>
          <w:lang w:val="en-US"/>
        </w:rPr>
        <w:t>MM 7: Very remote community</w:t>
      </w:r>
    </w:p>
    <w:p w14:paraId="4E576CDC" w14:textId="5D535F90" w:rsidR="00A900A5" w:rsidRPr="00A900A5" w:rsidRDefault="00A900A5" w:rsidP="006F1451">
      <w:pPr>
        <w:pStyle w:val="ListBullet"/>
        <w:rPr>
          <w:lang w:val="en-US"/>
        </w:rPr>
      </w:pPr>
      <w:r w:rsidRPr="00A900A5">
        <w:rPr>
          <w:lang w:val="en-US"/>
        </w:rPr>
        <w:t xml:space="preserve">Unsure </w:t>
      </w:r>
      <w:r w:rsidR="00E306E9">
        <w:rPr>
          <w:lang w:val="en-US"/>
        </w:rPr>
        <w:t>(</w:t>
      </w:r>
      <w:r w:rsidR="00E306E9">
        <w:rPr>
          <w:i/>
          <w:iCs/>
          <w:lang w:val="en-US"/>
        </w:rPr>
        <w:t>free text)</w:t>
      </w:r>
    </w:p>
    <w:p w14:paraId="0AF80A78" w14:textId="25823AF7" w:rsidR="00A900A5" w:rsidRPr="00A900A5" w:rsidRDefault="00A900A5" w:rsidP="006F1451">
      <w:pPr>
        <w:rPr>
          <w:lang w:val="en-US"/>
        </w:rPr>
      </w:pPr>
      <w:r w:rsidRPr="00A900A5">
        <w:rPr>
          <w:lang w:val="en-US"/>
        </w:rPr>
        <w:t xml:space="preserve">Please enter your facility’s address. </w:t>
      </w:r>
    </w:p>
    <w:p w14:paraId="68B64933" w14:textId="77777777" w:rsidR="00A900A5" w:rsidRPr="00A900A5" w:rsidRDefault="00A900A5" w:rsidP="00A900A5">
      <w:pPr>
        <w:pStyle w:val="BodyText"/>
        <w:rPr>
          <w:lang w:val="en-US"/>
        </w:rPr>
      </w:pPr>
      <w:r w:rsidRPr="00A900A5">
        <w:rPr>
          <w:lang w:val="en-US"/>
        </w:rPr>
        <w:t>-------------------------------------------------------------------</w:t>
      </w:r>
    </w:p>
    <w:p w14:paraId="34231ECB" w14:textId="059797E9" w:rsidR="00A900A5" w:rsidRPr="00A900A5" w:rsidRDefault="00A900A5" w:rsidP="006F1451">
      <w:pPr>
        <w:pStyle w:val="ListNumber"/>
        <w:rPr>
          <w:lang w:val="en-US"/>
        </w:rPr>
      </w:pPr>
      <w:r w:rsidRPr="00A900A5">
        <w:rPr>
          <w:lang w:val="en-US"/>
        </w:rPr>
        <w:t xml:space="preserve">Is the facility you completed TEAP at a public or private facility? </w:t>
      </w:r>
      <w:r w:rsidR="00286DF2">
        <w:rPr>
          <w:i/>
          <w:iCs/>
          <w:lang w:val="en-US"/>
        </w:rPr>
        <w:t>Select 1 option</w:t>
      </w:r>
    </w:p>
    <w:p w14:paraId="42610F7D" w14:textId="101CCFF4" w:rsidR="00A900A5" w:rsidRPr="00A900A5" w:rsidRDefault="00A900A5" w:rsidP="00A900A5">
      <w:pPr>
        <w:pStyle w:val="BodyText"/>
        <w:rPr>
          <w:lang w:val="en-US"/>
        </w:rPr>
      </w:pPr>
      <w:r w:rsidRPr="00A900A5">
        <w:rPr>
          <w:lang w:val="en-US"/>
        </w:rPr>
        <w:t>If you trained across multiple facilities, please select for the facility in which you performed most of your training.</w:t>
      </w:r>
    </w:p>
    <w:p w14:paraId="209BFBAA" w14:textId="77777777" w:rsidR="00A900A5" w:rsidRPr="00A900A5" w:rsidRDefault="00A900A5" w:rsidP="006F1451">
      <w:pPr>
        <w:pStyle w:val="ListBullet"/>
        <w:rPr>
          <w:lang w:val="en-US"/>
        </w:rPr>
      </w:pPr>
      <w:r w:rsidRPr="00A900A5">
        <w:rPr>
          <w:lang w:val="en-US"/>
        </w:rPr>
        <w:t>Public</w:t>
      </w:r>
    </w:p>
    <w:p w14:paraId="1B1266A7" w14:textId="77777777" w:rsidR="00A900A5" w:rsidRPr="00A900A5" w:rsidRDefault="00A900A5" w:rsidP="006F1451">
      <w:pPr>
        <w:pStyle w:val="ListBullet"/>
        <w:rPr>
          <w:lang w:val="en-US"/>
        </w:rPr>
      </w:pPr>
      <w:r w:rsidRPr="00A900A5">
        <w:rPr>
          <w:lang w:val="en-US"/>
        </w:rPr>
        <w:t>Private</w:t>
      </w:r>
    </w:p>
    <w:p w14:paraId="2BF8C97E" w14:textId="77777777" w:rsidR="00A900A5" w:rsidRPr="00A900A5" w:rsidRDefault="00A900A5" w:rsidP="00A900A5">
      <w:pPr>
        <w:pStyle w:val="BodyText"/>
        <w:rPr>
          <w:lang w:val="en-US"/>
        </w:rPr>
      </w:pPr>
      <w:r w:rsidRPr="00A900A5">
        <w:rPr>
          <w:lang w:val="en-US"/>
        </w:rPr>
        <w:t>-------------------------------------------------------------------</w:t>
      </w:r>
    </w:p>
    <w:p w14:paraId="0256C2CA" w14:textId="05B3FC08" w:rsidR="00A900A5" w:rsidRPr="00A900A5" w:rsidRDefault="00A900A5" w:rsidP="006F1451">
      <w:pPr>
        <w:pStyle w:val="ListNumber"/>
        <w:rPr>
          <w:lang w:val="en-US"/>
        </w:rPr>
      </w:pPr>
      <w:proofErr w:type="gramStart"/>
      <w:r w:rsidRPr="00A900A5">
        <w:rPr>
          <w:lang w:val="en-US"/>
        </w:rPr>
        <w:t>Was</w:t>
      </w:r>
      <w:proofErr w:type="gramEnd"/>
      <w:r w:rsidRPr="00A900A5">
        <w:rPr>
          <w:lang w:val="en-US"/>
        </w:rPr>
        <w:t xml:space="preserve"> </w:t>
      </w:r>
      <w:proofErr w:type="gramStart"/>
      <w:r w:rsidRPr="00A900A5">
        <w:rPr>
          <w:lang w:val="en-US"/>
        </w:rPr>
        <w:t>you</w:t>
      </w:r>
      <w:proofErr w:type="gramEnd"/>
      <w:r w:rsidRPr="00A900A5">
        <w:rPr>
          <w:lang w:val="en-US"/>
        </w:rPr>
        <w:t xml:space="preserve"> training delivered under the previous or the revised curriculum? </w:t>
      </w:r>
      <w:r w:rsidR="00286DF2">
        <w:rPr>
          <w:i/>
          <w:iCs/>
          <w:lang w:val="en-US"/>
        </w:rPr>
        <w:t>Select 1 option</w:t>
      </w:r>
    </w:p>
    <w:p w14:paraId="557B74F5" w14:textId="07225080" w:rsidR="00A900A5" w:rsidRPr="00A900A5" w:rsidRDefault="00A900A5" w:rsidP="00A900A5">
      <w:pPr>
        <w:pStyle w:val="BodyText"/>
        <w:rPr>
          <w:lang w:val="en-US"/>
        </w:rPr>
      </w:pPr>
      <w:r w:rsidRPr="00A900A5">
        <w:rPr>
          <w:lang w:val="en-US"/>
        </w:rPr>
        <w:t xml:space="preserve">The previous curriculum is the curriculum delivered prior to the recent formal review and update of TEAP. </w:t>
      </w:r>
    </w:p>
    <w:p w14:paraId="7C42AFF9" w14:textId="77777777" w:rsidR="00A900A5" w:rsidRPr="00A900A5" w:rsidRDefault="00A900A5" w:rsidP="006F1451">
      <w:pPr>
        <w:pStyle w:val="ListBullet"/>
        <w:rPr>
          <w:lang w:val="en-US"/>
        </w:rPr>
      </w:pPr>
      <w:r w:rsidRPr="00A900A5">
        <w:rPr>
          <w:lang w:val="en-US"/>
        </w:rPr>
        <w:t>Previous curriculum</w:t>
      </w:r>
    </w:p>
    <w:p w14:paraId="2565D38D" w14:textId="77777777" w:rsidR="00A900A5" w:rsidRPr="00A900A5" w:rsidRDefault="00A900A5" w:rsidP="006F1451">
      <w:pPr>
        <w:pStyle w:val="ListBullet"/>
        <w:rPr>
          <w:lang w:val="en-US"/>
        </w:rPr>
      </w:pPr>
      <w:r w:rsidRPr="00A900A5">
        <w:rPr>
          <w:lang w:val="en-US"/>
        </w:rPr>
        <w:t>Revised curriculum</w:t>
      </w:r>
    </w:p>
    <w:p w14:paraId="76DC2312" w14:textId="147C6461" w:rsidR="00A900A5" w:rsidRPr="00A900A5" w:rsidRDefault="00A900A5" w:rsidP="006F1451">
      <w:pPr>
        <w:pStyle w:val="ListBullet"/>
        <w:rPr>
          <w:lang w:val="en-US"/>
        </w:rPr>
      </w:pPr>
      <w:r w:rsidRPr="00A900A5">
        <w:rPr>
          <w:lang w:val="en-US"/>
        </w:rPr>
        <w:t>Combination</w:t>
      </w:r>
    </w:p>
    <w:p w14:paraId="37A74A6A" w14:textId="3336EABE" w:rsidR="00A900A5" w:rsidRPr="00A900A5" w:rsidRDefault="00A900A5" w:rsidP="00BE166E">
      <w:pPr>
        <w:pStyle w:val="BodyText"/>
        <w:rPr>
          <w:lang w:val="en-US"/>
        </w:rPr>
      </w:pPr>
      <w:r w:rsidRPr="00A900A5">
        <w:rPr>
          <w:lang w:val="en-US"/>
        </w:rPr>
        <w:t>-------------------------------------------------------------------</w:t>
      </w:r>
    </w:p>
    <w:p w14:paraId="27DE8386" w14:textId="53B87441" w:rsidR="00A900A5" w:rsidRPr="00A900A5" w:rsidRDefault="00A900A5" w:rsidP="006F1451">
      <w:pPr>
        <w:pStyle w:val="ListNumber"/>
        <w:rPr>
          <w:lang w:val="en-US"/>
        </w:rPr>
      </w:pPr>
      <w:r w:rsidRPr="00A900A5">
        <w:rPr>
          <w:lang w:val="en-US"/>
        </w:rPr>
        <w:t>Are you currently working as a medical physicist or radiopharmaceutical scientist?</w:t>
      </w:r>
      <w:r w:rsidR="00BE166E">
        <w:rPr>
          <w:lang w:val="en-US"/>
        </w:rPr>
        <w:t xml:space="preserve"> </w:t>
      </w:r>
      <w:r w:rsidR="00BE166E">
        <w:rPr>
          <w:i/>
          <w:iCs/>
          <w:lang w:val="en-US"/>
        </w:rPr>
        <w:t>Select 1 option</w:t>
      </w:r>
    </w:p>
    <w:p w14:paraId="1E687C4E" w14:textId="77777777" w:rsidR="00A900A5" w:rsidRPr="00A900A5" w:rsidRDefault="00A900A5" w:rsidP="006F1451">
      <w:pPr>
        <w:pStyle w:val="ListBullet"/>
        <w:rPr>
          <w:lang w:val="en-US"/>
        </w:rPr>
      </w:pPr>
      <w:r w:rsidRPr="00A900A5">
        <w:rPr>
          <w:lang w:val="en-US"/>
        </w:rPr>
        <w:t>Yes</w:t>
      </w:r>
    </w:p>
    <w:p w14:paraId="297580E6" w14:textId="77777777" w:rsidR="00A900A5" w:rsidRPr="00A900A5" w:rsidRDefault="00A900A5" w:rsidP="006F1451">
      <w:pPr>
        <w:pStyle w:val="ListBullet"/>
        <w:rPr>
          <w:lang w:val="en-US"/>
        </w:rPr>
      </w:pPr>
      <w:r w:rsidRPr="00A900A5">
        <w:rPr>
          <w:lang w:val="en-US"/>
        </w:rPr>
        <w:t xml:space="preserve">No </w:t>
      </w:r>
    </w:p>
    <w:p w14:paraId="1BDEB2C0" w14:textId="77777777" w:rsidR="00A900A5" w:rsidRPr="00A900A5" w:rsidRDefault="00A900A5" w:rsidP="00A900A5">
      <w:pPr>
        <w:pStyle w:val="BodyText"/>
        <w:rPr>
          <w:lang w:val="en-US"/>
        </w:rPr>
      </w:pPr>
      <w:r w:rsidRPr="00A900A5">
        <w:rPr>
          <w:lang w:val="en-US"/>
        </w:rPr>
        <w:t>-------------------------------------------------------------------</w:t>
      </w:r>
    </w:p>
    <w:p w14:paraId="497C3642" w14:textId="56DF8D89" w:rsidR="00A900A5" w:rsidRPr="00A900A5" w:rsidRDefault="00320506" w:rsidP="00A900A5">
      <w:pPr>
        <w:pStyle w:val="BodyText"/>
        <w:rPr>
          <w:i/>
          <w:iCs/>
          <w:lang w:val="en-US"/>
        </w:rPr>
      </w:pPr>
      <w:r w:rsidRPr="00320506">
        <w:rPr>
          <w:i/>
          <w:iCs/>
          <w:lang w:val="en-US"/>
        </w:rPr>
        <w:t>C</w:t>
      </w:r>
      <w:r w:rsidR="00A900A5" w:rsidRPr="00A900A5">
        <w:rPr>
          <w:i/>
          <w:iCs/>
          <w:lang w:val="en-US"/>
        </w:rPr>
        <w:t xml:space="preserve">onditional survey logic: if ‘Yes’ is selected for Q27, proceed to Q29. If ‘No’ is selected for Q27, Q28 will appear, and will then proceed to Q32. </w:t>
      </w:r>
    </w:p>
    <w:p w14:paraId="3D3A58E5" w14:textId="77BE3666" w:rsidR="00A900A5" w:rsidRPr="00A900A5" w:rsidRDefault="00A900A5" w:rsidP="006F1451">
      <w:pPr>
        <w:pStyle w:val="ListNumber"/>
        <w:rPr>
          <w:lang w:val="en-US"/>
        </w:rPr>
      </w:pPr>
      <w:r w:rsidRPr="00A900A5">
        <w:rPr>
          <w:lang w:val="en-US"/>
        </w:rPr>
        <w:t xml:space="preserve">Why are you not working within the medical physicist or radiopharmaceutical scientist workforce? </w:t>
      </w:r>
      <w:r w:rsidR="00E306E9">
        <w:rPr>
          <w:i/>
          <w:iCs/>
          <w:lang w:val="en-US"/>
        </w:rPr>
        <w:t>Free text</w:t>
      </w:r>
    </w:p>
    <w:p w14:paraId="027117A5" w14:textId="77777777" w:rsidR="00A900A5" w:rsidRPr="00A900A5" w:rsidRDefault="00A900A5" w:rsidP="00A900A5">
      <w:pPr>
        <w:pStyle w:val="BodyText"/>
        <w:rPr>
          <w:lang w:val="en-US"/>
        </w:rPr>
      </w:pPr>
      <w:r w:rsidRPr="00A900A5">
        <w:rPr>
          <w:lang w:val="en-US"/>
        </w:rPr>
        <w:t>-------------------------------------------------------------------</w:t>
      </w:r>
    </w:p>
    <w:p w14:paraId="47A4CF3C" w14:textId="6EB5DC90" w:rsidR="00A900A5" w:rsidRPr="00A900A5" w:rsidRDefault="00A900A5" w:rsidP="006F1451">
      <w:pPr>
        <w:pStyle w:val="ListNumber"/>
        <w:rPr>
          <w:lang w:val="en-US"/>
        </w:rPr>
      </w:pPr>
      <w:r w:rsidRPr="00A900A5">
        <w:rPr>
          <w:lang w:val="en-US"/>
        </w:rPr>
        <w:t>Are you currently working at the facility you completed TEAP at?</w:t>
      </w:r>
      <w:r w:rsidR="00BE166E">
        <w:rPr>
          <w:lang w:val="en-US"/>
        </w:rPr>
        <w:t xml:space="preserve"> </w:t>
      </w:r>
      <w:r w:rsidR="00BE166E">
        <w:rPr>
          <w:i/>
          <w:iCs/>
          <w:lang w:val="en-US"/>
        </w:rPr>
        <w:t>Select 1 option</w:t>
      </w:r>
    </w:p>
    <w:p w14:paraId="18AF16C8" w14:textId="77777777" w:rsidR="00A900A5" w:rsidRPr="00A900A5" w:rsidRDefault="00A900A5" w:rsidP="006F1451">
      <w:pPr>
        <w:pStyle w:val="ListBullet"/>
        <w:rPr>
          <w:lang w:val="en-US"/>
        </w:rPr>
      </w:pPr>
      <w:r w:rsidRPr="00A900A5">
        <w:rPr>
          <w:lang w:val="en-US"/>
        </w:rPr>
        <w:t xml:space="preserve">Yes </w:t>
      </w:r>
    </w:p>
    <w:p w14:paraId="1009A2F1" w14:textId="77777777" w:rsidR="00A900A5" w:rsidRPr="00A900A5" w:rsidRDefault="00A900A5" w:rsidP="006F1451">
      <w:pPr>
        <w:pStyle w:val="ListBullet"/>
        <w:rPr>
          <w:lang w:val="en-US"/>
        </w:rPr>
      </w:pPr>
      <w:r w:rsidRPr="00A900A5">
        <w:rPr>
          <w:lang w:val="en-US"/>
        </w:rPr>
        <w:t xml:space="preserve">No </w:t>
      </w:r>
    </w:p>
    <w:p w14:paraId="5CBCB870" w14:textId="77777777" w:rsidR="00A900A5" w:rsidRPr="00A900A5" w:rsidRDefault="00A900A5" w:rsidP="00A900A5">
      <w:pPr>
        <w:pStyle w:val="BodyText"/>
        <w:rPr>
          <w:lang w:val="en-US"/>
        </w:rPr>
      </w:pPr>
      <w:r w:rsidRPr="00A900A5">
        <w:rPr>
          <w:lang w:val="en-US"/>
        </w:rPr>
        <w:t>-------------------------------------------------------------------</w:t>
      </w:r>
    </w:p>
    <w:p w14:paraId="48B00ACC" w14:textId="070F19E9" w:rsidR="00A900A5" w:rsidRPr="00A900A5" w:rsidRDefault="00320506" w:rsidP="00320506">
      <w:pPr>
        <w:pStyle w:val="BodyText"/>
        <w:rPr>
          <w:i/>
          <w:iCs/>
          <w:lang w:val="en-US"/>
        </w:rPr>
      </w:pPr>
      <w:r w:rsidRPr="00320506">
        <w:rPr>
          <w:i/>
          <w:iCs/>
          <w:lang w:val="en-US"/>
        </w:rPr>
        <w:t>C</w:t>
      </w:r>
      <w:r w:rsidR="00A900A5" w:rsidRPr="00A900A5">
        <w:rPr>
          <w:i/>
          <w:iCs/>
          <w:lang w:val="en-US"/>
        </w:rPr>
        <w:t xml:space="preserve">onditional survey logic: if ‘Yes’ is selected for Q29, proceed directly to Q32. If ‘No’ is selected for Q29, questions 30-31 will appear, and will then proceed to Q32. </w:t>
      </w:r>
    </w:p>
    <w:p w14:paraId="249B1F09" w14:textId="5D5E5A25" w:rsidR="00A900A5" w:rsidRPr="00A900A5" w:rsidRDefault="00A900A5" w:rsidP="006F1451">
      <w:pPr>
        <w:pStyle w:val="ListNumber"/>
        <w:rPr>
          <w:lang w:val="en-US"/>
        </w:rPr>
      </w:pPr>
      <w:r w:rsidRPr="00A900A5">
        <w:rPr>
          <w:lang w:val="en-US"/>
        </w:rPr>
        <w:t xml:space="preserve">What is the MMM rating of the facility you are currently working at? </w:t>
      </w:r>
      <w:r w:rsidR="00286DF2">
        <w:rPr>
          <w:i/>
          <w:iCs/>
          <w:lang w:val="en-US"/>
        </w:rPr>
        <w:t>Select 1 option</w:t>
      </w:r>
    </w:p>
    <w:p w14:paraId="6E025776" w14:textId="51DB75B9" w:rsidR="00A900A5" w:rsidRPr="00A900A5" w:rsidRDefault="00A900A5" w:rsidP="00A900A5">
      <w:pPr>
        <w:pStyle w:val="BodyText"/>
        <w:rPr>
          <w:lang w:val="en-US"/>
        </w:rPr>
      </w:pPr>
      <w:r w:rsidRPr="00A900A5">
        <w:rPr>
          <w:lang w:val="en-US"/>
        </w:rPr>
        <w:t xml:space="preserve">MMM classifications are based on remoteness and population size. You can find your MMM classification </w:t>
      </w:r>
      <w:hyperlink r:id="rId71" w:history="1">
        <w:r w:rsidRPr="00A900A5">
          <w:rPr>
            <w:rStyle w:val="Hyperlink"/>
            <w:lang w:val="en-US"/>
          </w:rPr>
          <w:t>here</w:t>
        </w:r>
      </w:hyperlink>
      <w:r w:rsidRPr="00A900A5">
        <w:rPr>
          <w:lang w:val="en-US"/>
        </w:rPr>
        <w:t xml:space="preserve">. </w:t>
      </w:r>
    </w:p>
    <w:p w14:paraId="6AE236BC" w14:textId="77777777" w:rsidR="00A900A5" w:rsidRPr="00A900A5" w:rsidRDefault="00A900A5" w:rsidP="006F1451">
      <w:pPr>
        <w:pStyle w:val="ListBullet"/>
        <w:rPr>
          <w:lang w:val="en-US"/>
        </w:rPr>
      </w:pPr>
      <w:r w:rsidRPr="00A900A5">
        <w:rPr>
          <w:lang w:val="en-US"/>
        </w:rPr>
        <w:t>MM 1: Metropolitan area</w:t>
      </w:r>
    </w:p>
    <w:p w14:paraId="035AC7A8" w14:textId="77777777" w:rsidR="00A900A5" w:rsidRPr="00A900A5" w:rsidRDefault="00A900A5" w:rsidP="006F1451">
      <w:pPr>
        <w:pStyle w:val="ListBullet"/>
        <w:rPr>
          <w:lang w:val="en-US"/>
        </w:rPr>
      </w:pPr>
      <w:r w:rsidRPr="00A900A5">
        <w:rPr>
          <w:lang w:val="en-US"/>
        </w:rPr>
        <w:t xml:space="preserve">MM 2: Regional </w:t>
      </w:r>
      <w:proofErr w:type="spellStart"/>
      <w:r w:rsidRPr="00A900A5">
        <w:rPr>
          <w:lang w:val="en-US"/>
        </w:rPr>
        <w:t>centre</w:t>
      </w:r>
      <w:proofErr w:type="spellEnd"/>
    </w:p>
    <w:p w14:paraId="4CAA2729" w14:textId="77777777" w:rsidR="00A900A5" w:rsidRPr="00A900A5" w:rsidRDefault="00A900A5" w:rsidP="006F1451">
      <w:pPr>
        <w:pStyle w:val="ListBullet"/>
        <w:rPr>
          <w:lang w:val="en-US"/>
        </w:rPr>
      </w:pPr>
      <w:r w:rsidRPr="00A900A5">
        <w:rPr>
          <w:lang w:val="en-US"/>
        </w:rPr>
        <w:t>MM 3: Large rural town</w:t>
      </w:r>
    </w:p>
    <w:p w14:paraId="36AD3366" w14:textId="77777777" w:rsidR="00A900A5" w:rsidRPr="00A900A5" w:rsidRDefault="00A900A5" w:rsidP="006F1451">
      <w:pPr>
        <w:pStyle w:val="ListBullet"/>
        <w:rPr>
          <w:lang w:val="en-US"/>
        </w:rPr>
      </w:pPr>
      <w:r w:rsidRPr="00A900A5">
        <w:rPr>
          <w:lang w:val="en-US"/>
        </w:rPr>
        <w:t>MM 4: Medium rural town</w:t>
      </w:r>
    </w:p>
    <w:p w14:paraId="2D99B24A" w14:textId="77777777" w:rsidR="00A900A5" w:rsidRPr="00A900A5" w:rsidRDefault="00A900A5" w:rsidP="006F1451">
      <w:pPr>
        <w:pStyle w:val="ListBullet"/>
        <w:rPr>
          <w:lang w:val="en-US"/>
        </w:rPr>
      </w:pPr>
      <w:r w:rsidRPr="00A900A5">
        <w:rPr>
          <w:lang w:val="en-US"/>
        </w:rPr>
        <w:t>MM 5: Small rural town</w:t>
      </w:r>
    </w:p>
    <w:p w14:paraId="7C597960" w14:textId="77777777" w:rsidR="00A900A5" w:rsidRPr="00A900A5" w:rsidRDefault="00A900A5" w:rsidP="006F1451">
      <w:pPr>
        <w:pStyle w:val="ListBullet"/>
        <w:rPr>
          <w:lang w:val="en-US"/>
        </w:rPr>
      </w:pPr>
      <w:r w:rsidRPr="00A900A5">
        <w:rPr>
          <w:lang w:val="en-US"/>
        </w:rPr>
        <w:t>MM 6: Remote community</w:t>
      </w:r>
    </w:p>
    <w:p w14:paraId="0F92566F" w14:textId="77777777" w:rsidR="00A900A5" w:rsidRPr="00A900A5" w:rsidRDefault="00A900A5" w:rsidP="006F1451">
      <w:pPr>
        <w:pStyle w:val="ListBullet"/>
        <w:rPr>
          <w:lang w:val="en-US"/>
        </w:rPr>
      </w:pPr>
      <w:r w:rsidRPr="00A900A5">
        <w:rPr>
          <w:lang w:val="en-US"/>
        </w:rPr>
        <w:t>MM 7: Very remote community</w:t>
      </w:r>
    </w:p>
    <w:p w14:paraId="7C0A8BDB" w14:textId="77777777" w:rsidR="00A900A5" w:rsidRPr="00A900A5" w:rsidRDefault="00A900A5" w:rsidP="006F1451">
      <w:pPr>
        <w:pStyle w:val="ListBullet"/>
        <w:rPr>
          <w:lang w:val="en-US"/>
        </w:rPr>
      </w:pPr>
      <w:r w:rsidRPr="00A900A5">
        <w:rPr>
          <w:lang w:val="en-US"/>
        </w:rPr>
        <w:t>N/A</w:t>
      </w:r>
    </w:p>
    <w:p w14:paraId="3BA43EDB" w14:textId="4C7D7D6B" w:rsidR="00A900A5" w:rsidRPr="00A900A5" w:rsidRDefault="00A900A5" w:rsidP="006F1451">
      <w:pPr>
        <w:pStyle w:val="ListBullet"/>
        <w:rPr>
          <w:lang w:val="en-US"/>
        </w:rPr>
      </w:pPr>
      <w:r w:rsidRPr="00A900A5">
        <w:rPr>
          <w:lang w:val="en-US"/>
        </w:rPr>
        <w:t xml:space="preserve">Unsure </w:t>
      </w:r>
      <w:r w:rsidR="00E306E9">
        <w:rPr>
          <w:lang w:val="en-US"/>
        </w:rPr>
        <w:t>(</w:t>
      </w:r>
      <w:r w:rsidR="00E306E9">
        <w:rPr>
          <w:i/>
          <w:iCs/>
          <w:lang w:val="en-US"/>
        </w:rPr>
        <w:t>free text)</w:t>
      </w:r>
    </w:p>
    <w:p w14:paraId="1638111D" w14:textId="6B402C52" w:rsidR="00A900A5" w:rsidRPr="00A900A5" w:rsidRDefault="00A900A5" w:rsidP="00320506">
      <w:pPr>
        <w:pStyle w:val="BodyText"/>
        <w:ind w:firstLine="340"/>
        <w:rPr>
          <w:lang w:val="en-US"/>
        </w:rPr>
      </w:pPr>
      <w:r w:rsidRPr="00A900A5">
        <w:rPr>
          <w:lang w:val="en-US"/>
        </w:rPr>
        <w:t xml:space="preserve">Please enter your facility’s address. </w:t>
      </w:r>
    </w:p>
    <w:p w14:paraId="7FF546F2" w14:textId="77777777" w:rsidR="00A900A5" w:rsidRPr="00A900A5" w:rsidRDefault="00A900A5" w:rsidP="00A900A5">
      <w:pPr>
        <w:pStyle w:val="BodyText"/>
        <w:rPr>
          <w:lang w:val="en-US"/>
        </w:rPr>
      </w:pPr>
      <w:r w:rsidRPr="00A900A5">
        <w:rPr>
          <w:lang w:val="en-US"/>
        </w:rPr>
        <w:t>-------------------------------------------------------------------</w:t>
      </w:r>
    </w:p>
    <w:p w14:paraId="7FAFA1B4" w14:textId="27FFB8E3" w:rsidR="00A900A5" w:rsidRPr="00A900A5" w:rsidRDefault="00A900A5" w:rsidP="006F1451">
      <w:pPr>
        <w:pStyle w:val="ListNumber"/>
        <w:rPr>
          <w:lang w:val="en-US"/>
        </w:rPr>
      </w:pPr>
      <w:r w:rsidRPr="00A900A5">
        <w:rPr>
          <w:lang w:val="en-US"/>
        </w:rPr>
        <w:t xml:space="preserve">What influenced your decision to move facilities after graduating from TEAP? </w:t>
      </w:r>
      <w:r w:rsidR="00E306E9">
        <w:rPr>
          <w:i/>
          <w:iCs/>
          <w:lang w:val="en-US"/>
        </w:rPr>
        <w:t>Select multiple options</w:t>
      </w:r>
    </w:p>
    <w:p w14:paraId="0FDB76E5" w14:textId="77777777" w:rsidR="00A900A5" w:rsidRPr="00A900A5" w:rsidRDefault="00A900A5" w:rsidP="006F1451">
      <w:pPr>
        <w:pStyle w:val="ListBullet"/>
        <w:rPr>
          <w:lang w:val="en-US"/>
        </w:rPr>
      </w:pPr>
      <w:r w:rsidRPr="00A900A5">
        <w:rPr>
          <w:lang w:val="en-US"/>
        </w:rPr>
        <w:t xml:space="preserve">Employment opportunities elsewhere </w:t>
      </w:r>
    </w:p>
    <w:p w14:paraId="716CF672" w14:textId="77777777" w:rsidR="00A900A5" w:rsidRPr="00A900A5" w:rsidRDefault="00A900A5" w:rsidP="006F1451">
      <w:pPr>
        <w:pStyle w:val="ListBullet"/>
        <w:rPr>
          <w:lang w:val="en-US"/>
        </w:rPr>
      </w:pPr>
      <w:r w:rsidRPr="00A900A5">
        <w:rPr>
          <w:lang w:val="en-US"/>
        </w:rPr>
        <w:t>Lack of ongoing positions at the facility where I undertook training</w:t>
      </w:r>
    </w:p>
    <w:p w14:paraId="7C3769A6" w14:textId="77777777" w:rsidR="00A900A5" w:rsidRPr="00A900A5" w:rsidRDefault="00A900A5" w:rsidP="006F1451">
      <w:pPr>
        <w:pStyle w:val="ListBullet"/>
        <w:rPr>
          <w:lang w:val="en-US"/>
        </w:rPr>
      </w:pPr>
      <w:r w:rsidRPr="00A900A5">
        <w:rPr>
          <w:lang w:val="en-US"/>
        </w:rPr>
        <w:t>More competitive remuneration elsewhere</w:t>
      </w:r>
    </w:p>
    <w:p w14:paraId="74DCF76B" w14:textId="77777777" w:rsidR="00A900A5" w:rsidRPr="00A900A5" w:rsidRDefault="00A900A5" w:rsidP="006F1451">
      <w:pPr>
        <w:pStyle w:val="ListBullet"/>
        <w:rPr>
          <w:lang w:val="en-US"/>
        </w:rPr>
      </w:pPr>
      <w:r w:rsidRPr="00A900A5">
        <w:rPr>
          <w:lang w:val="en-US"/>
        </w:rPr>
        <w:t>More attractive lifestyle/affordability/accessibility elsewhere</w:t>
      </w:r>
    </w:p>
    <w:p w14:paraId="5C0CB649" w14:textId="77777777" w:rsidR="00A900A5" w:rsidRPr="00A900A5" w:rsidRDefault="00A900A5" w:rsidP="006F1451">
      <w:pPr>
        <w:pStyle w:val="ListBullet"/>
        <w:rPr>
          <w:lang w:val="en-US"/>
        </w:rPr>
      </w:pPr>
      <w:r w:rsidRPr="00A900A5">
        <w:rPr>
          <w:lang w:val="en-US"/>
        </w:rPr>
        <w:t>Family/personal reasons</w:t>
      </w:r>
    </w:p>
    <w:p w14:paraId="6EB9F671" w14:textId="77777777" w:rsidR="00A900A5" w:rsidRPr="00A900A5" w:rsidRDefault="00A900A5" w:rsidP="006F1451">
      <w:pPr>
        <w:pStyle w:val="ListBullet"/>
        <w:rPr>
          <w:lang w:val="en-US"/>
        </w:rPr>
      </w:pPr>
      <w:r w:rsidRPr="00A900A5">
        <w:rPr>
          <w:lang w:val="en-US"/>
        </w:rPr>
        <w:t xml:space="preserve">Other </w:t>
      </w:r>
    </w:p>
    <w:p w14:paraId="6F304AC7" w14:textId="77777777" w:rsidR="00A900A5" w:rsidRPr="00A900A5" w:rsidRDefault="00A900A5" w:rsidP="00A900A5">
      <w:pPr>
        <w:pStyle w:val="BodyText"/>
        <w:rPr>
          <w:lang w:val="en-US"/>
        </w:rPr>
      </w:pPr>
      <w:r w:rsidRPr="00A900A5">
        <w:rPr>
          <w:lang w:val="en-US"/>
        </w:rPr>
        <w:t>-------------------------------------------------------------------</w:t>
      </w:r>
    </w:p>
    <w:p w14:paraId="7D3B4B54" w14:textId="2221796B" w:rsidR="00A900A5" w:rsidRPr="00A900A5" w:rsidRDefault="00A900A5" w:rsidP="006F1451">
      <w:pPr>
        <w:pStyle w:val="ListNumber"/>
        <w:rPr>
          <w:lang w:val="en-US"/>
        </w:rPr>
      </w:pPr>
      <w:r w:rsidRPr="00A900A5">
        <w:rPr>
          <w:lang w:val="en-US"/>
        </w:rPr>
        <w:t xml:space="preserve">To what extent do you agree with the following statements about TEAP? </w:t>
      </w:r>
      <w:r w:rsidR="00BE166E">
        <w:rPr>
          <w:i/>
          <w:iCs/>
          <w:lang w:val="en-US"/>
        </w:rPr>
        <w:t>Grid</w:t>
      </w:r>
    </w:p>
    <w:tbl>
      <w:tblPr>
        <w:tblStyle w:val="TableGrid"/>
        <w:tblW w:w="9913" w:type="dxa"/>
        <w:tblLayout w:type="fixed"/>
        <w:tblLook w:val="06A0" w:firstRow="1" w:lastRow="0" w:firstColumn="1" w:lastColumn="0" w:noHBand="1" w:noVBand="1"/>
      </w:tblPr>
      <w:tblGrid>
        <w:gridCol w:w="1652"/>
        <w:gridCol w:w="1652"/>
        <w:gridCol w:w="1652"/>
        <w:gridCol w:w="1652"/>
        <w:gridCol w:w="1652"/>
        <w:gridCol w:w="1653"/>
      </w:tblGrid>
      <w:tr w:rsidR="00A900A5" w:rsidRPr="00A900A5" w14:paraId="4F5E480F" w14:textId="77777777" w:rsidTr="006F1451">
        <w:trPr>
          <w:cnfStyle w:val="100000000000" w:firstRow="1" w:lastRow="0" w:firstColumn="0" w:lastColumn="0" w:oddVBand="0" w:evenVBand="0" w:oddHBand="0" w:evenHBand="0" w:firstRowFirstColumn="0" w:firstRowLastColumn="0" w:lastRowFirstColumn="0" w:lastRowLastColumn="0"/>
          <w:tblHeader/>
        </w:trPr>
        <w:tc>
          <w:tcPr>
            <w:tcW w:w="1652" w:type="dxa"/>
            <w:tcBorders>
              <w:top w:val="single" w:sz="8" w:space="0" w:color="auto"/>
              <w:left w:val="single" w:sz="8" w:space="0" w:color="auto"/>
              <w:bottom w:val="single" w:sz="8" w:space="0" w:color="auto"/>
              <w:right w:val="single" w:sz="8" w:space="0" w:color="auto"/>
            </w:tcBorders>
          </w:tcPr>
          <w:p w14:paraId="66C5E2D4"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509BCF08" w14:textId="77777777" w:rsidR="00A900A5" w:rsidRPr="006F1451" w:rsidRDefault="00A900A5" w:rsidP="006F1451">
            <w:r w:rsidRPr="006F1451">
              <w:t>Strongly disagree</w:t>
            </w:r>
          </w:p>
        </w:tc>
        <w:tc>
          <w:tcPr>
            <w:tcW w:w="1652" w:type="dxa"/>
            <w:tcBorders>
              <w:top w:val="single" w:sz="8" w:space="0" w:color="auto"/>
              <w:left w:val="single" w:sz="8" w:space="0" w:color="auto"/>
              <w:bottom w:val="single" w:sz="8" w:space="0" w:color="auto"/>
              <w:right w:val="single" w:sz="8" w:space="0" w:color="auto"/>
            </w:tcBorders>
          </w:tcPr>
          <w:p w14:paraId="046254F4" w14:textId="77777777" w:rsidR="00A900A5" w:rsidRPr="006F1451" w:rsidRDefault="00A900A5" w:rsidP="006F1451">
            <w:r w:rsidRPr="006F1451">
              <w:t>Somewhat disagree</w:t>
            </w:r>
          </w:p>
        </w:tc>
        <w:tc>
          <w:tcPr>
            <w:tcW w:w="1652" w:type="dxa"/>
            <w:tcBorders>
              <w:top w:val="single" w:sz="8" w:space="0" w:color="auto"/>
              <w:left w:val="single" w:sz="8" w:space="0" w:color="auto"/>
              <w:bottom w:val="single" w:sz="8" w:space="0" w:color="auto"/>
              <w:right w:val="single" w:sz="8" w:space="0" w:color="auto"/>
            </w:tcBorders>
          </w:tcPr>
          <w:p w14:paraId="4B61CF75" w14:textId="77777777" w:rsidR="00A900A5" w:rsidRPr="006F1451" w:rsidRDefault="00A900A5" w:rsidP="006F1451">
            <w:r w:rsidRPr="006F1451">
              <w:t>Neither agree nor disagree</w:t>
            </w:r>
          </w:p>
        </w:tc>
        <w:tc>
          <w:tcPr>
            <w:tcW w:w="1652" w:type="dxa"/>
            <w:tcBorders>
              <w:top w:val="single" w:sz="8" w:space="0" w:color="auto"/>
              <w:left w:val="single" w:sz="8" w:space="0" w:color="auto"/>
              <w:bottom w:val="single" w:sz="8" w:space="0" w:color="auto"/>
              <w:right w:val="single" w:sz="8" w:space="0" w:color="auto"/>
            </w:tcBorders>
          </w:tcPr>
          <w:p w14:paraId="0260ABE7" w14:textId="77777777" w:rsidR="00A900A5" w:rsidRPr="006F1451" w:rsidRDefault="00A900A5" w:rsidP="006F1451">
            <w:r w:rsidRPr="006F1451">
              <w:t>Somewhat agree</w:t>
            </w:r>
          </w:p>
        </w:tc>
        <w:tc>
          <w:tcPr>
            <w:tcW w:w="1653" w:type="dxa"/>
            <w:tcBorders>
              <w:top w:val="single" w:sz="8" w:space="0" w:color="auto"/>
              <w:left w:val="single" w:sz="8" w:space="0" w:color="auto"/>
              <w:bottom w:val="single" w:sz="8" w:space="0" w:color="auto"/>
              <w:right w:val="single" w:sz="8" w:space="0" w:color="auto"/>
            </w:tcBorders>
          </w:tcPr>
          <w:p w14:paraId="51AF5BB6" w14:textId="77777777" w:rsidR="00A900A5" w:rsidRPr="006F1451" w:rsidRDefault="00A900A5" w:rsidP="006F1451">
            <w:r w:rsidRPr="006F1451">
              <w:t>Strongly agree</w:t>
            </w:r>
          </w:p>
        </w:tc>
      </w:tr>
      <w:tr w:rsidR="00A900A5" w:rsidRPr="00A900A5" w14:paraId="7EAE3287" w14:textId="77777777">
        <w:tc>
          <w:tcPr>
            <w:tcW w:w="1652" w:type="dxa"/>
            <w:tcBorders>
              <w:top w:val="single" w:sz="8" w:space="0" w:color="auto"/>
              <w:left w:val="single" w:sz="8" w:space="0" w:color="auto"/>
              <w:bottom w:val="single" w:sz="8" w:space="0" w:color="auto"/>
              <w:right w:val="single" w:sz="8" w:space="0" w:color="auto"/>
            </w:tcBorders>
          </w:tcPr>
          <w:p w14:paraId="6EFF4A5A" w14:textId="77777777" w:rsidR="00A900A5" w:rsidRPr="006F1451" w:rsidRDefault="00A900A5" w:rsidP="006F1451">
            <w:r w:rsidRPr="006F1451">
              <w:t>TEAP provided me with the required knowledge I need in my profession</w:t>
            </w:r>
          </w:p>
        </w:tc>
        <w:tc>
          <w:tcPr>
            <w:tcW w:w="1652" w:type="dxa"/>
            <w:tcBorders>
              <w:top w:val="single" w:sz="8" w:space="0" w:color="auto"/>
              <w:left w:val="single" w:sz="8" w:space="0" w:color="auto"/>
              <w:bottom w:val="single" w:sz="8" w:space="0" w:color="auto"/>
              <w:right w:val="single" w:sz="8" w:space="0" w:color="auto"/>
            </w:tcBorders>
          </w:tcPr>
          <w:p w14:paraId="52D455E8"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36F07ED2"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433E1A73"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408997A7" w14:textId="77777777" w:rsidR="00A900A5" w:rsidRPr="006F1451" w:rsidRDefault="00A900A5"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798BAE64" w14:textId="77777777" w:rsidR="00A900A5" w:rsidRPr="006F1451" w:rsidRDefault="00A900A5" w:rsidP="006F1451"/>
        </w:tc>
      </w:tr>
      <w:tr w:rsidR="00A900A5" w:rsidRPr="00A900A5" w14:paraId="55EE24FE" w14:textId="77777777">
        <w:tc>
          <w:tcPr>
            <w:tcW w:w="1652" w:type="dxa"/>
            <w:tcBorders>
              <w:top w:val="single" w:sz="8" w:space="0" w:color="auto"/>
              <w:left w:val="single" w:sz="8" w:space="0" w:color="auto"/>
              <w:bottom w:val="single" w:sz="8" w:space="0" w:color="auto"/>
              <w:right w:val="single" w:sz="8" w:space="0" w:color="auto"/>
            </w:tcBorders>
          </w:tcPr>
          <w:p w14:paraId="7BD55D26" w14:textId="77777777" w:rsidR="00A900A5" w:rsidRPr="006F1451" w:rsidRDefault="00A900A5" w:rsidP="006F1451">
            <w:r w:rsidRPr="006F1451">
              <w:t>TEAP provided me with the practical skills I need in my profession</w:t>
            </w:r>
          </w:p>
        </w:tc>
        <w:tc>
          <w:tcPr>
            <w:tcW w:w="1652" w:type="dxa"/>
            <w:tcBorders>
              <w:top w:val="single" w:sz="8" w:space="0" w:color="auto"/>
              <w:left w:val="single" w:sz="8" w:space="0" w:color="auto"/>
              <w:bottom w:val="single" w:sz="8" w:space="0" w:color="auto"/>
              <w:right w:val="single" w:sz="8" w:space="0" w:color="auto"/>
            </w:tcBorders>
          </w:tcPr>
          <w:p w14:paraId="4363819A"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5B6FC217"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6975E1B1"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6A602E5F" w14:textId="77777777" w:rsidR="00A900A5" w:rsidRPr="006F1451" w:rsidRDefault="00A900A5"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06DFE202" w14:textId="77777777" w:rsidR="00A900A5" w:rsidRPr="006F1451" w:rsidRDefault="00A900A5" w:rsidP="006F1451"/>
        </w:tc>
      </w:tr>
      <w:tr w:rsidR="00A900A5" w:rsidRPr="00A900A5" w14:paraId="75A60E7D" w14:textId="77777777">
        <w:tc>
          <w:tcPr>
            <w:tcW w:w="1652" w:type="dxa"/>
            <w:tcBorders>
              <w:top w:val="single" w:sz="8" w:space="0" w:color="auto"/>
              <w:left w:val="single" w:sz="8" w:space="0" w:color="auto"/>
              <w:bottom w:val="single" w:sz="8" w:space="0" w:color="auto"/>
              <w:right w:val="single" w:sz="8" w:space="0" w:color="auto"/>
            </w:tcBorders>
          </w:tcPr>
          <w:p w14:paraId="2C0DFBF1" w14:textId="77777777" w:rsidR="00A900A5" w:rsidRPr="006F1451" w:rsidRDefault="00A900A5" w:rsidP="006F1451">
            <w:r w:rsidRPr="006F1451">
              <w:t>TEAP provided me with the experience I need in my profession</w:t>
            </w:r>
          </w:p>
        </w:tc>
        <w:tc>
          <w:tcPr>
            <w:tcW w:w="1652" w:type="dxa"/>
            <w:tcBorders>
              <w:top w:val="single" w:sz="8" w:space="0" w:color="auto"/>
              <w:left w:val="single" w:sz="8" w:space="0" w:color="auto"/>
              <w:bottom w:val="single" w:sz="8" w:space="0" w:color="auto"/>
              <w:right w:val="single" w:sz="8" w:space="0" w:color="auto"/>
            </w:tcBorders>
          </w:tcPr>
          <w:p w14:paraId="2F8713F5"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6C157BD0"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0F3BC44A"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02E609C0" w14:textId="77777777" w:rsidR="00A900A5" w:rsidRPr="006F1451" w:rsidRDefault="00A900A5"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4E10CD70" w14:textId="77777777" w:rsidR="00A900A5" w:rsidRPr="006F1451" w:rsidRDefault="00A900A5" w:rsidP="006F1451"/>
        </w:tc>
      </w:tr>
      <w:tr w:rsidR="00A900A5" w:rsidRPr="00A900A5" w14:paraId="665DED7C" w14:textId="77777777">
        <w:tc>
          <w:tcPr>
            <w:tcW w:w="1652" w:type="dxa"/>
            <w:tcBorders>
              <w:top w:val="single" w:sz="8" w:space="0" w:color="auto"/>
              <w:left w:val="single" w:sz="8" w:space="0" w:color="auto"/>
              <w:bottom w:val="single" w:sz="8" w:space="0" w:color="auto"/>
              <w:right w:val="single" w:sz="8" w:space="0" w:color="auto"/>
            </w:tcBorders>
          </w:tcPr>
          <w:p w14:paraId="7E86C938" w14:textId="77777777" w:rsidR="00A900A5" w:rsidRPr="006F1451" w:rsidRDefault="00A900A5" w:rsidP="006F1451">
            <w:r w:rsidRPr="006F1451">
              <w:t>TEAP prepared me for future changes/ advancements in my profession</w:t>
            </w:r>
          </w:p>
        </w:tc>
        <w:tc>
          <w:tcPr>
            <w:tcW w:w="1652" w:type="dxa"/>
            <w:tcBorders>
              <w:top w:val="single" w:sz="8" w:space="0" w:color="auto"/>
              <w:left w:val="single" w:sz="8" w:space="0" w:color="auto"/>
              <w:bottom w:val="single" w:sz="8" w:space="0" w:color="auto"/>
              <w:right w:val="single" w:sz="8" w:space="0" w:color="auto"/>
            </w:tcBorders>
          </w:tcPr>
          <w:p w14:paraId="13E25445"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6CC79655"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3FDF2EB8"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70101BC9" w14:textId="77777777" w:rsidR="00A900A5" w:rsidRPr="006F1451" w:rsidRDefault="00A900A5" w:rsidP="006F1451"/>
        </w:tc>
        <w:tc>
          <w:tcPr>
            <w:tcW w:w="1653" w:type="dxa"/>
            <w:tcBorders>
              <w:top w:val="single" w:sz="8" w:space="0" w:color="auto"/>
              <w:left w:val="single" w:sz="8" w:space="0" w:color="auto"/>
              <w:bottom w:val="single" w:sz="8" w:space="0" w:color="auto"/>
              <w:right w:val="single" w:sz="8" w:space="0" w:color="auto"/>
            </w:tcBorders>
          </w:tcPr>
          <w:p w14:paraId="3506F125" w14:textId="77777777" w:rsidR="00A900A5" w:rsidRPr="006F1451" w:rsidRDefault="00A900A5" w:rsidP="006F1451"/>
        </w:tc>
      </w:tr>
    </w:tbl>
    <w:p w14:paraId="2B947667" w14:textId="77777777" w:rsidR="00A900A5" w:rsidRPr="00A900A5" w:rsidRDefault="00A900A5" w:rsidP="00A900A5">
      <w:pPr>
        <w:pStyle w:val="BodyText"/>
        <w:rPr>
          <w:lang w:val="en-US"/>
        </w:rPr>
      </w:pPr>
      <w:r w:rsidRPr="00A900A5">
        <w:rPr>
          <w:lang w:val="en-US"/>
        </w:rPr>
        <w:t>-------------------------------------------------------------------</w:t>
      </w:r>
    </w:p>
    <w:p w14:paraId="798F2A07" w14:textId="6183D6A7" w:rsidR="00A900A5" w:rsidRPr="00A900A5" w:rsidRDefault="00A900A5" w:rsidP="006F1451">
      <w:pPr>
        <w:pStyle w:val="ListNumber"/>
        <w:rPr>
          <w:lang w:val="en-US"/>
        </w:rPr>
      </w:pPr>
      <w:r w:rsidRPr="00A900A5">
        <w:rPr>
          <w:lang w:val="en-US"/>
        </w:rPr>
        <w:t xml:space="preserve">Are there particular aspects of TEAP program design which you found useful for your career and professional development? If so, please provide details. </w:t>
      </w:r>
      <w:r w:rsidR="00E306E9">
        <w:rPr>
          <w:i/>
          <w:iCs/>
          <w:lang w:val="en-US"/>
        </w:rPr>
        <w:t>Free text</w:t>
      </w:r>
    </w:p>
    <w:p w14:paraId="044C3BDE" w14:textId="77777777" w:rsidR="00A900A5" w:rsidRPr="00A900A5" w:rsidRDefault="00A900A5" w:rsidP="00A900A5">
      <w:pPr>
        <w:pStyle w:val="BodyText"/>
        <w:rPr>
          <w:lang w:val="en-US"/>
        </w:rPr>
      </w:pPr>
      <w:r w:rsidRPr="00A900A5">
        <w:rPr>
          <w:lang w:val="en-US"/>
        </w:rPr>
        <w:t>-------------------------------------------------------------------</w:t>
      </w:r>
    </w:p>
    <w:p w14:paraId="7BA167B8" w14:textId="298C3168" w:rsidR="00A900A5" w:rsidRPr="00A900A5" w:rsidRDefault="00A900A5" w:rsidP="006F1451">
      <w:pPr>
        <w:pStyle w:val="ListNumber"/>
        <w:rPr>
          <w:lang w:val="en-US"/>
        </w:rPr>
      </w:pPr>
      <w:r w:rsidRPr="00A900A5">
        <w:rPr>
          <w:lang w:val="en-US"/>
        </w:rPr>
        <w:t xml:space="preserve">Do you have any suggested improvements to TEAP program design?  </w:t>
      </w:r>
      <w:r w:rsidR="00E306E9">
        <w:rPr>
          <w:i/>
          <w:iCs/>
          <w:lang w:val="en-US"/>
        </w:rPr>
        <w:t>Free text</w:t>
      </w:r>
    </w:p>
    <w:p w14:paraId="13C47447" w14:textId="3CBE219A" w:rsidR="00A900A5" w:rsidRPr="00A900A5" w:rsidRDefault="00A900A5" w:rsidP="00BE166E">
      <w:pPr>
        <w:pStyle w:val="BodyText"/>
        <w:rPr>
          <w:lang w:val="en-US"/>
        </w:rPr>
      </w:pPr>
      <w:r w:rsidRPr="00A900A5">
        <w:rPr>
          <w:lang w:val="en-US"/>
        </w:rPr>
        <w:t xml:space="preserve">Suggestions may relate to any skills, knowledge, or experience which you feel are gaps in the program. </w:t>
      </w:r>
    </w:p>
    <w:p w14:paraId="72AD80A9" w14:textId="77777777" w:rsidR="00A900A5" w:rsidRPr="00A900A5" w:rsidRDefault="00A900A5" w:rsidP="00A900A5">
      <w:pPr>
        <w:pStyle w:val="BodyText"/>
        <w:rPr>
          <w:lang w:val="en-US"/>
        </w:rPr>
      </w:pPr>
      <w:r w:rsidRPr="00A900A5">
        <w:rPr>
          <w:lang w:val="en-US"/>
        </w:rPr>
        <w:t>-------------------------------------------------------------------</w:t>
      </w:r>
    </w:p>
    <w:p w14:paraId="49550F54" w14:textId="0198ABAD" w:rsidR="00A900A5" w:rsidRPr="00A900A5" w:rsidRDefault="00A900A5" w:rsidP="006F1451">
      <w:pPr>
        <w:pStyle w:val="ListNumber"/>
        <w:rPr>
          <w:lang w:val="en-US"/>
        </w:rPr>
      </w:pPr>
      <w:r w:rsidRPr="00A900A5">
        <w:rPr>
          <w:lang w:val="en-US"/>
        </w:rPr>
        <w:t xml:space="preserve">To what extent do you agree with the following statements about TEAP? </w:t>
      </w:r>
      <w:r w:rsidR="00BE166E" w:rsidRPr="00BE166E">
        <w:rPr>
          <w:i/>
          <w:iCs/>
          <w:lang w:val="en-US"/>
        </w:rPr>
        <w:t>G</w:t>
      </w:r>
      <w:r w:rsidRPr="00A900A5">
        <w:rPr>
          <w:i/>
          <w:iCs/>
          <w:lang w:val="en-US"/>
        </w:rPr>
        <w:t>rid</w:t>
      </w:r>
    </w:p>
    <w:tbl>
      <w:tblPr>
        <w:tblStyle w:val="TableGrid"/>
        <w:tblW w:w="9913" w:type="dxa"/>
        <w:tblLayout w:type="fixed"/>
        <w:tblLook w:val="06A0" w:firstRow="1" w:lastRow="0" w:firstColumn="1" w:lastColumn="0" w:noHBand="1" w:noVBand="1"/>
      </w:tblPr>
      <w:tblGrid>
        <w:gridCol w:w="2117"/>
        <w:gridCol w:w="1417"/>
        <w:gridCol w:w="1422"/>
        <w:gridCol w:w="1652"/>
        <w:gridCol w:w="1652"/>
        <w:gridCol w:w="1653"/>
      </w:tblGrid>
      <w:tr w:rsidR="00A900A5" w:rsidRPr="00A900A5" w14:paraId="76AC5971" w14:textId="77777777" w:rsidTr="00242835">
        <w:trPr>
          <w:cnfStyle w:val="100000000000" w:firstRow="1" w:lastRow="0" w:firstColumn="0" w:lastColumn="0" w:oddVBand="0" w:evenVBand="0" w:oddHBand="0" w:evenHBand="0" w:firstRowFirstColumn="0" w:firstRowLastColumn="0" w:lastRowFirstColumn="0" w:lastRowLastColumn="0"/>
          <w:tblHeader/>
        </w:trPr>
        <w:tc>
          <w:tcPr>
            <w:tcW w:w="2117" w:type="dxa"/>
            <w:tcBorders>
              <w:top w:val="single" w:sz="8" w:space="0" w:color="auto"/>
              <w:left w:val="single" w:sz="8" w:space="0" w:color="auto"/>
              <w:bottom w:val="single" w:sz="8" w:space="0" w:color="auto"/>
              <w:right w:val="single" w:sz="8" w:space="0" w:color="auto"/>
            </w:tcBorders>
          </w:tcPr>
          <w:p w14:paraId="5F39DA49" w14:textId="77777777" w:rsidR="00A900A5" w:rsidRPr="006F1451" w:rsidRDefault="00A900A5" w:rsidP="006F1451"/>
        </w:tc>
        <w:tc>
          <w:tcPr>
            <w:tcW w:w="1417" w:type="dxa"/>
            <w:tcBorders>
              <w:top w:val="single" w:sz="8" w:space="0" w:color="auto"/>
              <w:left w:val="single" w:sz="8" w:space="0" w:color="auto"/>
              <w:bottom w:val="single" w:sz="8" w:space="0" w:color="auto"/>
              <w:right w:val="single" w:sz="8" w:space="0" w:color="auto"/>
            </w:tcBorders>
          </w:tcPr>
          <w:p w14:paraId="49781B61" w14:textId="77777777" w:rsidR="00A900A5" w:rsidRPr="006F1451" w:rsidRDefault="00A900A5" w:rsidP="006F1451">
            <w:r w:rsidRPr="006F1451">
              <w:t>Strongly disagree</w:t>
            </w:r>
          </w:p>
        </w:tc>
        <w:tc>
          <w:tcPr>
            <w:tcW w:w="1422" w:type="dxa"/>
            <w:tcBorders>
              <w:top w:val="single" w:sz="8" w:space="0" w:color="auto"/>
              <w:left w:val="single" w:sz="8" w:space="0" w:color="auto"/>
              <w:bottom w:val="single" w:sz="8" w:space="0" w:color="auto"/>
              <w:right w:val="single" w:sz="8" w:space="0" w:color="auto"/>
            </w:tcBorders>
          </w:tcPr>
          <w:p w14:paraId="1FBF318E" w14:textId="77777777" w:rsidR="00A900A5" w:rsidRPr="006F1451" w:rsidRDefault="00A900A5" w:rsidP="006F1451">
            <w:r w:rsidRPr="006F1451">
              <w:t>Somewhat disagree</w:t>
            </w:r>
          </w:p>
        </w:tc>
        <w:tc>
          <w:tcPr>
            <w:tcW w:w="1652" w:type="dxa"/>
            <w:tcBorders>
              <w:top w:val="single" w:sz="8" w:space="0" w:color="auto"/>
              <w:left w:val="single" w:sz="8" w:space="0" w:color="auto"/>
              <w:bottom w:val="single" w:sz="8" w:space="0" w:color="auto"/>
              <w:right w:val="single" w:sz="8" w:space="0" w:color="auto"/>
            </w:tcBorders>
          </w:tcPr>
          <w:p w14:paraId="04DCDBD9" w14:textId="77777777" w:rsidR="00A900A5" w:rsidRPr="006F1451" w:rsidRDefault="00A900A5" w:rsidP="006F1451">
            <w:r w:rsidRPr="006F1451">
              <w:t>Neither agree nor disagree</w:t>
            </w:r>
          </w:p>
        </w:tc>
        <w:tc>
          <w:tcPr>
            <w:tcW w:w="1652" w:type="dxa"/>
            <w:tcBorders>
              <w:top w:val="single" w:sz="8" w:space="0" w:color="auto"/>
              <w:left w:val="single" w:sz="8" w:space="0" w:color="auto"/>
              <w:bottom w:val="single" w:sz="8" w:space="0" w:color="auto"/>
              <w:right w:val="single" w:sz="8" w:space="0" w:color="auto"/>
            </w:tcBorders>
          </w:tcPr>
          <w:p w14:paraId="27EABD58" w14:textId="77777777" w:rsidR="00A900A5" w:rsidRPr="006F1451" w:rsidRDefault="00A900A5" w:rsidP="006F1451">
            <w:r w:rsidRPr="006F1451">
              <w:t>Somewhat agree</w:t>
            </w:r>
          </w:p>
        </w:tc>
        <w:tc>
          <w:tcPr>
            <w:tcW w:w="1653" w:type="dxa"/>
            <w:tcBorders>
              <w:top w:val="single" w:sz="8" w:space="0" w:color="auto"/>
              <w:left w:val="single" w:sz="8" w:space="0" w:color="auto"/>
              <w:bottom w:val="single" w:sz="8" w:space="0" w:color="auto"/>
              <w:right w:val="single" w:sz="8" w:space="0" w:color="auto"/>
            </w:tcBorders>
          </w:tcPr>
          <w:p w14:paraId="736EA492" w14:textId="77777777" w:rsidR="00A900A5" w:rsidRPr="006F1451" w:rsidRDefault="00A900A5" w:rsidP="006F1451">
            <w:r w:rsidRPr="006F1451">
              <w:t>Strongly agree</w:t>
            </w:r>
          </w:p>
        </w:tc>
      </w:tr>
      <w:tr w:rsidR="00A900A5" w:rsidRPr="00A900A5" w14:paraId="5BF295ED" w14:textId="77777777">
        <w:tc>
          <w:tcPr>
            <w:tcW w:w="2117" w:type="dxa"/>
            <w:tcBorders>
              <w:top w:val="single" w:sz="8" w:space="0" w:color="auto"/>
              <w:left w:val="single" w:sz="8" w:space="0" w:color="auto"/>
              <w:bottom w:val="single" w:sz="8" w:space="0" w:color="auto"/>
              <w:right w:val="single" w:sz="8" w:space="0" w:color="auto"/>
            </w:tcBorders>
          </w:tcPr>
          <w:p w14:paraId="4CF02D2D" w14:textId="77777777" w:rsidR="00A900A5" w:rsidRPr="006F1451" w:rsidRDefault="00A900A5" w:rsidP="006F1451">
            <w:r w:rsidRPr="006F1451">
              <w:t>The training I received was high-quality</w:t>
            </w:r>
          </w:p>
        </w:tc>
        <w:tc>
          <w:tcPr>
            <w:tcW w:w="1417" w:type="dxa"/>
            <w:tcBorders>
              <w:top w:val="single" w:sz="8" w:space="0" w:color="auto"/>
              <w:left w:val="single" w:sz="8" w:space="0" w:color="auto"/>
              <w:bottom w:val="single" w:sz="8" w:space="0" w:color="auto"/>
              <w:right w:val="single" w:sz="8" w:space="0" w:color="auto"/>
            </w:tcBorders>
          </w:tcPr>
          <w:p w14:paraId="3501EB32" w14:textId="77777777" w:rsidR="00A900A5" w:rsidRPr="006F1451" w:rsidRDefault="00A900A5" w:rsidP="006F1451">
            <w:r w:rsidRPr="006F1451">
              <w:t xml:space="preserve"> </w:t>
            </w:r>
          </w:p>
        </w:tc>
        <w:tc>
          <w:tcPr>
            <w:tcW w:w="1422" w:type="dxa"/>
            <w:tcBorders>
              <w:top w:val="single" w:sz="8" w:space="0" w:color="auto"/>
              <w:left w:val="single" w:sz="8" w:space="0" w:color="auto"/>
              <w:bottom w:val="single" w:sz="8" w:space="0" w:color="auto"/>
              <w:right w:val="single" w:sz="8" w:space="0" w:color="auto"/>
            </w:tcBorders>
          </w:tcPr>
          <w:p w14:paraId="25A89A75"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503A444F"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665B6150" w14:textId="77777777" w:rsidR="00A900A5" w:rsidRPr="006F1451" w:rsidRDefault="00A900A5"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5AB1395D" w14:textId="77777777" w:rsidR="00A900A5" w:rsidRPr="006F1451" w:rsidRDefault="00A900A5" w:rsidP="006F1451"/>
        </w:tc>
      </w:tr>
      <w:tr w:rsidR="00A900A5" w:rsidRPr="00A900A5" w14:paraId="3682B745" w14:textId="77777777">
        <w:tc>
          <w:tcPr>
            <w:tcW w:w="2117" w:type="dxa"/>
            <w:tcBorders>
              <w:top w:val="single" w:sz="8" w:space="0" w:color="auto"/>
              <w:left w:val="single" w:sz="8" w:space="0" w:color="auto"/>
              <w:bottom w:val="single" w:sz="8" w:space="0" w:color="auto"/>
              <w:right w:val="single" w:sz="8" w:space="0" w:color="auto"/>
            </w:tcBorders>
          </w:tcPr>
          <w:p w14:paraId="046E8995" w14:textId="77777777" w:rsidR="00A900A5" w:rsidRPr="006F1451" w:rsidRDefault="00A900A5" w:rsidP="006F1451">
            <w:r w:rsidRPr="006F1451">
              <w:t>My supervisor made strong contributions to my training and professional development</w:t>
            </w:r>
          </w:p>
        </w:tc>
        <w:tc>
          <w:tcPr>
            <w:tcW w:w="1417" w:type="dxa"/>
            <w:tcBorders>
              <w:top w:val="single" w:sz="8" w:space="0" w:color="auto"/>
              <w:left w:val="single" w:sz="8" w:space="0" w:color="auto"/>
              <w:bottom w:val="single" w:sz="8" w:space="0" w:color="auto"/>
              <w:right w:val="single" w:sz="8" w:space="0" w:color="auto"/>
            </w:tcBorders>
          </w:tcPr>
          <w:p w14:paraId="1FA0BC7F" w14:textId="77777777" w:rsidR="00A900A5" w:rsidRPr="006F1451" w:rsidRDefault="00A900A5" w:rsidP="006F1451"/>
        </w:tc>
        <w:tc>
          <w:tcPr>
            <w:tcW w:w="1422" w:type="dxa"/>
            <w:tcBorders>
              <w:top w:val="single" w:sz="8" w:space="0" w:color="auto"/>
              <w:left w:val="single" w:sz="8" w:space="0" w:color="auto"/>
              <w:bottom w:val="single" w:sz="8" w:space="0" w:color="auto"/>
              <w:right w:val="single" w:sz="8" w:space="0" w:color="auto"/>
            </w:tcBorders>
          </w:tcPr>
          <w:p w14:paraId="746C23C8"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73A5B314"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36D3F72F" w14:textId="77777777" w:rsidR="00A900A5" w:rsidRPr="006F1451" w:rsidRDefault="00A900A5" w:rsidP="006F1451"/>
        </w:tc>
        <w:tc>
          <w:tcPr>
            <w:tcW w:w="1653" w:type="dxa"/>
            <w:tcBorders>
              <w:top w:val="single" w:sz="8" w:space="0" w:color="auto"/>
              <w:left w:val="single" w:sz="8" w:space="0" w:color="auto"/>
              <w:bottom w:val="single" w:sz="8" w:space="0" w:color="auto"/>
              <w:right w:val="single" w:sz="8" w:space="0" w:color="auto"/>
            </w:tcBorders>
          </w:tcPr>
          <w:p w14:paraId="7CBE95B8" w14:textId="77777777" w:rsidR="00A900A5" w:rsidRPr="006F1451" w:rsidRDefault="00A900A5" w:rsidP="006F1451"/>
        </w:tc>
      </w:tr>
      <w:tr w:rsidR="00A900A5" w:rsidRPr="00A900A5" w14:paraId="2C044979" w14:textId="77777777">
        <w:tc>
          <w:tcPr>
            <w:tcW w:w="2117" w:type="dxa"/>
            <w:tcBorders>
              <w:top w:val="single" w:sz="8" w:space="0" w:color="auto"/>
              <w:left w:val="single" w:sz="8" w:space="0" w:color="auto"/>
              <w:bottom w:val="single" w:sz="8" w:space="0" w:color="auto"/>
              <w:right w:val="single" w:sz="8" w:space="0" w:color="auto"/>
            </w:tcBorders>
          </w:tcPr>
          <w:p w14:paraId="4FBD9C9F" w14:textId="77777777" w:rsidR="00A900A5" w:rsidRPr="006F1451" w:rsidRDefault="00A900A5" w:rsidP="006F1451">
            <w:r w:rsidRPr="006F1451">
              <w:t>My supervisor made themselves available to provide an appropriate level of ongoing support</w:t>
            </w:r>
          </w:p>
        </w:tc>
        <w:tc>
          <w:tcPr>
            <w:tcW w:w="1417" w:type="dxa"/>
            <w:tcBorders>
              <w:top w:val="single" w:sz="8" w:space="0" w:color="auto"/>
              <w:left w:val="single" w:sz="8" w:space="0" w:color="auto"/>
              <w:bottom w:val="single" w:sz="8" w:space="0" w:color="auto"/>
              <w:right w:val="single" w:sz="8" w:space="0" w:color="auto"/>
            </w:tcBorders>
          </w:tcPr>
          <w:p w14:paraId="382E4F56" w14:textId="77777777" w:rsidR="00A900A5" w:rsidRPr="006F1451" w:rsidRDefault="00A900A5" w:rsidP="006F1451"/>
        </w:tc>
        <w:tc>
          <w:tcPr>
            <w:tcW w:w="1422" w:type="dxa"/>
            <w:tcBorders>
              <w:top w:val="single" w:sz="8" w:space="0" w:color="auto"/>
              <w:left w:val="single" w:sz="8" w:space="0" w:color="auto"/>
              <w:bottom w:val="single" w:sz="8" w:space="0" w:color="auto"/>
              <w:right w:val="single" w:sz="8" w:space="0" w:color="auto"/>
            </w:tcBorders>
          </w:tcPr>
          <w:p w14:paraId="63A66C55"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0296EDC5"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732C5FD3" w14:textId="77777777" w:rsidR="00A900A5" w:rsidRPr="006F1451" w:rsidRDefault="00A900A5" w:rsidP="006F1451"/>
        </w:tc>
        <w:tc>
          <w:tcPr>
            <w:tcW w:w="1653" w:type="dxa"/>
            <w:tcBorders>
              <w:top w:val="single" w:sz="8" w:space="0" w:color="auto"/>
              <w:left w:val="single" w:sz="8" w:space="0" w:color="auto"/>
              <w:bottom w:val="single" w:sz="8" w:space="0" w:color="auto"/>
              <w:right w:val="single" w:sz="8" w:space="0" w:color="auto"/>
            </w:tcBorders>
          </w:tcPr>
          <w:p w14:paraId="086529E1" w14:textId="77777777" w:rsidR="00A900A5" w:rsidRPr="006F1451" w:rsidRDefault="00A900A5" w:rsidP="006F1451"/>
        </w:tc>
      </w:tr>
      <w:tr w:rsidR="00A900A5" w:rsidRPr="00A900A5" w14:paraId="5208EFD6" w14:textId="77777777">
        <w:tc>
          <w:tcPr>
            <w:tcW w:w="2117" w:type="dxa"/>
            <w:tcBorders>
              <w:top w:val="single" w:sz="8" w:space="0" w:color="auto"/>
              <w:left w:val="single" w:sz="8" w:space="0" w:color="auto"/>
              <w:bottom w:val="single" w:sz="8" w:space="0" w:color="auto"/>
              <w:right w:val="single" w:sz="8" w:space="0" w:color="auto"/>
            </w:tcBorders>
          </w:tcPr>
          <w:p w14:paraId="3B836B4B" w14:textId="77777777" w:rsidR="00A900A5" w:rsidRPr="006F1451" w:rsidRDefault="00A900A5" w:rsidP="006F1451">
            <w:r w:rsidRPr="006F1451">
              <w:t>I received the support I needed in the program</w:t>
            </w:r>
          </w:p>
        </w:tc>
        <w:tc>
          <w:tcPr>
            <w:tcW w:w="1417" w:type="dxa"/>
            <w:tcBorders>
              <w:top w:val="single" w:sz="8" w:space="0" w:color="auto"/>
              <w:left w:val="single" w:sz="8" w:space="0" w:color="auto"/>
              <w:bottom w:val="single" w:sz="8" w:space="0" w:color="auto"/>
              <w:right w:val="single" w:sz="8" w:space="0" w:color="auto"/>
            </w:tcBorders>
          </w:tcPr>
          <w:p w14:paraId="3BB7E8E6" w14:textId="77777777" w:rsidR="00A900A5" w:rsidRPr="006F1451" w:rsidRDefault="00A900A5" w:rsidP="006F1451"/>
        </w:tc>
        <w:tc>
          <w:tcPr>
            <w:tcW w:w="1422" w:type="dxa"/>
            <w:tcBorders>
              <w:top w:val="single" w:sz="8" w:space="0" w:color="auto"/>
              <w:left w:val="single" w:sz="8" w:space="0" w:color="auto"/>
              <w:bottom w:val="single" w:sz="8" w:space="0" w:color="auto"/>
              <w:right w:val="single" w:sz="8" w:space="0" w:color="auto"/>
            </w:tcBorders>
          </w:tcPr>
          <w:p w14:paraId="196E926E"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41F43564"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50B11658" w14:textId="77777777" w:rsidR="00A900A5" w:rsidRPr="006F1451" w:rsidRDefault="00A900A5" w:rsidP="006F1451"/>
        </w:tc>
        <w:tc>
          <w:tcPr>
            <w:tcW w:w="1653" w:type="dxa"/>
            <w:tcBorders>
              <w:top w:val="single" w:sz="8" w:space="0" w:color="auto"/>
              <w:left w:val="single" w:sz="8" w:space="0" w:color="auto"/>
              <w:bottom w:val="single" w:sz="8" w:space="0" w:color="auto"/>
              <w:right w:val="single" w:sz="8" w:space="0" w:color="auto"/>
            </w:tcBorders>
          </w:tcPr>
          <w:p w14:paraId="34B2FFB7" w14:textId="77777777" w:rsidR="00A900A5" w:rsidRPr="006F1451" w:rsidRDefault="00A900A5" w:rsidP="006F1451"/>
        </w:tc>
      </w:tr>
      <w:tr w:rsidR="00A900A5" w:rsidRPr="00A900A5" w14:paraId="25517363" w14:textId="77777777">
        <w:tc>
          <w:tcPr>
            <w:tcW w:w="2117" w:type="dxa"/>
            <w:tcBorders>
              <w:top w:val="single" w:sz="8" w:space="0" w:color="auto"/>
              <w:left w:val="single" w:sz="8" w:space="0" w:color="auto"/>
              <w:bottom w:val="single" w:sz="8" w:space="0" w:color="auto"/>
              <w:right w:val="single" w:sz="8" w:space="0" w:color="auto"/>
            </w:tcBorders>
          </w:tcPr>
          <w:p w14:paraId="3BE5D536" w14:textId="77777777" w:rsidR="00A900A5" w:rsidRPr="006F1451" w:rsidRDefault="00A900A5" w:rsidP="006F1451">
            <w:r w:rsidRPr="006F1451">
              <w:t xml:space="preserve">Administrative processes for TEAP (e.g. assessment submissions and reporting requirements) were clear </w:t>
            </w:r>
          </w:p>
        </w:tc>
        <w:tc>
          <w:tcPr>
            <w:tcW w:w="1417" w:type="dxa"/>
            <w:tcBorders>
              <w:top w:val="single" w:sz="8" w:space="0" w:color="auto"/>
              <w:left w:val="single" w:sz="8" w:space="0" w:color="auto"/>
              <w:bottom w:val="single" w:sz="8" w:space="0" w:color="auto"/>
              <w:right w:val="single" w:sz="8" w:space="0" w:color="auto"/>
            </w:tcBorders>
          </w:tcPr>
          <w:p w14:paraId="7B3144BE" w14:textId="77777777" w:rsidR="00A900A5" w:rsidRPr="006F1451" w:rsidRDefault="00A900A5" w:rsidP="006F1451">
            <w:r w:rsidRPr="006F1451">
              <w:t xml:space="preserve"> </w:t>
            </w:r>
          </w:p>
        </w:tc>
        <w:tc>
          <w:tcPr>
            <w:tcW w:w="1422" w:type="dxa"/>
            <w:tcBorders>
              <w:top w:val="single" w:sz="8" w:space="0" w:color="auto"/>
              <w:left w:val="single" w:sz="8" w:space="0" w:color="auto"/>
              <w:bottom w:val="single" w:sz="8" w:space="0" w:color="auto"/>
              <w:right w:val="single" w:sz="8" w:space="0" w:color="auto"/>
            </w:tcBorders>
          </w:tcPr>
          <w:p w14:paraId="2C271BD8"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7363F9D1"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5D73CAA6" w14:textId="77777777" w:rsidR="00A900A5" w:rsidRPr="006F1451" w:rsidRDefault="00A900A5"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3E3228BB" w14:textId="77777777" w:rsidR="00A900A5" w:rsidRPr="006F1451" w:rsidRDefault="00A900A5" w:rsidP="006F1451"/>
        </w:tc>
      </w:tr>
      <w:tr w:rsidR="00A900A5" w:rsidRPr="00A900A5" w14:paraId="70AE5182" w14:textId="77777777">
        <w:tc>
          <w:tcPr>
            <w:tcW w:w="2117" w:type="dxa"/>
            <w:tcBorders>
              <w:top w:val="single" w:sz="8" w:space="0" w:color="auto"/>
              <w:left w:val="single" w:sz="8" w:space="0" w:color="auto"/>
              <w:bottom w:val="single" w:sz="8" w:space="0" w:color="auto"/>
              <w:right w:val="single" w:sz="8" w:space="0" w:color="auto"/>
            </w:tcBorders>
          </w:tcPr>
          <w:p w14:paraId="40C4748E" w14:textId="77777777" w:rsidR="00A900A5" w:rsidRPr="006F1451" w:rsidRDefault="00A900A5" w:rsidP="006F1451">
            <w:r w:rsidRPr="006F1451">
              <w:t>Administrative processes for TEAP (e.g. ALEX, College response times) were efficient and user-friendly</w:t>
            </w:r>
          </w:p>
        </w:tc>
        <w:tc>
          <w:tcPr>
            <w:tcW w:w="1417" w:type="dxa"/>
            <w:tcBorders>
              <w:top w:val="single" w:sz="8" w:space="0" w:color="auto"/>
              <w:left w:val="single" w:sz="8" w:space="0" w:color="auto"/>
              <w:bottom w:val="single" w:sz="8" w:space="0" w:color="auto"/>
              <w:right w:val="single" w:sz="8" w:space="0" w:color="auto"/>
            </w:tcBorders>
          </w:tcPr>
          <w:p w14:paraId="4BB85263" w14:textId="77777777" w:rsidR="00A900A5" w:rsidRPr="006F1451" w:rsidRDefault="00A900A5" w:rsidP="006F1451">
            <w:r w:rsidRPr="006F1451">
              <w:t xml:space="preserve"> </w:t>
            </w:r>
          </w:p>
        </w:tc>
        <w:tc>
          <w:tcPr>
            <w:tcW w:w="1422" w:type="dxa"/>
            <w:tcBorders>
              <w:top w:val="single" w:sz="8" w:space="0" w:color="auto"/>
              <w:left w:val="single" w:sz="8" w:space="0" w:color="auto"/>
              <w:bottom w:val="single" w:sz="8" w:space="0" w:color="auto"/>
              <w:right w:val="single" w:sz="8" w:space="0" w:color="auto"/>
            </w:tcBorders>
          </w:tcPr>
          <w:p w14:paraId="793D81E5"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47AD178A"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566CF1F5" w14:textId="77777777" w:rsidR="00A900A5" w:rsidRPr="006F1451" w:rsidRDefault="00A900A5"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2C8B2244" w14:textId="77777777" w:rsidR="00A900A5" w:rsidRPr="006F1451" w:rsidRDefault="00A900A5" w:rsidP="006F1451"/>
        </w:tc>
      </w:tr>
    </w:tbl>
    <w:p w14:paraId="5FD40CC8" w14:textId="566708A8" w:rsidR="00A900A5" w:rsidRPr="00A900A5" w:rsidRDefault="00A900A5" w:rsidP="006F1451">
      <w:pPr>
        <w:pStyle w:val="ListNumber"/>
        <w:rPr>
          <w:lang w:val="en-US"/>
        </w:rPr>
      </w:pPr>
      <w:r w:rsidRPr="00A900A5">
        <w:rPr>
          <w:lang w:val="en-US"/>
        </w:rPr>
        <w:t xml:space="preserve">Please describe any program elements that you found positive or beneficial. </w:t>
      </w:r>
      <w:r w:rsidR="00E306E9">
        <w:rPr>
          <w:i/>
          <w:iCs/>
          <w:lang w:val="en-US"/>
        </w:rPr>
        <w:t>Free text</w:t>
      </w:r>
    </w:p>
    <w:p w14:paraId="64FB36CF" w14:textId="58FEBDAC" w:rsidR="00A900A5" w:rsidRPr="00A900A5" w:rsidRDefault="00A900A5" w:rsidP="00A900A5">
      <w:pPr>
        <w:pStyle w:val="BodyText"/>
        <w:rPr>
          <w:lang w:val="en-US"/>
        </w:rPr>
      </w:pPr>
      <w:r w:rsidRPr="00A900A5">
        <w:rPr>
          <w:lang w:val="en-US"/>
        </w:rPr>
        <w:t xml:space="preserve">Program elements may include (but are not limited to) supervisors, support roles and resources, and/or administrative processes. </w:t>
      </w:r>
    </w:p>
    <w:p w14:paraId="1472A175" w14:textId="77777777" w:rsidR="00A900A5" w:rsidRPr="00A900A5" w:rsidRDefault="00A900A5" w:rsidP="00A900A5">
      <w:pPr>
        <w:pStyle w:val="BodyText"/>
        <w:rPr>
          <w:lang w:val="en-US"/>
        </w:rPr>
      </w:pPr>
      <w:r w:rsidRPr="00A900A5">
        <w:rPr>
          <w:lang w:val="en-US"/>
        </w:rPr>
        <w:t>-------------------------------------------------------------------</w:t>
      </w:r>
    </w:p>
    <w:p w14:paraId="0CA8BB75" w14:textId="0CC5033F" w:rsidR="00A900A5" w:rsidRPr="00A900A5" w:rsidRDefault="00A900A5" w:rsidP="006F1451">
      <w:pPr>
        <w:pStyle w:val="ListNumber"/>
        <w:rPr>
          <w:lang w:val="en-US"/>
        </w:rPr>
      </w:pPr>
      <w:r w:rsidRPr="00A900A5">
        <w:rPr>
          <w:lang w:val="en-US"/>
        </w:rPr>
        <w:t xml:space="preserve">Do you have any suggested improvements to the delivery of the program?  </w:t>
      </w:r>
      <w:r w:rsidR="00E306E9">
        <w:rPr>
          <w:i/>
          <w:iCs/>
          <w:lang w:val="en-US"/>
        </w:rPr>
        <w:t>Free text</w:t>
      </w:r>
    </w:p>
    <w:p w14:paraId="402C2297" w14:textId="3FBF67AC" w:rsidR="00A900A5" w:rsidRPr="00A900A5" w:rsidRDefault="00A900A5" w:rsidP="00A900A5">
      <w:pPr>
        <w:pStyle w:val="BodyText"/>
        <w:rPr>
          <w:lang w:val="en-US"/>
        </w:rPr>
      </w:pPr>
      <w:r w:rsidRPr="00A900A5">
        <w:rPr>
          <w:lang w:val="en-US"/>
        </w:rPr>
        <w:t xml:space="preserve">Suggestions may relate to any additional supports or resources which you feel are gaps in the program. </w:t>
      </w:r>
    </w:p>
    <w:p w14:paraId="7837BF56" w14:textId="77777777" w:rsidR="00A900A5" w:rsidRPr="00A900A5" w:rsidRDefault="00A900A5" w:rsidP="00A900A5">
      <w:pPr>
        <w:pStyle w:val="BodyText"/>
        <w:rPr>
          <w:lang w:val="en-US"/>
        </w:rPr>
      </w:pPr>
      <w:r w:rsidRPr="00A900A5">
        <w:rPr>
          <w:lang w:val="en-US"/>
        </w:rPr>
        <w:t>-------------------------------------------------------------------</w:t>
      </w:r>
    </w:p>
    <w:p w14:paraId="581C13DE" w14:textId="2DF96E03" w:rsidR="00A900A5" w:rsidRPr="00A900A5" w:rsidRDefault="00A900A5" w:rsidP="006F1451">
      <w:pPr>
        <w:pStyle w:val="ListNumber"/>
        <w:rPr>
          <w:lang w:val="en-US"/>
        </w:rPr>
      </w:pPr>
      <w:r w:rsidRPr="00A900A5">
        <w:rPr>
          <w:lang w:val="en-US"/>
        </w:rPr>
        <w:t xml:space="preserve">To what extent do you agree with the following statement about TEAP? </w:t>
      </w:r>
      <w:r w:rsidR="00BE166E" w:rsidRPr="00BE166E">
        <w:rPr>
          <w:i/>
          <w:iCs/>
          <w:lang w:val="en-US"/>
        </w:rPr>
        <w:t>G</w:t>
      </w:r>
      <w:r w:rsidRPr="00A900A5">
        <w:rPr>
          <w:i/>
          <w:iCs/>
          <w:lang w:val="en-US"/>
        </w:rPr>
        <w:t>rid</w:t>
      </w:r>
    </w:p>
    <w:tbl>
      <w:tblPr>
        <w:tblStyle w:val="TableGrid"/>
        <w:tblW w:w="9913" w:type="dxa"/>
        <w:tblLayout w:type="fixed"/>
        <w:tblLook w:val="06A0" w:firstRow="1" w:lastRow="0" w:firstColumn="1" w:lastColumn="0" w:noHBand="1" w:noVBand="1"/>
      </w:tblPr>
      <w:tblGrid>
        <w:gridCol w:w="1652"/>
        <w:gridCol w:w="1652"/>
        <w:gridCol w:w="1652"/>
        <w:gridCol w:w="1652"/>
        <w:gridCol w:w="1652"/>
        <w:gridCol w:w="1653"/>
      </w:tblGrid>
      <w:tr w:rsidR="00A900A5" w:rsidRPr="00A900A5" w14:paraId="322DE906" w14:textId="77777777" w:rsidTr="006F1451">
        <w:trPr>
          <w:cnfStyle w:val="100000000000" w:firstRow="1" w:lastRow="0" w:firstColumn="0" w:lastColumn="0" w:oddVBand="0" w:evenVBand="0" w:oddHBand="0" w:evenHBand="0" w:firstRowFirstColumn="0" w:firstRowLastColumn="0" w:lastRowFirstColumn="0" w:lastRowLastColumn="0"/>
          <w:tblHeader/>
        </w:trPr>
        <w:tc>
          <w:tcPr>
            <w:tcW w:w="1652" w:type="dxa"/>
            <w:tcBorders>
              <w:top w:val="single" w:sz="8" w:space="0" w:color="auto"/>
              <w:left w:val="single" w:sz="8" w:space="0" w:color="auto"/>
              <w:bottom w:val="single" w:sz="8" w:space="0" w:color="auto"/>
              <w:right w:val="single" w:sz="8" w:space="0" w:color="auto"/>
            </w:tcBorders>
          </w:tcPr>
          <w:p w14:paraId="48330929" w14:textId="77777777" w:rsidR="00A900A5" w:rsidRPr="006F1451" w:rsidRDefault="00A900A5" w:rsidP="006F1451"/>
        </w:tc>
        <w:tc>
          <w:tcPr>
            <w:tcW w:w="1652" w:type="dxa"/>
            <w:tcBorders>
              <w:top w:val="single" w:sz="8" w:space="0" w:color="auto"/>
              <w:left w:val="single" w:sz="8" w:space="0" w:color="auto"/>
              <w:bottom w:val="single" w:sz="8" w:space="0" w:color="auto"/>
              <w:right w:val="single" w:sz="8" w:space="0" w:color="auto"/>
            </w:tcBorders>
          </w:tcPr>
          <w:p w14:paraId="68F337BE" w14:textId="77777777" w:rsidR="00A900A5" w:rsidRPr="006F1451" w:rsidRDefault="00A900A5" w:rsidP="006F1451">
            <w:r w:rsidRPr="006F1451">
              <w:t>Strongly disagree</w:t>
            </w:r>
          </w:p>
        </w:tc>
        <w:tc>
          <w:tcPr>
            <w:tcW w:w="1652" w:type="dxa"/>
            <w:tcBorders>
              <w:top w:val="single" w:sz="8" w:space="0" w:color="auto"/>
              <w:left w:val="single" w:sz="8" w:space="0" w:color="auto"/>
              <w:bottom w:val="single" w:sz="8" w:space="0" w:color="auto"/>
              <w:right w:val="single" w:sz="8" w:space="0" w:color="auto"/>
            </w:tcBorders>
          </w:tcPr>
          <w:p w14:paraId="55AE69A9" w14:textId="77777777" w:rsidR="00A900A5" w:rsidRPr="006F1451" w:rsidRDefault="00A900A5" w:rsidP="006F1451">
            <w:r w:rsidRPr="006F1451">
              <w:t>Somewhat disagree</w:t>
            </w:r>
          </w:p>
        </w:tc>
        <w:tc>
          <w:tcPr>
            <w:tcW w:w="1652" w:type="dxa"/>
            <w:tcBorders>
              <w:top w:val="single" w:sz="8" w:space="0" w:color="auto"/>
              <w:left w:val="single" w:sz="8" w:space="0" w:color="auto"/>
              <w:bottom w:val="single" w:sz="8" w:space="0" w:color="auto"/>
              <w:right w:val="single" w:sz="8" w:space="0" w:color="auto"/>
            </w:tcBorders>
          </w:tcPr>
          <w:p w14:paraId="1F1858FB" w14:textId="77777777" w:rsidR="00A900A5" w:rsidRPr="006F1451" w:rsidRDefault="00A900A5" w:rsidP="006F1451">
            <w:r w:rsidRPr="006F1451">
              <w:t>Neither agree nor disagree</w:t>
            </w:r>
          </w:p>
        </w:tc>
        <w:tc>
          <w:tcPr>
            <w:tcW w:w="1652" w:type="dxa"/>
            <w:tcBorders>
              <w:top w:val="single" w:sz="8" w:space="0" w:color="auto"/>
              <w:left w:val="single" w:sz="8" w:space="0" w:color="auto"/>
              <w:bottom w:val="single" w:sz="8" w:space="0" w:color="auto"/>
              <w:right w:val="single" w:sz="8" w:space="0" w:color="auto"/>
            </w:tcBorders>
          </w:tcPr>
          <w:p w14:paraId="041A4DD5" w14:textId="77777777" w:rsidR="00A900A5" w:rsidRPr="006F1451" w:rsidRDefault="00A900A5" w:rsidP="006F1451">
            <w:r w:rsidRPr="006F1451">
              <w:t>Somewhat agree</w:t>
            </w:r>
          </w:p>
        </w:tc>
        <w:tc>
          <w:tcPr>
            <w:tcW w:w="1653" w:type="dxa"/>
            <w:tcBorders>
              <w:top w:val="single" w:sz="8" w:space="0" w:color="auto"/>
              <w:left w:val="single" w:sz="8" w:space="0" w:color="auto"/>
              <w:bottom w:val="single" w:sz="8" w:space="0" w:color="auto"/>
              <w:right w:val="single" w:sz="8" w:space="0" w:color="auto"/>
            </w:tcBorders>
          </w:tcPr>
          <w:p w14:paraId="0028A426" w14:textId="77777777" w:rsidR="00A900A5" w:rsidRPr="006F1451" w:rsidRDefault="00A900A5" w:rsidP="006F1451">
            <w:r w:rsidRPr="006F1451">
              <w:t>Strongly agree</w:t>
            </w:r>
          </w:p>
        </w:tc>
      </w:tr>
      <w:tr w:rsidR="00A900A5" w:rsidRPr="00A900A5" w14:paraId="000B720A" w14:textId="77777777">
        <w:tc>
          <w:tcPr>
            <w:tcW w:w="1652" w:type="dxa"/>
            <w:tcBorders>
              <w:top w:val="single" w:sz="8" w:space="0" w:color="auto"/>
              <w:left w:val="single" w:sz="8" w:space="0" w:color="auto"/>
              <w:bottom w:val="single" w:sz="8" w:space="0" w:color="auto"/>
              <w:right w:val="single" w:sz="8" w:space="0" w:color="auto"/>
            </w:tcBorders>
          </w:tcPr>
          <w:p w14:paraId="26514CE5" w14:textId="77777777" w:rsidR="00A900A5" w:rsidRPr="006F1451" w:rsidRDefault="00A900A5" w:rsidP="006F1451">
            <w:r w:rsidRPr="006F1451">
              <w:t>The training and education I received has had a positive impact on the quality of my work</w:t>
            </w:r>
          </w:p>
        </w:tc>
        <w:tc>
          <w:tcPr>
            <w:tcW w:w="1652" w:type="dxa"/>
            <w:tcBorders>
              <w:top w:val="single" w:sz="8" w:space="0" w:color="auto"/>
              <w:left w:val="single" w:sz="8" w:space="0" w:color="auto"/>
              <w:bottom w:val="single" w:sz="8" w:space="0" w:color="auto"/>
              <w:right w:val="single" w:sz="8" w:space="0" w:color="auto"/>
            </w:tcBorders>
          </w:tcPr>
          <w:p w14:paraId="17FFBA85"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48A3452D"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3AA1A66A" w14:textId="77777777" w:rsidR="00A900A5" w:rsidRPr="006F1451" w:rsidRDefault="00A900A5" w:rsidP="006F1451">
            <w:r w:rsidRPr="006F1451">
              <w:t xml:space="preserve"> </w:t>
            </w:r>
          </w:p>
        </w:tc>
        <w:tc>
          <w:tcPr>
            <w:tcW w:w="1652" w:type="dxa"/>
            <w:tcBorders>
              <w:top w:val="single" w:sz="8" w:space="0" w:color="auto"/>
              <w:left w:val="single" w:sz="8" w:space="0" w:color="auto"/>
              <w:bottom w:val="single" w:sz="8" w:space="0" w:color="auto"/>
              <w:right w:val="single" w:sz="8" w:space="0" w:color="auto"/>
            </w:tcBorders>
          </w:tcPr>
          <w:p w14:paraId="667A0CE4" w14:textId="77777777" w:rsidR="00A900A5" w:rsidRPr="006F1451" w:rsidRDefault="00A900A5" w:rsidP="006F1451">
            <w:r w:rsidRPr="006F1451">
              <w:t xml:space="preserve"> </w:t>
            </w:r>
          </w:p>
        </w:tc>
        <w:tc>
          <w:tcPr>
            <w:tcW w:w="1653" w:type="dxa"/>
            <w:tcBorders>
              <w:top w:val="single" w:sz="8" w:space="0" w:color="auto"/>
              <w:left w:val="single" w:sz="8" w:space="0" w:color="auto"/>
              <w:bottom w:val="single" w:sz="8" w:space="0" w:color="auto"/>
              <w:right w:val="single" w:sz="8" w:space="0" w:color="auto"/>
            </w:tcBorders>
          </w:tcPr>
          <w:p w14:paraId="734D859B" w14:textId="77777777" w:rsidR="00A900A5" w:rsidRPr="006F1451" w:rsidRDefault="00A900A5" w:rsidP="006F1451"/>
        </w:tc>
      </w:tr>
    </w:tbl>
    <w:p w14:paraId="15200AC7" w14:textId="77777777" w:rsidR="00A900A5" w:rsidRPr="00A900A5" w:rsidRDefault="00A900A5" w:rsidP="00A900A5">
      <w:pPr>
        <w:pStyle w:val="BodyText"/>
        <w:rPr>
          <w:lang w:val="en-US"/>
        </w:rPr>
      </w:pPr>
      <w:r w:rsidRPr="00A900A5">
        <w:rPr>
          <w:lang w:val="en-US"/>
        </w:rPr>
        <w:t>-------------------------------------------------------------------</w:t>
      </w:r>
    </w:p>
    <w:p w14:paraId="094A3FC0" w14:textId="726FAFF0" w:rsidR="00A900A5" w:rsidRPr="00A900A5" w:rsidRDefault="00A900A5" w:rsidP="006F1451">
      <w:pPr>
        <w:pStyle w:val="ListNumber"/>
        <w:rPr>
          <w:lang w:val="en-US"/>
        </w:rPr>
      </w:pPr>
      <w:r w:rsidRPr="00A900A5">
        <w:rPr>
          <w:lang w:val="en-US"/>
        </w:rPr>
        <w:t xml:space="preserve">Please describe any impact TEAP has had on your career progression and professional development. </w:t>
      </w:r>
      <w:r w:rsidR="00E306E9">
        <w:rPr>
          <w:i/>
          <w:iCs/>
          <w:lang w:val="en-US"/>
        </w:rPr>
        <w:t>Free text</w:t>
      </w:r>
    </w:p>
    <w:p w14:paraId="007C58DC" w14:textId="77777777" w:rsidR="00A900A5" w:rsidRPr="00A900A5" w:rsidRDefault="00A900A5" w:rsidP="00A900A5">
      <w:pPr>
        <w:pStyle w:val="BodyText"/>
        <w:rPr>
          <w:lang w:val="en-US"/>
        </w:rPr>
      </w:pPr>
      <w:r w:rsidRPr="00A900A5">
        <w:rPr>
          <w:lang w:val="en-US"/>
        </w:rPr>
        <w:t>-------------------------------------------------------------------</w:t>
      </w:r>
    </w:p>
    <w:p w14:paraId="3D699490" w14:textId="79860AD8" w:rsidR="00A900A5" w:rsidRPr="00A900A5" w:rsidRDefault="00A900A5" w:rsidP="006F1451">
      <w:pPr>
        <w:pStyle w:val="ListNumber"/>
        <w:rPr>
          <w:lang w:val="en-US"/>
        </w:rPr>
      </w:pPr>
      <w:r w:rsidRPr="00A900A5">
        <w:rPr>
          <w:lang w:val="en-US"/>
        </w:rPr>
        <w:t>Overall, how would you rate your satisfaction with the program?</w:t>
      </w:r>
      <w:r w:rsidR="008752C1">
        <w:rPr>
          <w:lang w:val="en-US"/>
        </w:rPr>
        <w:t xml:space="preserve"> </w:t>
      </w:r>
      <w:r w:rsidR="008752C1">
        <w:rPr>
          <w:i/>
          <w:iCs/>
          <w:lang w:val="en-US"/>
        </w:rPr>
        <w:t>Select 1 option</w:t>
      </w:r>
    </w:p>
    <w:p w14:paraId="16752B56" w14:textId="77777777" w:rsidR="00A900A5" w:rsidRPr="00A900A5" w:rsidRDefault="00A900A5" w:rsidP="006F1451">
      <w:pPr>
        <w:pStyle w:val="ListBullet"/>
        <w:rPr>
          <w:lang w:val="en-US"/>
        </w:rPr>
      </w:pPr>
      <w:r w:rsidRPr="00A900A5">
        <w:rPr>
          <w:lang w:val="en-US"/>
        </w:rPr>
        <w:t>Very satisfied</w:t>
      </w:r>
    </w:p>
    <w:p w14:paraId="280C4B13" w14:textId="77777777" w:rsidR="00A900A5" w:rsidRPr="00A900A5" w:rsidRDefault="00A900A5" w:rsidP="006F1451">
      <w:pPr>
        <w:pStyle w:val="ListBullet"/>
        <w:rPr>
          <w:lang w:val="en-US"/>
        </w:rPr>
      </w:pPr>
      <w:r w:rsidRPr="00A900A5">
        <w:rPr>
          <w:lang w:val="en-US"/>
        </w:rPr>
        <w:t>Somewhat satisfied</w:t>
      </w:r>
    </w:p>
    <w:p w14:paraId="7AA8E0A8" w14:textId="77777777" w:rsidR="00A900A5" w:rsidRPr="00A900A5" w:rsidRDefault="00A900A5" w:rsidP="006F1451">
      <w:pPr>
        <w:pStyle w:val="ListBullet"/>
        <w:rPr>
          <w:lang w:val="en-US"/>
        </w:rPr>
      </w:pPr>
      <w:r w:rsidRPr="00A900A5">
        <w:rPr>
          <w:lang w:val="en-US"/>
        </w:rPr>
        <w:t>Neither satisfied nor dissatisfied</w:t>
      </w:r>
    </w:p>
    <w:p w14:paraId="3BBF752F" w14:textId="77777777" w:rsidR="00A900A5" w:rsidRPr="00A900A5" w:rsidRDefault="00A900A5" w:rsidP="006F1451">
      <w:pPr>
        <w:pStyle w:val="ListBullet"/>
        <w:rPr>
          <w:lang w:val="en-US"/>
        </w:rPr>
      </w:pPr>
      <w:r w:rsidRPr="00A900A5">
        <w:rPr>
          <w:lang w:val="en-US"/>
        </w:rPr>
        <w:t>Somewhat dissatisfied</w:t>
      </w:r>
    </w:p>
    <w:p w14:paraId="3AFF5222" w14:textId="77777777" w:rsidR="00A900A5" w:rsidRPr="00A900A5" w:rsidRDefault="00A900A5" w:rsidP="006F1451">
      <w:pPr>
        <w:pStyle w:val="ListBullet"/>
        <w:rPr>
          <w:lang w:val="en-US"/>
        </w:rPr>
      </w:pPr>
      <w:r w:rsidRPr="00A900A5">
        <w:rPr>
          <w:lang w:val="en-US"/>
        </w:rPr>
        <w:t>Very dissatisfied</w:t>
      </w:r>
    </w:p>
    <w:p w14:paraId="6FFEB5D2" w14:textId="77777777" w:rsidR="00A900A5" w:rsidRPr="00A900A5" w:rsidRDefault="00A900A5" w:rsidP="00A900A5">
      <w:pPr>
        <w:pStyle w:val="BodyText"/>
        <w:rPr>
          <w:lang w:val="en-US"/>
        </w:rPr>
      </w:pPr>
      <w:r w:rsidRPr="00A900A5">
        <w:rPr>
          <w:lang w:val="en-US"/>
        </w:rPr>
        <w:t>-------------------------------------------------------------------</w:t>
      </w:r>
    </w:p>
    <w:p w14:paraId="19922078" w14:textId="1CEF0D0C" w:rsidR="00A900A5" w:rsidRPr="00A900A5" w:rsidRDefault="00A900A5" w:rsidP="006F1451">
      <w:pPr>
        <w:pStyle w:val="ListNumber"/>
        <w:rPr>
          <w:lang w:val="en-US"/>
        </w:rPr>
      </w:pPr>
      <w:r w:rsidRPr="00A900A5">
        <w:rPr>
          <w:lang w:val="en-US"/>
        </w:rPr>
        <w:t xml:space="preserve">Any other comments? </w:t>
      </w:r>
      <w:r w:rsidR="00E306E9">
        <w:rPr>
          <w:i/>
          <w:iCs/>
          <w:lang w:val="en-US"/>
        </w:rPr>
        <w:t>Free text</w:t>
      </w:r>
    </w:p>
    <w:p w14:paraId="15F453B8" w14:textId="77777777" w:rsidR="00A900A5" w:rsidRPr="00A900A5" w:rsidRDefault="00A900A5" w:rsidP="00A900A5">
      <w:pPr>
        <w:pStyle w:val="BodyText"/>
        <w:rPr>
          <w:lang w:val="en-US"/>
        </w:rPr>
      </w:pPr>
      <w:r w:rsidRPr="00A900A5">
        <w:rPr>
          <w:lang w:val="en-US"/>
        </w:rPr>
        <w:t>-------------------------------------------------------------------</w:t>
      </w:r>
    </w:p>
    <w:p w14:paraId="21CD3CCC" w14:textId="77777777" w:rsidR="00714675" w:rsidRPr="006F1451" w:rsidRDefault="00714675" w:rsidP="006F1451">
      <w:r w:rsidRPr="006F1451">
        <w:br w:type="page"/>
      </w:r>
    </w:p>
    <w:p w14:paraId="5555E6D7" w14:textId="2F3997AA" w:rsidR="004D5DF1" w:rsidRPr="008D0928" w:rsidRDefault="00140142" w:rsidP="00045A47">
      <w:pPr>
        <w:pStyle w:val="Heading1"/>
      </w:pPr>
      <w:bookmarkStart w:id="335" w:name="_Toc184396594"/>
      <w:bookmarkStart w:id="336" w:name="_Toc216711628"/>
      <w:bookmarkStart w:id="337" w:name="_Toc216792022"/>
      <w:r>
        <w:t xml:space="preserve">Appendix </w:t>
      </w:r>
      <w:r w:rsidR="004C1698">
        <w:t>H</w:t>
      </w:r>
      <w:r w:rsidR="005656B4">
        <w:t>: Survey results</w:t>
      </w:r>
      <w:bookmarkEnd w:id="335"/>
      <w:bookmarkEnd w:id="336"/>
      <w:bookmarkEnd w:id="337"/>
    </w:p>
    <w:p w14:paraId="3730E20F" w14:textId="02C3526D" w:rsidR="00720BA1" w:rsidRDefault="00720BA1" w:rsidP="00273E1A">
      <w:pPr>
        <w:pStyle w:val="Heading2"/>
      </w:pPr>
      <w:bookmarkStart w:id="338" w:name="_Toc184396595"/>
      <w:bookmarkStart w:id="339" w:name="_Toc216711629"/>
      <w:bookmarkStart w:id="340" w:name="_Toc216792023"/>
      <w:r>
        <w:t xml:space="preserve">Supervisor </w:t>
      </w:r>
      <w:r w:rsidR="00E265DC">
        <w:t>survey</w:t>
      </w:r>
      <w:r w:rsidR="002E11BE">
        <w:t xml:space="preserve"> results</w:t>
      </w:r>
      <w:bookmarkEnd w:id="338"/>
      <w:bookmarkEnd w:id="339"/>
      <w:bookmarkEnd w:id="340"/>
    </w:p>
    <w:p w14:paraId="7A8C3D88" w14:textId="50B926BE" w:rsidR="00686FCF" w:rsidRDefault="00686FCF" w:rsidP="0077186C">
      <w:pPr>
        <w:pStyle w:val="BodyText"/>
      </w:pPr>
      <w:r>
        <w:t xml:space="preserve">The </w:t>
      </w:r>
      <w:r w:rsidR="009B6D3A">
        <w:t>S</w:t>
      </w:r>
      <w:r>
        <w:t xml:space="preserve">upervisor survey was open to responses from </w:t>
      </w:r>
      <w:r w:rsidR="00072C17">
        <w:t xml:space="preserve">current or previous </w:t>
      </w:r>
      <w:r w:rsidR="009B6D3A">
        <w:t>S</w:t>
      </w:r>
      <w:r w:rsidR="00072C17">
        <w:t xml:space="preserve">upervisors of TEAP Registrars </w:t>
      </w:r>
      <w:r w:rsidR="00BB3CA5">
        <w:t xml:space="preserve">between </w:t>
      </w:r>
      <w:r w:rsidR="007F44FA">
        <w:t>Thursday 17</w:t>
      </w:r>
      <w:r w:rsidR="007F44FA" w:rsidRPr="007F44FA">
        <w:rPr>
          <w:vertAlign w:val="superscript"/>
        </w:rPr>
        <w:t>th</w:t>
      </w:r>
      <w:r w:rsidR="007F44FA">
        <w:t xml:space="preserve"> of October and </w:t>
      </w:r>
      <w:r w:rsidR="00371494">
        <w:t xml:space="preserve">midnight Friday </w:t>
      </w:r>
      <w:r w:rsidR="00C41BD3">
        <w:t>1 November.</w:t>
      </w:r>
    </w:p>
    <w:p w14:paraId="6D356E66" w14:textId="6C2CDDEF" w:rsidR="00F14954" w:rsidRDefault="00686FCF" w:rsidP="00AB785B">
      <w:pPr>
        <w:pStyle w:val="BodyText"/>
      </w:pPr>
      <w:r>
        <w:t xml:space="preserve">There </w:t>
      </w:r>
      <w:proofErr w:type="gramStart"/>
      <w:r>
        <w:t>were</w:t>
      </w:r>
      <w:proofErr w:type="gramEnd"/>
      <w:r>
        <w:t xml:space="preserve"> a total of 68 respondents to the </w:t>
      </w:r>
      <w:r w:rsidR="009B6D3A">
        <w:t>S</w:t>
      </w:r>
      <w:r>
        <w:t>upervisor survey</w:t>
      </w:r>
      <w:r w:rsidR="00C41BD3">
        <w:t>, of which 54 completed the survey.</w:t>
      </w:r>
    </w:p>
    <w:p w14:paraId="17AD863E" w14:textId="5F32B75E" w:rsidR="008103AC" w:rsidRDefault="00AB785B" w:rsidP="00281D11">
      <w:pPr>
        <w:pStyle w:val="BodyText"/>
      </w:pPr>
      <w:r>
        <w:t>Results of the Supervisor survey are detailed in</w:t>
      </w:r>
      <w:r w:rsidR="00F14954">
        <w:t xml:space="preserve"> the tables below.</w:t>
      </w:r>
    </w:p>
    <w:p w14:paraId="3F582476" w14:textId="25BA751A" w:rsidR="00131A13" w:rsidRDefault="00AE057D" w:rsidP="00131A13">
      <w:pPr>
        <w:pStyle w:val="Caption"/>
      </w:pPr>
      <w:r>
        <w:t xml:space="preserve">Table </w:t>
      </w:r>
      <w:r>
        <w:fldChar w:fldCharType="begin"/>
      </w:r>
      <w:r>
        <w:instrText xml:space="preserve"> SEQ Table \* ARABIC </w:instrText>
      </w:r>
      <w:r>
        <w:fldChar w:fldCharType="separate"/>
      </w:r>
      <w:r w:rsidR="005F7EBC">
        <w:rPr>
          <w:noProof/>
        </w:rPr>
        <w:t>20</w:t>
      </w:r>
      <w:r>
        <w:fldChar w:fldCharType="end"/>
      </w:r>
      <w:r>
        <w:t xml:space="preserve">: </w:t>
      </w:r>
      <w:r w:rsidRPr="008250E7">
        <w:t>Supervisor survey results to the question ‘What is your age?’ (n=67)</w:t>
      </w:r>
    </w:p>
    <w:tbl>
      <w:tblPr>
        <w:tblStyle w:val="TableGrid"/>
        <w:tblW w:w="0" w:type="auto"/>
        <w:tblLook w:val="04A0" w:firstRow="1" w:lastRow="0" w:firstColumn="1" w:lastColumn="0" w:noHBand="0" w:noVBand="1"/>
      </w:tblPr>
      <w:tblGrid>
        <w:gridCol w:w="4814"/>
        <w:gridCol w:w="4814"/>
      </w:tblGrid>
      <w:tr w:rsidR="00131A13" w14:paraId="5D632D8F"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337B8F4C" w14:textId="22C1F9F7" w:rsidR="00131A13"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26351494" w14:textId="77777777" w:rsidR="00131A13" w:rsidRPr="00242835" w:rsidRDefault="00131A13" w:rsidP="00242835">
            <w:r w:rsidRPr="00242835">
              <w:t>Responses</w:t>
            </w:r>
          </w:p>
        </w:tc>
      </w:tr>
      <w:tr w:rsidR="00524D4C" w14:paraId="26662C52"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40D79ED7" w14:textId="77777777" w:rsidR="00524D4C" w:rsidRPr="003A5E26" w:rsidRDefault="00524D4C" w:rsidP="00524D4C">
            <w:pPr>
              <w:pStyle w:val="BodyText"/>
              <w:rPr>
                <w:rFonts w:cs="Arial"/>
                <w:szCs w:val="20"/>
              </w:rPr>
            </w:pPr>
            <w:r w:rsidRPr="003A5E26">
              <w:rPr>
                <w:rFonts w:cs="Arial"/>
                <w:szCs w:val="20"/>
              </w:rPr>
              <w:t>25-34 years old</w:t>
            </w:r>
          </w:p>
        </w:tc>
        <w:tc>
          <w:tcPr>
            <w:tcW w:w="4814" w:type="dxa"/>
            <w:tcBorders>
              <w:bottom w:val="single" w:sz="4" w:space="0" w:color="000000"/>
            </w:tcBorders>
            <w:vAlign w:val="bottom"/>
          </w:tcPr>
          <w:p w14:paraId="2AF57A6B" w14:textId="1A8DF85C" w:rsidR="00524D4C" w:rsidRPr="003A5E26" w:rsidRDefault="00524D4C" w:rsidP="00524D4C">
            <w:pPr>
              <w:pStyle w:val="BodyText"/>
              <w:rPr>
                <w:rFonts w:cs="Arial"/>
                <w:szCs w:val="20"/>
              </w:rPr>
            </w:pPr>
            <w:r w:rsidRPr="003A5E26">
              <w:rPr>
                <w:rFonts w:cs="Arial"/>
                <w:szCs w:val="20"/>
              </w:rPr>
              <w:t>5</w:t>
            </w:r>
            <w:r w:rsidR="00190C65" w:rsidRPr="003A5E26">
              <w:rPr>
                <w:rFonts w:cs="Arial"/>
                <w:szCs w:val="20"/>
              </w:rPr>
              <w:t xml:space="preserve"> (</w:t>
            </w:r>
            <w:r w:rsidR="00FE04C2" w:rsidRPr="003A5E26">
              <w:rPr>
                <w:rFonts w:cs="Arial"/>
                <w:szCs w:val="20"/>
              </w:rPr>
              <w:t>8</w:t>
            </w:r>
            <w:r w:rsidR="00190C65" w:rsidRPr="003A5E26">
              <w:rPr>
                <w:rFonts w:cs="Arial"/>
                <w:szCs w:val="20"/>
              </w:rPr>
              <w:t>%)</w:t>
            </w:r>
          </w:p>
        </w:tc>
      </w:tr>
      <w:tr w:rsidR="00524D4C" w14:paraId="77F95C71" w14:textId="77777777">
        <w:tc>
          <w:tcPr>
            <w:tcW w:w="4814" w:type="dxa"/>
            <w:tcBorders>
              <w:top w:val="single" w:sz="4" w:space="0" w:color="000000"/>
              <w:bottom w:val="single" w:sz="4" w:space="0" w:color="000000"/>
            </w:tcBorders>
            <w:vAlign w:val="bottom"/>
          </w:tcPr>
          <w:p w14:paraId="38BF0A46" w14:textId="77777777" w:rsidR="00524D4C" w:rsidRPr="003A5E26" w:rsidRDefault="00524D4C" w:rsidP="00524D4C">
            <w:pPr>
              <w:pStyle w:val="BodyText"/>
              <w:rPr>
                <w:rFonts w:cs="Arial"/>
                <w:szCs w:val="20"/>
              </w:rPr>
            </w:pPr>
            <w:r w:rsidRPr="003A5E26">
              <w:rPr>
                <w:rFonts w:cs="Arial"/>
                <w:szCs w:val="20"/>
              </w:rPr>
              <w:t>35-44 years old</w:t>
            </w:r>
          </w:p>
        </w:tc>
        <w:tc>
          <w:tcPr>
            <w:tcW w:w="4814" w:type="dxa"/>
            <w:tcBorders>
              <w:top w:val="single" w:sz="4" w:space="0" w:color="000000"/>
              <w:bottom w:val="single" w:sz="4" w:space="0" w:color="000000"/>
            </w:tcBorders>
            <w:vAlign w:val="bottom"/>
          </w:tcPr>
          <w:p w14:paraId="13F9FA05" w14:textId="0DADC3E0" w:rsidR="00524D4C" w:rsidRPr="003A5E26" w:rsidRDefault="00524D4C" w:rsidP="00524D4C">
            <w:pPr>
              <w:pStyle w:val="BodyText"/>
              <w:rPr>
                <w:rFonts w:cs="Arial"/>
                <w:szCs w:val="20"/>
              </w:rPr>
            </w:pPr>
            <w:r w:rsidRPr="003A5E26">
              <w:rPr>
                <w:rFonts w:cs="Arial"/>
                <w:szCs w:val="20"/>
              </w:rPr>
              <w:t>24</w:t>
            </w:r>
            <w:r w:rsidR="00190C65" w:rsidRPr="003A5E26">
              <w:rPr>
                <w:rFonts w:cs="Arial"/>
                <w:szCs w:val="20"/>
              </w:rPr>
              <w:t xml:space="preserve"> (3</w:t>
            </w:r>
            <w:r w:rsidR="00FE04C2" w:rsidRPr="003A5E26">
              <w:rPr>
                <w:rFonts w:cs="Arial"/>
                <w:szCs w:val="20"/>
              </w:rPr>
              <w:t>6</w:t>
            </w:r>
            <w:r w:rsidR="00190C65" w:rsidRPr="003A5E26">
              <w:rPr>
                <w:rFonts w:cs="Arial"/>
                <w:szCs w:val="20"/>
              </w:rPr>
              <w:t>%)</w:t>
            </w:r>
          </w:p>
        </w:tc>
      </w:tr>
      <w:tr w:rsidR="00524D4C" w14:paraId="081EDC98"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345C57F5" w14:textId="77777777" w:rsidR="00524D4C" w:rsidRPr="003A5E26" w:rsidRDefault="00524D4C" w:rsidP="00524D4C">
            <w:pPr>
              <w:pStyle w:val="BodyText"/>
              <w:rPr>
                <w:rFonts w:cs="Arial"/>
                <w:szCs w:val="20"/>
              </w:rPr>
            </w:pPr>
            <w:r w:rsidRPr="003A5E26">
              <w:rPr>
                <w:rFonts w:cs="Arial"/>
                <w:szCs w:val="20"/>
              </w:rPr>
              <w:t>45-54 years old</w:t>
            </w:r>
          </w:p>
        </w:tc>
        <w:tc>
          <w:tcPr>
            <w:tcW w:w="4814" w:type="dxa"/>
            <w:tcBorders>
              <w:top w:val="single" w:sz="4" w:space="0" w:color="000000"/>
              <w:bottom w:val="single" w:sz="4" w:space="0" w:color="000000"/>
            </w:tcBorders>
            <w:vAlign w:val="bottom"/>
          </w:tcPr>
          <w:p w14:paraId="55A7240D" w14:textId="484A546D" w:rsidR="00524D4C" w:rsidRPr="003A5E26" w:rsidRDefault="00524D4C" w:rsidP="00524D4C">
            <w:pPr>
              <w:pStyle w:val="BodyText"/>
              <w:rPr>
                <w:rFonts w:cs="Arial"/>
                <w:szCs w:val="20"/>
              </w:rPr>
            </w:pPr>
            <w:r w:rsidRPr="003A5E26">
              <w:rPr>
                <w:rFonts w:cs="Arial"/>
                <w:szCs w:val="20"/>
              </w:rPr>
              <w:t>30</w:t>
            </w:r>
            <w:r w:rsidR="00190C65" w:rsidRPr="003A5E26">
              <w:rPr>
                <w:rFonts w:cs="Arial"/>
                <w:szCs w:val="20"/>
              </w:rPr>
              <w:t xml:space="preserve"> (4</w:t>
            </w:r>
            <w:r w:rsidR="00FE04C2" w:rsidRPr="003A5E26">
              <w:rPr>
                <w:rFonts w:cs="Arial"/>
                <w:szCs w:val="20"/>
              </w:rPr>
              <w:t>5</w:t>
            </w:r>
            <w:r w:rsidR="00190C65" w:rsidRPr="003A5E26">
              <w:rPr>
                <w:rFonts w:cs="Arial"/>
                <w:szCs w:val="20"/>
              </w:rPr>
              <w:t>%)</w:t>
            </w:r>
          </w:p>
        </w:tc>
      </w:tr>
      <w:tr w:rsidR="00524D4C" w14:paraId="461B83AA" w14:textId="77777777">
        <w:tc>
          <w:tcPr>
            <w:tcW w:w="4814" w:type="dxa"/>
            <w:tcBorders>
              <w:top w:val="single" w:sz="4" w:space="0" w:color="000000"/>
              <w:bottom w:val="single" w:sz="4" w:space="0" w:color="000000"/>
            </w:tcBorders>
            <w:vAlign w:val="bottom"/>
          </w:tcPr>
          <w:p w14:paraId="23016CD7" w14:textId="77777777" w:rsidR="00524D4C" w:rsidRPr="003A5E26" w:rsidRDefault="00524D4C" w:rsidP="00524D4C">
            <w:pPr>
              <w:pStyle w:val="BodyText"/>
              <w:rPr>
                <w:rFonts w:cs="Arial"/>
                <w:szCs w:val="20"/>
              </w:rPr>
            </w:pPr>
            <w:r w:rsidRPr="003A5E26">
              <w:rPr>
                <w:rFonts w:cs="Arial"/>
                <w:szCs w:val="20"/>
              </w:rPr>
              <w:t>55+ years old</w:t>
            </w:r>
          </w:p>
        </w:tc>
        <w:tc>
          <w:tcPr>
            <w:tcW w:w="4814" w:type="dxa"/>
            <w:tcBorders>
              <w:top w:val="single" w:sz="4" w:space="0" w:color="000000"/>
              <w:bottom w:val="single" w:sz="4" w:space="0" w:color="000000"/>
            </w:tcBorders>
            <w:vAlign w:val="bottom"/>
          </w:tcPr>
          <w:p w14:paraId="08B941BC" w14:textId="300EA136" w:rsidR="00524D4C" w:rsidRPr="003A5E26" w:rsidRDefault="00524D4C" w:rsidP="00524D4C">
            <w:pPr>
              <w:pStyle w:val="BodyText"/>
              <w:rPr>
                <w:rFonts w:cs="Arial"/>
                <w:szCs w:val="20"/>
              </w:rPr>
            </w:pPr>
            <w:r w:rsidRPr="003A5E26">
              <w:rPr>
                <w:rFonts w:cs="Arial"/>
                <w:szCs w:val="20"/>
              </w:rPr>
              <w:t>8</w:t>
            </w:r>
            <w:r w:rsidR="00190C65" w:rsidRPr="003A5E26">
              <w:rPr>
                <w:rFonts w:cs="Arial"/>
                <w:szCs w:val="20"/>
              </w:rPr>
              <w:t xml:space="preserve"> (1</w:t>
            </w:r>
            <w:r w:rsidR="00FE04C2" w:rsidRPr="003A5E26">
              <w:rPr>
                <w:rFonts w:cs="Arial"/>
                <w:szCs w:val="20"/>
              </w:rPr>
              <w:t>2</w:t>
            </w:r>
            <w:r w:rsidR="00190C65" w:rsidRPr="003A5E26">
              <w:rPr>
                <w:rFonts w:cs="Arial"/>
                <w:szCs w:val="20"/>
              </w:rPr>
              <w:t>%)</w:t>
            </w:r>
          </w:p>
        </w:tc>
      </w:tr>
    </w:tbl>
    <w:p w14:paraId="53ADCB59" w14:textId="186BAB08" w:rsidR="00953A19" w:rsidRPr="00BB3E42" w:rsidRDefault="00953A19" w:rsidP="00281D11">
      <w:pPr>
        <w:pStyle w:val="Footer"/>
        <w:rPr>
          <w:lang w:eastAsia="en-AU"/>
        </w:rPr>
      </w:pPr>
      <w:r>
        <w:t>Source: KPMG, 2024</w:t>
      </w:r>
      <w:r w:rsidR="00DD3E39">
        <w:t>.</w:t>
      </w:r>
    </w:p>
    <w:p w14:paraId="6E22ACA9" w14:textId="4C939397" w:rsidR="00823547" w:rsidRDefault="00AE057D" w:rsidP="00823547">
      <w:pPr>
        <w:pStyle w:val="Caption"/>
      </w:pPr>
      <w:r>
        <w:t xml:space="preserve">Table </w:t>
      </w:r>
      <w:r>
        <w:fldChar w:fldCharType="begin"/>
      </w:r>
      <w:r>
        <w:instrText xml:space="preserve"> SEQ Table \* ARABIC </w:instrText>
      </w:r>
      <w:r>
        <w:fldChar w:fldCharType="separate"/>
      </w:r>
      <w:r w:rsidR="005F7EBC">
        <w:rPr>
          <w:noProof/>
        </w:rPr>
        <w:t>21</w:t>
      </w:r>
      <w:r>
        <w:fldChar w:fldCharType="end"/>
      </w:r>
      <w:r>
        <w:t xml:space="preserve">: </w:t>
      </w:r>
      <w:r w:rsidRPr="00E14574">
        <w:t>Supervisor survey results to the question ‘What is your gender?’ (n=67)</w:t>
      </w:r>
    </w:p>
    <w:tbl>
      <w:tblPr>
        <w:tblStyle w:val="TableGrid"/>
        <w:tblW w:w="0" w:type="auto"/>
        <w:tblLook w:val="04A0" w:firstRow="1" w:lastRow="0" w:firstColumn="1" w:lastColumn="0" w:noHBand="0" w:noVBand="1"/>
      </w:tblPr>
      <w:tblGrid>
        <w:gridCol w:w="4814"/>
        <w:gridCol w:w="4814"/>
      </w:tblGrid>
      <w:tr w:rsidR="00823547" w14:paraId="5C5F9F17"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4346B3F3" w14:textId="257B6D22" w:rsidR="00823547"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0A724221" w14:textId="77601114" w:rsidR="00823547" w:rsidRPr="00242835" w:rsidRDefault="00823547" w:rsidP="00242835">
            <w:r w:rsidRPr="00242835">
              <w:t>Responses</w:t>
            </w:r>
          </w:p>
        </w:tc>
      </w:tr>
      <w:tr w:rsidR="00823547" w14:paraId="4B37BFE9"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5B670A8C" w14:textId="774B93D8" w:rsidR="00823547" w:rsidRDefault="005C0575">
            <w:pPr>
              <w:pStyle w:val="BodyText"/>
            </w:pPr>
            <w:r>
              <w:t>Male</w:t>
            </w:r>
          </w:p>
        </w:tc>
        <w:tc>
          <w:tcPr>
            <w:tcW w:w="4814" w:type="dxa"/>
            <w:tcBorders>
              <w:bottom w:val="single" w:sz="4" w:space="0" w:color="000000"/>
            </w:tcBorders>
            <w:vAlign w:val="bottom"/>
          </w:tcPr>
          <w:p w14:paraId="1B0C8ADB" w14:textId="6AEF8DF3" w:rsidR="00823547" w:rsidRDefault="005C0575">
            <w:pPr>
              <w:pStyle w:val="BodyText"/>
            </w:pPr>
            <w:r>
              <w:t>36</w:t>
            </w:r>
            <w:r w:rsidR="00A829E0">
              <w:t xml:space="preserve"> (54%)</w:t>
            </w:r>
          </w:p>
        </w:tc>
      </w:tr>
      <w:tr w:rsidR="00823547" w14:paraId="28258A19" w14:textId="77777777">
        <w:tc>
          <w:tcPr>
            <w:tcW w:w="4814" w:type="dxa"/>
            <w:tcBorders>
              <w:top w:val="single" w:sz="4" w:space="0" w:color="000000"/>
              <w:bottom w:val="single" w:sz="4" w:space="0" w:color="000000"/>
            </w:tcBorders>
            <w:vAlign w:val="bottom"/>
          </w:tcPr>
          <w:p w14:paraId="34CA2B02" w14:textId="2C3B40AB" w:rsidR="00823547" w:rsidRDefault="005C0575">
            <w:pPr>
              <w:pStyle w:val="BodyText"/>
            </w:pPr>
            <w:r>
              <w:t>Female</w:t>
            </w:r>
          </w:p>
        </w:tc>
        <w:tc>
          <w:tcPr>
            <w:tcW w:w="4814" w:type="dxa"/>
            <w:tcBorders>
              <w:top w:val="single" w:sz="4" w:space="0" w:color="000000"/>
              <w:bottom w:val="single" w:sz="4" w:space="0" w:color="000000"/>
            </w:tcBorders>
            <w:vAlign w:val="bottom"/>
          </w:tcPr>
          <w:p w14:paraId="4AE0ABA4" w14:textId="70F6C551" w:rsidR="00823547" w:rsidRDefault="005C0575">
            <w:pPr>
              <w:pStyle w:val="BodyText"/>
            </w:pPr>
            <w:r>
              <w:t>25</w:t>
            </w:r>
            <w:r w:rsidR="00A829E0">
              <w:t xml:space="preserve"> (37%)</w:t>
            </w:r>
          </w:p>
        </w:tc>
      </w:tr>
      <w:tr w:rsidR="00823547" w14:paraId="4E8FDB67"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432F9A8D" w14:textId="136447F5" w:rsidR="00823547" w:rsidRDefault="005C0575">
            <w:pPr>
              <w:pStyle w:val="BodyText"/>
            </w:pPr>
            <w:r>
              <w:t>Prefer not to say</w:t>
            </w:r>
          </w:p>
        </w:tc>
        <w:tc>
          <w:tcPr>
            <w:tcW w:w="4814" w:type="dxa"/>
            <w:tcBorders>
              <w:top w:val="single" w:sz="4" w:space="0" w:color="000000"/>
              <w:bottom w:val="single" w:sz="4" w:space="0" w:color="000000"/>
            </w:tcBorders>
            <w:vAlign w:val="bottom"/>
          </w:tcPr>
          <w:p w14:paraId="1448F947" w14:textId="737B4E97" w:rsidR="00823547" w:rsidRDefault="006B75DA">
            <w:pPr>
              <w:pStyle w:val="BodyText"/>
            </w:pPr>
            <w:r>
              <w:t>6</w:t>
            </w:r>
            <w:r w:rsidR="00A829E0">
              <w:t xml:space="preserve"> (9%)</w:t>
            </w:r>
          </w:p>
        </w:tc>
      </w:tr>
    </w:tbl>
    <w:p w14:paraId="57BF9059" w14:textId="758D1E7B" w:rsidR="005A3904" w:rsidRPr="00BB3E42" w:rsidRDefault="006310D9" w:rsidP="00281D11">
      <w:pPr>
        <w:pStyle w:val="Footer"/>
      </w:pPr>
      <w:r>
        <w:t>Source: KPMG, 2024</w:t>
      </w:r>
      <w:r w:rsidR="00DD3E39">
        <w:t>.</w:t>
      </w:r>
    </w:p>
    <w:p w14:paraId="4598159E" w14:textId="74D646AC" w:rsidR="005A3904" w:rsidRDefault="00AE057D" w:rsidP="005A3904">
      <w:pPr>
        <w:pStyle w:val="Caption"/>
      </w:pPr>
      <w:r>
        <w:t xml:space="preserve">Table </w:t>
      </w:r>
      <w:r>
        <w:fldChar w:fldCharType="begin"/>
      </w:r>
      <w:r>
        <w:instrText xml:space="preserve"> SEQ Table \* ARABIC </w:instrText>
      </w:r>
      <w:r>
        <w:fldChar w:fldCharType="separate"/>
      </w:r>
      <w:r w:rsidR="005F7EBC">
        <w:rPr>
          <w:noProof/>
        </w:rPr>
        <w:t>22</w:t>
      </w:r>
      <w:r>
        <w:fldChar w:fldCharType="end"/>
      </w:r>
      <w:r>
        <w:t xml:space="preserve">: </w:t>
      </w:r>
      <w:r w:rsidRPr="00F7169F">
        <w:t>Supervisor survey results to the question ‘Are you a graduate of TEAP?’ (n=60)</w:t>
      </w:r>
    </w:p>
    <w:tbl>
      <w:tblPr>
        <w:tblStyle w:val="TableGrid"/>
        <w:tblW w:w="0" w:type="auto"/>
        <w:tblLook w:val="04A0" w:firstRow="1" w:lastRow="0" w:firstColumn="1" w:lastColumn="0" w:noHBand="0" w:noVBand="1"/>
      </w:tblPr>
      <w:tblGrid>
        <w:gridCol w:w="4814"/>
        <w:gridCol w:w="4814"/>
      </w:tblGrid>
      <w:tr w:rsidR="005A3904" w14:paraId="78EC4D3C"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76822F81" w14:textId="5AF6D6E3" w:rsidR="005A3904"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7B655149" w14:textId="42F32198" w:rsidR="005A3904" w:rsidRPr="00242835" w:rsidRDefault="005A3904" w:rsidP="00242835">
            <w:r w:rsidRPr="00242835">
              <w:t>Responses</w:t>
            </w:r>
          </w:p>
        </w:tc>
      </w:tr>
      <w:tr w:rsidR="005A3904" w14:paraId="6032F55D"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1C5BF068" w14:textId="77777777" w:rsidR="005A3904" w:rsidRDefault="005A3904">
            <w:pPr>
              <w:pStyle w:val="BodyText"/>
            </w:pPr>
            <w:r>
              <w:rPr>
                <w:rFonts w:ascii="Calibri" w:hAnsi="Calibri" w:cs="Calibri"/>
                <w:sz w:val="22"/>
              </w:rPr>
              <w:t>Yes</w:t>
            </w:r>
          </w:p>
        </w:tc>
        <w:tc>
          <w:tcPr>
            <w:tcW w:w="4814" w:type="dxa"/>
            <w:tcBorders>
              <w:bottom w:val="single" w:sz="4" w:space="0" w:color="000000"/>
            </w:tcBorders>
            <w:vAlign w:val="bottom"/>
          </w:tcPr>
          <w:p w14:paraId="0E229821" w14:textId="77777777" w:rsidR="005A3904" w:rsidRDefault="005A3904">
            <w:pPr>
              <w:pStyle w:val="BodyText"/>
            </w:pPr>
            <w:r>
              <w:rPr>
                <w:rFonts w:ascii="Calibri" w:hAnsi="Calibri" w:cs="Calibri"/>
                <w:sz w:val="22"/>
              </w:rPr>
              <w:t>26 (43%)</w:t>
            </w:r>
          </w:p>
        </w:tc>
      </w:tr>
      <w:tr w:rsidR="005A3904" w14:paraId="2D5D779C" w14:textId="77777777">
        <w:tc>
          <w:tcPr>
            <w:tcW w:w="4814" w:type="dxa"/>
            <w:tcBorders>
              <w:top w:val="single" w:sz="4" w:space="0" w:color="000000"/>
              <w:bottom w:val="single" w:sz="4" w:space="0" w:color="000000"/>
            </w:tcBorders>
            <w:vAlign w:val="bottom"/>
          </w:tcPr>
          <w:p w14:paraId="1DFBE6A6" w14:textId="77777777" w:rsidR="005A3904" w:rsidRDefault="005A3904">
            <w:pPr>
              <w:pStyle w:val="BodyText"/>
            </w:pPr>
            <w:r>
              <w:rPr>
                <w:rFonts w:ascii="Calibri" w:hAnsi="Calibri" w:cs="Calibri"/>
                <w:sz w:val="22"/>
              </w:rPr>
              <w:t>No</w:t>
            </w:r>
          </w:p>
        </w:tc>
        <w:tc>
          <w:tcPr>
            <w:tcW w:w="4814" w:type="dxa"/>
            <w:tcBorders>
              <w:top w:val="single" w:sz="4" w:space="0" w:color="000000"/>
              <w:bottom w:val="single" w:sz="4" w:space="0" w:color="000000"/>
            </w:tcBorders>
            <w:vAlign w:val="bottom"/>
          </w:tcPr>
          <w:p w14:paraId="63CC3D6D" w14:textId="77777777" w:rsidR="005A3904" w:rsidRDefault="005A3904">
            <w:pPr>
              <w:pStyle w:val="BodyText"/>
            </w:pPr>
            <w:r>
              <w:rPr>
                <w:rFonts w:ascii="Calibri" w:hAnsi="Calibri" w:cs="Calibri"/>
                <w:sz w:val="22"/>
              </w:rPr>
              <w:t>28 (47%)</w:t>
            </w:r>
          </w:p>
        </w:tc>
      </w:tr>
      <w:tr w:rsidR="005A3904" w14:paraId="2669CA37"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75C25C8F" w14:textId="77777777" w:rsidR="005A3904" w:rsidRDefault="005A3904">
            <w:pPr>
              <w:pStyle w:val="BodyText"/>
            </w:pPr>
            <w:r>
              <w:rPr>
                <w:rFonts w:ascii="Calibri" w:hAnsi="Calibri" w:cs="Calibri"/>
                <w:sz w:val="22"/>
              </w:rPr>
              <w:t>Other</w:t>
            </w:r>
          </w:p>
        </w:tc>
        <w:tc>
          <w:tcPr>
            <w:tcW w:w="4814" w:type="dxa"/>
            <w:tcBorders>
              <w:top w:val="single" w:sz="4" w:space="0" w:color="000000"/>
              <w:bottom w:val="single" w:sz="4" w:space="0" w:color="000000"/>
            </w:tcBorders>
            <w:vAlign w:val="bottom"/>
          </w:tcPr>
          <w:p w14:paraId="3C65BF54" w14:textId="77777777" w:rsidR="005A3904" w:rsidRDefault="005A3904">
            <w:pPr>
              <w:pStyle w:val="BodyText"/>
            </w:pPr>
            <w:r>
              <w:rPr>
                <w:rFonts w:ascii="Calibri" w:hAnsi="Calibri" w:cs="Calibri"/>
                <w:sz w:val="22"/>
              </w:rPr>
              <w:t>6 (10%)</w:t>
            </w:r>
          </w:p>
        </w:tc>
      </w:tr>
    </w:tbl>
    <w:p w14:paraId="0A4C37AA" w14:textId="41D746F3" w:rsidR="005A3904" w:rsidRPr="00BB3E42" w:rsidRDefault="005A3904" w:rsidP="00281D11">
      <w:pPr>
        <w:pStyle w:val="Footer"/>
        <w:rPr>
          <w:lang w:eastAsia="en-AU"/>
        </w:rPr>
      </w:pPr>
      <w:r>
        <w:t>Source: KPMG, 2024</w:t>
      </w:r>
      <w:r w:rsidR="00DD3E39">
        <w:t>.</w:t>
      </w:r>
    </w:p>
    <w:p w14:paraId="29003BA4" w14:textId="023980F1" w:rsidR="005A3904" w:rsidRDefault="00AE057D" w:rsidP="005A3904">
      <w:pPr>
        <w:pStyle w:val="Caption"/>
      </w:pPr>
      <w:r>
        <w:t xml:space="preserve">Table </w:t>
      </w:r>
      <w:r>
        <w:fldChar w:fldCharType="begin"/>
      </w:r>
      <w:r>
        <w:instrText xml:space="preserve"> SEQ Table \* ARABIC </w:instrText>
      </w:r>
      <w:r>
        <w:fldChar w:fldCharType="separate"/>
      </w:r>
      <w:r w:rsidR="005F7EBC">
        <w:rPr>
          <w:noProof/>
        </w:rPr>
        <w:t>23</w:t>
      </w:r>
      <w:r>
        <w:fldChar w:fldCharType="end"/>
      </w:r>
      <w:r>
        <w:t xml:space="preserve">: </w:t>
      </w:r>
      <w:r w:rsidRPr="002858AC">
        <w:t>Of the supervisors who are a graduate of TEAP, responses to the question ‘when did you graduate from TEAP?’ (n=26)</w:t>
      </w:r>
    </w:p>
    <w:tbl>
      <w:tblPr>
        <w:tblStyle w:val="TableGrid"/>
        <w:tblW w:w="0" w:type="auto"/>
        <w:tblLook w:val="04A0" w:firstRow="1" w:lastRow="0" w:firstColumn="1" w:lastColumn="0" w:noHBand="0" w:noVBand="1"/>
      </w:tblPr>
      <w:tblGrid>
        <w:gridCol w:w="4814"/>
        <w:gridCol w:w="4814"/>
      </w:tblGrid>
      <w:tr w:rsidR="005A3904" w14:paraId="1246094B"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08FCD5FA" w14:textId="7B855FC1" w:rsidR="005A3904"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66A991AA" w14:textId="051C94DA" w:rsidR="005A3904" w:rsidRPr="00242835" w:rsidRDefault="005A3904" w:rsidP="00242835">
            <w:r w:rsidRPr="00242835">
              <w:t>Responses</w:t>
            </w:r>
          </w:p>
        </w:tc>
      </w:tr>
      <w:tr w:rsidR="005A3904" w14:paraId="0AB21E1D"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23DF3041" w14:textId="77777777" w:rsidR="005A3904" w:rsidRDefault="005A3904">
            <w:pPr>
              <w:pStyle w:val="BodyText"/>
            </w:pPr>
            <w:r>
              <w:rPr>
                <w:rFonts w:ascii="Calibri" w:hAnsi="Calibri" w:cs="Calibri"/>
                <w:sz w:val="22"/>
              </w:rPr>
              <w:t>Less than 2 years ago</w:t>
            </w:r>
          </w:p>
        </w:tc>
        <w:tc>
          <w:tcPr>
            <w:tcW w:w="4814" w:type="dxa"/>
            <w:tcBorders>
              <w:bottom w:val="single" w:sz="4" w:space="0" w:color="000000"/>
            </w:tcBorders>
            <w:vAlign w:val="bottom"/>
          </w:tcPr>
          <w:p w14:paraId="444AF552" w14:textId="77777777" w:rsidR="005A3904" w:rsidRDefault="005A3904">
            <w:pPr>
              <w:pStyle w:val="BodyText"/>
            </w:pPr>
            <w:r>
              <w:rPr>
                <w:rFonts w:ascii="Calibri" w:hAnsi="Calibri" w:cs="Calibri"/>
                <w:sz w:val="22"/>
              </w:rPr>
              <w:t>1 (4%)</w:t>
            </w:r>
          </w:p>
        </w:tc>
      </w:tr>
      <w:tr w:rsidR="005A3904" w14:paraId="56097941" w14:textId="77777777">
        <w:tc>
          <w:tcPr>
            <w:tcW w:w="4814" w:type="dxa"/>
            <w:tcBorders>
              <w:top w:val="single" w:sz="4" w:space="0" w:color="000000"/>
              <w:bottom w:val="single" w:sz="4" w:space="0" w:color="000000"/>
            </w:tcBorders>
            <w:vAlign w:val="bottom"/>
          </w:tcPr>
          <w:p w14:paraId="6E39F169" w14:textId="77777777" w:rsidR="005A3904" w:rsidRDefault="005A3904">
            <w:pPr>
              <w:pStyle w:val="BodyText"/>
            </w:pPr>
            <w:r>
              <w:rPr>
                <w:rFonts w:ascii="Calibri" w:hAnsi="Calibri" w:cs="Calibri"/>
                <w:sz w:val="22"/>
              </w:rPr>
              <w:t>Between 2 and 5 years ago</w:t>
            </w:r>
          </w:p>
        </w:tc>
        <w:tc>
          <w:tcPr>
            <w:tcW w:w="4814" w:type="dxa"/>
            <w:tcBorders>
              <w:top w:val="single" w:sz="4" w:space="0" w:color="000000"/>
              <w:bottom w:val="single" w:sz="4" w:space="0" w:color="000000"/>
            </w:tcBorders>
            <w:vAlign w:val="bottom"/>
          </w:tcPr>
          <w:p w14:paraId="3FEF2FCC" w14:textId="77777777" w:rsidR="005A3904" w:rsidRDefault="005A3904">
            <w:pPr>
              <w:pStyle w:val="BodyText"/>
            </w:pPr>
            <w:r>
              <w:rPr>
                <w:rFonts w:ascii="Calibri" w:hAnsi="Calibri" w:cs="Calibri"/>
                <w:sz w:val="22"/>
              </w:rPr>
              <w:t>3 (12%)</w:t>
            </w:r>
          </w:p>
        </w:tc>
      </w:tr>
      <w:tr w:rsidR="005A3904" w14:paraId="7B2BBEEF"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447D8BC7" w14:textId="77777777" w:rsidR="005A3904" w:rsidRDefault="005A3904">
            <w:pPr>
              <w:pStyle w:val="BodyText"/>
            </w:pPr>
            <w:r>
              <w:rPr>
                <w:rFonts w:ascii="Calibri" w:hAnsi="Calibri" w:cs="Calibri"/>
                <w:sz w:val="22"/>
              </w:rPr>
              <w:t>Between 5 and 10 years ago</w:t>
            </w:r>
          </w:p>
        </w:tc>
        <w:tc>
          <w:tcPr>
            <w:tcW w:w="4814" w:type="dxa"/>
            <w:tcBorders>
              <w:top w:val="single" w:sz="4" w:space="0" w:color="000000"/>
              <w:bottom w:val="single" w:sz="4" w:space="0" w:color="000000"/>
            </w:tcBorders>
            <w:vAlign w:val="bottom"/>
          </w:tcPr>
          <w:p w14:paraId="1F6830FB" w14:textId="77777777" w:rsidR="005A3904" w:rsidRDefault="005A3904">
            <w:pPr>
              <w:pStyle w:val="BodyText"/>
            </w:pPr>
            <w:r>
              <w:rPr>
                <w:rFonts w:ascii="Calibri" w:hAnsi="Calibri" w:cs="Calibri"/>
                <w:sz w:val="22"/>
              </w:rPr>
              <w:t>13 (50%)</w:t>
            </w:r>
          </w:p>
        </w:tc>
      </w:tr>
      <w:tr w:rsidR="005A3904" w14:paraId="57FEB21B" w14:textId="77777777">
        <w:tc>
          <w:tcPr>
            <w:tcW w:w="4814" w:type="dxa"/>
            <w:tcBorders>
              <w:top w:val="single" w:sz="4" w:space="0" w:color="000000"/>
              <w:bottom w:val="single" w:sz="4" w:space="0" w:color="000000"/>
            </w:tcBorders>
            <w:vAlign w:val="bottom"/>
          </w:tcPr>
          <w:p w14:paraId="5848C80A" w14:textId="77777777" w:rsidR="005A3904" w:rsidRDefault="005A3904">
            <w:pPr>
              <w:pStyle w:val="BodyText"/>
              <w:rPr>
                <w:rFonts w:ascii="Calibri" w:hAnsi="Calibri" w:cs="Calibri"/>
                <w:sz w:val="22"/>
              </w:rPr>
            </w:pPr>
            <w:r>
              <w:rPr>
                <w:rFonts w:ascii="Calibri" w:hAnsi="Calibri" w:cs="Calibri"/>
                <w:sz w:val="22"/>
              </w:rPr>
              <w:t>10+ years ago</w:t>
            </w:r>
          </w:p>
        </w:tc>
        <w:tc>
          <w:tcPr>
            <w:tcW w:w="4814" w:type="dxa"/>
            <w:tcBorders>
              <w:top w:val="single" w:sz="4" w:space="0" w:color="000000"/>
              <w:bottom w:val="single" w:sz="4" w:space="0" w:color="000000"/>
            </w:tcBorders>
            <w:vAlign w:val="bottom"/>
          </w:tcPr>
          <w:p w14:paraId="7B2F1327" w14:textId="77777777" w:rsidR="005A3904" w:rsidRDefault="005A3904">
            <w:pPr>
              <w:pStyle w:val="BodyText"/>
              <w:rPr>
                <w:rFonts w:ascii="Calibri" w:hAnsi="Calibri" w:cs="Calibri"/>
                <w:sz w:val="22"/>
              </w:rPr>
            </w:pPr>
            <w:r>
              <w:rPr>
                <w:rFonts w:ascii="Calibri" w:hAnsi="Calibri" w:cs="Calibri"/>
                <w:sz w:val="22"/>
              </w:rPr>
              <w:t>9 (35%)</w:t>
            </w:r>
          </w:p>
        </w:tc>
      </w:tr>
    </w:tbl>
    <w:p w14:paraId="483BD0A1" w14:textId="7AC9B243" w:rsidR="006310D9" w:rsidRPr="00BB3E42" w:rsidRDefault="005A3904" w:rsidP="00281D11">
      <w:pPr>
        <w:pStyle w:val="Footer"/>
        <w:rPr>
          <w:lang w:eastAsia="en-AU"/>
        </w:rPr>
      </w:pPr>
      <w:r>
        <w:t>Source: KPMG, 2024</w:t>
      </w:r>
      <w:r w:rsidR="00DD3E39">
        <w:t>.</w:t>
      </w:r>
    </w:p>
    <w:p w14:paraId="05A679F2" w14:textId="281631C2" w:rsidR="003342AB" w:rsidRDefault="00AE057D" w:rsidP="003342AB">
      <w:pPr>
        <w:pStyle w:val="Caption"/>
      </w:pPr>
      <w:r>
        <w:t xml:space="preserve">Table </w:t>
      </w:r>
      <w:r>
        <w:fldChar w:fldCharType="begin"/>
      </w:r>
      <w:r>
        <w:instrText xml:space="preserve"> SEQ Table \* ARABIC </w:instrText>
      </w:r>
      <w:r>
        <w:fldChar w:fldCharType="separate"/>
      </w:r>
      <w:r w:rsidR="005F7EBC">
        <w:rPr>
          <w:noProof/>
        </w:rPr>
        <w:t>24</w:t>
      </w:r>
      <w:r>
        <w:fldChar w:fldCharType="end"/>
      </w:r>
      <w:r>
        <w:t xml:space="preserve">: </w:t>
      </w:r>
      <w:r w:rsidRPr="002D1457">
        <w:t>Supervisor survey results to the question ‘What discipline do you practice in?’ (n=60)</w:t>
      </w:r>
    </w:p>
    <w:tbl>
      <w:tblPr>
        <w:tblStyle w:val="TableGrid"/>
        <w:tblW w:w="0" w:type="auto"/>
        <w:tblLook w:val="04A0" w:firstRow="1" w:lastRow="0" w:firstColumn="1" w:lastColumn="0" w:noHBand="0" w:noVBand="1"/>
      </w:tblPr>
      <w:tblGrid>
        <w:gridCol w:w="4814"/>
        <w:gridCol w:w="4814"/>
      </w:tblGrid>
      <w:tr w:rsidR="003342AB" w14:paraId="3912D86E"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5EA0FC20" w14:textId="2EE1C87A" w:rsidR="003342AB"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60F52ED7" w14:textId="4945DC21" w:rsidR="003342AB" w:rsidRPr="00242835" w:rsidRDefault="003342AB" w:rsidP="00242835">
            <w:r w:rsidRPr="00242835">
              <w:t>Responses</w:t>
            </w:r>
          </w:p>
        </w:tc>
      </w:tr>
      <w:tr w:rsidR="00DA5F63" w14:paraId="19CB1FF0"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2305C423" w14:textId="3848921A" w:rsidR="00DA5F63" w:rsidRPr="003A5E26" w:rsidRDefault="00DA5F63" w:rsidP="00DA5F63">
            <w:pPr>
              <w:pStyle w:val="BodyText"/>
              <w:rPr>
                <w:rFonts w:cs="Arial"/>
                <w:szCs w:val="20"/>
              </w:rPr>
            </w:pPr>
            <w:r w:rsidRPr="003A5E26">
              <w:rPr>
                <w:rFonts w:cs="Arial"/>
                <w:szCs w:val="20"/>
              </w:rPr>
              <w:t>ROMP</w:t>
            </w:r>
          </w:p>
        </w:tc>
        <w:tc>
          <w:tcPr>
            <w:tcW w:w="4814" w:type="dxa"/>
            <w:tcBorders>
              <w:bottom w:val="single" w:sz="4" w:space="0" w:color="000000"/>
            </w:tcBorders>
            <w:vAlign w:val="bottom"/>
          </w:tcPr>
          <w:p w14:paraId="2F4233D4" w14:textId="63362A2B" w:rsidR="00DA5F63" w:rsidRPr="003A5E26" w:rsidRDefault="00DA5F63" w:rsidP="00DA5F63">
            <w:pPr>
              <w:pStyle w:val="BodyText"/>
              <w:rPr>
                <w:rFonts w:cs="Arial"/>
                <w:szCs w:val="20"/>
              </w:rPr>
            </w:pPr>
            <w:r w:rsidRPr="003A5E26">
              <w:rPr>
                <w:rFonts w:cs="Arial"/>
                <w:szCs w:val="20"/>
              </w:rPr>
              <w:t>44</w:t>
            </w:r>
            <w:r w:rsidR="00DB6A6E" w:rsidRPr="003A5E26">
              <w:rPr>
                <w:rFonts w:cs="Arial"/>
                <w:szCs w:val="20"/>
              </w:rPr>
              <w:t xml:space="preserve"> (73%)</w:t>
            </w:r>
          </w:p>
        </w:tc>
      </w:tr>
      <w:tr w:rsidR="00DA5F63" w14:paraId="7FAC50DB" w14:textId="77777777">
        <w:tc>
          <w:tcPr>
            <w:tcW w:w="4814" w:type="dxa"/>
            <w:tcBorders>
              <w:top w:val="single" w:sz="4" w:space="0" w:color="000000"/>
              <w:bottom w:val="single" w:sz="4" w:space="0" w:color="000000"/>
            </w:tcBorders>
            <w:vAlign w:val="bottom"/>
          </w:tcPr>
          <w:p w14:paraId="2094FE73" w14:textId="2EFB3EEE" w:rsidR="00DA5F63" w:rsidRPr="003A5E26" w:rsidRDefault="00DA5F63" w:rsidP="00DA5F63">
            <w:pPr>
              <w:pStyle w:val="BodyText"/>
              <w:rPr>
                <w:rFonts w:cs="Arial"/>
                <w:szCs w:val="20"/>
              </w:rPr>
            </w:pPr>
            <w:r w:rsidRPr="003A5E26">
              <w:rPr>
                <w:rFonts w:cs="Arial"/>
                <w:szCs w:val="20"/>
              </w:rPr>
              <w:t>DIMP - Nuclear Medicine</w:t>
            </w:r>
          </w:p>
        </w:tc>
        <w:tc>
          <w:tcPr>
            <w:tcW w:w="4814" w:type="dxa"/>
            <w:tcBorders>
              <w:top w:val="single" w:sz="4" w:space="0" w:color="000000"/>
              <w:bottom w:val="single" w:sz="4" w:space="0" w:color="000000"/>
            </w:tcBorders>
            <w:vAlign w:val="bottom"/>
          </w:tcPr>
          <w:p w14:paraId="0EF24777" w14:textId="3B4C26D6" w:rsidR="00DA5F63" w:rsidRPr="003A5E26" w:rsidRDefault="00DA5F63" w:rsidP="00DA5F63">
            <w:pPr>
              <w:pStyle w:val="BodyText"/>
              <w:rPr>
                <w:rFonts w:cs="Arial"/>
                <w:szCs w:val="20"/>
              </w:rPr>
            </w:pPr>
            <w:r w:rsidRPr="003A5E26">
              <w:rPr>
                <w:rFonts w:cs="Arial"/>
                <w:szCs w:val="20"/>
              </w:rPr>
              <w:t>8</w:t>
            </w:r>
            <w:r w:rsidR="00DB6A6E" w:rsidRPr="003A5E26">
              <w:rPr>
                <w:rFonts w:cs="Arial"/>
                <w:szCs w:val="20"/>
              </w:rPr>
              <w:t xml:space="preserve"> (13%)</w:t>
            </w:r>
          </w:p>
        </w:tc>
      </w:tr>
      <w:tr w:rsidR="00DA5F63" w14:paraId="72CB5E6D"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10A6DD58" w14:textId="1242BE84" w:rsidR="00DA5F63" w:rsidRPr="003A5E26" w:rsidRDefault="00DA5F63" w:rsidP="00DA5F63">
            <w:pPr>
              <w:pStyle w:val="BodyText"/>
              <w:rPr>
                <w:rFonts w:cs="Arial"/>
                <w:szCs w:val="20"/>
              </w:rPr>
            </w:pPr>
            <w:r w:rsidRPr="003A5E26">
              <w:rPr>
                <w:rFonts w:cs="Arial"/>
                <w:szCs w:val="20"/>
              </w:rPr>
              <w:t>DIMP - Radiology</w:t>
            </w:r>
          </w:p>
        </w:tc>
        <w:tc>
          <w:tcPr>
            <w:tcW w:w="4814" w:type="dxa"/>
            <w:tcBorders>
              <w:top w:val="single" w:sz="4" w:space="0" w:color="000000"/>
              <w:bottom w:val="single" w:sz="4" w:space="0" w:color="000000"/>
            </w:tcBorders>
            <w:vAlign w:val="bottom"/>
          </w:tcPr>
          <w:p w14:paraId="6C862F24" w14:textId="5D4B9C6B" w:rsidR="00DA5F63" w:rsidRPr="003A5E26" w:rsidRDefault="00DA5F63" w:rsidP="00DA5F63">
            <w:pPr>
              <w:pStyle w:val="BodyText"/>
              <w:rPr>
                <w:rFonts w:cs="Arial"/>
                <w:szCs w:val="20"/>
              </w:rPr>
            </w:pPr>
            <w:r w:rsidRPr="003A5E26">
              <w:rPr>
                <w:rFonts w:cs="Arial"/>
                <w:szCs w:val="20"/>
              </w:rPr>
              <w:t>6</w:t>
            </w:r>
            <w:r w:rsidR="00DB6A6E" w:rsidRPr="003A5E26">
              <w:rPr>
                <w:rFonts w:cs="Arial"/>
                <w:szCs w:val="20"/>
              </w:rPr>
              <w:t xml:space="preserve"> (10%)</w:t>
            </w:r>
          </w:p>
        </w:tc>
      </w:tr>
      <w:tr w:rsidR="00DA5F63" w14:paraId="782E72C7" w14:textId="77777777">
        <w:tc>
          <w:tcPr>
            <w:tcW w:w="4814" w:type="dxa"/>
            <w:tcBorders>
              <w:top w:val="single" w:sz="4" w:space="0" w:color="000000"/>
              <w:bottom w:val="single" w:sz="4" w:space="0" w:color="000000"/>
            </w:tcBorders>
            <w:vAlign w:val="bottom"/>
          </w:tcPr>
          <w:p w14:paraId="7EF28098" w14:textId="01043FC4" w:rsidR="00DA5F63" w:rsidRPr="003A5E26" w:rsidRDefault="00DA5F63" w:rsidP="00DA5F63">
            <w:pPr>
              <w:pStyle w:val="BodyText"/>
              <w:rPr>
                <w:rFonts w:cs="Arial"/>
                <w:szCs w:val="20"/>
              </w:rPr>
            </w:pPr>
            <w:r w:rsidRPr="003A5E26">
              <w:rPr>
                <w:rFonts w:cs="Arial"/>
                <w:szCs w:val="20"/>
              </w:rPr>
              <w:t>RPS</w:t>
            </w:r>
          </w:p>
        </w:tc>
        <w:tc>
          <w:tcPr>
            <w:tcW w:w="4814" w:type="dxa"/>
            <w:tcBorders>
              <w:top w:val="single" w:sz="4" w:space="0" w:color="000000"/>
              <w:bottom w:val="single" w:sz="4" w:space="0" w:color="000000"/>
            </w:tcBorders>
            <w:vAlign w:val="bottom"/>
          </w:tcPr>
          <w:p w14:paraId="383C30F2" w14:textId="11063E5F" w:rsidR="00DA5F63" w:rsidRPr="003A5E26" w:rsidRDefault="00DA5F63" w:rsidP="00DA5F63">
            <w:pPr>
              <w:pStyle w:val="BodyText"/>
              <w:rPr>
                <w:rFonts w:cs="Arial"/>
                <w:szCs w:val="20"/>
              </w:rPr>
            </w:pPr>
            <w:r w:rsidRPr="003A5E26">
              <w:rPr>
                <w:rFonts w:cs="Arial"/>
                <w:szCs w:val="20"/>
              </w:rPr>
              <w:t>2</w:t>
            </w:r>
            <w:r w:rsidR="00DB6A6E" w:rsidRPr="003A5E26">
              <w:rPr>
                <w:rFonts w:cs="Arial"/>
                <w:szCs w:val="20"/>
              </w:rPr>
              <w:t xml:space="preserve"> (3%)</w:t>
            </w:r>
          </w:p>
        </w:tc>
      </w:tr>
    </w:tbl>
    <w:p w14:paraId="1A59E4AD" w14:textId="26C8BA50" w:rsidR="00DE57EF" w:rsidRPr="00BB3E42" w:rsidRDefault="00DE57EF" w:rsidP="00281D11">
      <w:pPr>
        <w:pStyle w:val="Footer"/>
      </w:pPr>
      <w:r>
        <w:t>Source: KPMG, 2024</w:t>
      </w:r>
      <w:r w:rsidR="00DD3E39">
        <w:t>.</w:t>
      </w:r>
    </w:p>
    <w:p w14:paraId="49D9A5E9" w14:textId="403DB01E" w:rsidR="00E51111" w:rsidRDefault="00AE057D" w:rsidP="00E51111">
      <w:pPr>
        <w:pStyle w:val="Caption"/>
      </w:pPr>
      <w:r>
        <w:t xml:space="preserve">Table </w:t>
      </w:r>
      <w:r>
        <w:fldChar w:fldCharType="begin"/>
      </w:r>
      <w:r>
        <w:instrText xml:space="preserve"> SEQ Table \* ARABIC </w:instrText>
      </w:r>
      <w:r>
        <w:fldChar w:fldCharType="separate"/>
      </w:r>
      <w:r w:rsidR="005F7EBC">
        <w:rPr>
          <w:noProof/>
        </w:rPr>
        <w:t>25</w:t>
      </w:r>
      <w:r>
        <w:fldChar w:fldCharType="end"/>
      </w:r>
      <w:r>
        <w:t xml:space="preserve">: </w:t>
      </w:r>
      <w:r w:rsidRPr="00D72ADA">
        <w:t>Supervisor survey results to the question ‘Where is your facility located?’ (n=60)</w:t>
      </w:r>
    </w:p>
    <w:tbl>
      <w:tblPr>
        <w:tblStyle w:val="TableGrid"/>
        <w:tblW w:w="0" w:type="auto"/>
        <w:tblLook w:val="04A0" w:firstRow="1" w:lastRow="0" w:firstColumn="1" w:lastColumn="0" w:noHBand="0" w:noVBand="1"/>
      </w:tblPr>
      <w:tblGrid>
        <w:gridCol w:w="4814"/>
        <w:gridCol w:w="4814"/>
      </w:tblGrid>
      <w:tr w:rsidR="00E51111" w14:paraId="3CCBB8F8"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3DBEB868" w14:textId="71717EEA" w:rsidR="00E51111"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58B542AC" w14:textId="7CEAFC15" w:rsidR="00E51111" w:rsidRPr="00242835" w:rsidRDefault="00E51111" w:rsidP="00242835">
            <w:r w:rsidRPr="00242835">
              <w:t>Responses</w:t>
            </w:r>
          </w:p>
        </w:tc>
      </w:tr>
      <w:tr w:rsidR="00F14DD5" w14:paraId="720D3A4D"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6E83DEED" w14:textId="4C4266F2" w:rsidR="00F14DD5" w:rsidRPr="003A5E26" w:rsidRDefault="00F14DD5" w:rsidP="00F14DD5">
            <w:pPr>
              <w:pStyle w:val="BodyText"/>
              <w:rPr>
                <w:rFonts w:cs="Arial"/>
                <w:szCs w:val="20"/>
              </w:rPr>
            </w:pPr>
            <w:r w:rsidRPr="003A5E26">
              <w:rPr>
                <w:rFonts w:cs="Arial"/>
                <w:szCs w:val="20"/>
              </w:rPr>
              <w:t>NSW</w:t>
            </w:r>
          </w:p>
        </w:tc>
        <w:tc>
          <w:tcPr>
            <w:tcW w:w="4814" w:type="dxa"/>
            <w:tcBorders>
              <w:bottom w:val="single" w:sz="4" w:space="0" w:color="000000"/>
            </w:tcBorders>
            <w:vAlign w:val="bottom"/>
          </w:tcPr>
          <w:p w14:paraId="540C2C52" w14:textId="761A84B8" w:rsidR="00F14DD5" w:rsidRPr="003A5E26" w:rsidRDefault="00F14DD5" w:rsidP="00F14DD5">
            <w:pPr>
              <w:pStyle w:val="BodyText"/>
              <w:rPr>
                <w:rFonts w:cs="Arial"/>
                <w:szCs w:val="20"/>
              </w:rPr>
            </w:pPr>
            <w:r w:rsidRPr="003A5E26">
              <w:rPr>
                <w:rFonts w:cs="Arial"/>
                <w:szCs w:val="20"/>
              </w:rPr>
              <w:t>27</w:t>
            </w:r>
            <w:r w:rsidR="00A83B4B" w:rsidRPr="003A5E26">
              <w:rPr>
                <w:rFonts w:cs="Arial"/>
                <w:szCs w:val="20"/>
              </w:rPr>
              <w:t xml:space="preserve"> (45%)</w:t>
            </w:r>
          </w:p>
        </w:tc>
      </w:tr>
      <w:tr w:rsidR="00F14DD5" w14:paraId="04FCE9AD" w14:textId="77777777">
        <w:tc>
          <w:tcPr>
            <w:tcW w:w="4814" w:type="dxa"/>
            <w:tcBorders>
              <w:top w:val="single" w:sz="4" w:space="0" w:color="000000"/>
              <w:bottom w:val="single" w:sz="4" w:space="0" w:color="000000"/>
            </w:tcBorders>
            <w:vAlign w:val="bottom"/>
          </w:tcPr>
          <w:p w14:paraId="00828720" w14:textId="3A0158C0" w:rsidR="00F14DD5" w:rsidRPr="003A5E26" w:rsidRDefault="00F14DD5" w:rsidP="00F14DD5">
            <w:pPr>
              <w:pStyle w:val="BodyText"/>
              <w:rPr>
                <w:rFonts w:cs="Arial"/>
                <w:szCs w:val="20"/>
              </w:rPr>
            </w:pPr>
            <w:r w:rsidRPr="003A5E26">
              <w:rPr>
                <w:rFonts w:cs="Arial"/>
                <w:szCs w:val="20"/>
              </w:rPr>
              <w:t>Victoria</w:t>
            </w:r>
          </w:p>
        </w:tc>
        <w:tc>
          <w:tcPr>
            <w:tcW w:w="4814" w:type="dxa"/>
            <w:tcBorders>
              <w:top w:val="single" w:sz="4" w:space="0" w:color="000000"/>
              <w:bottom w:val="single" w:sz="4" w:space="0" w:color="000000"/>
            </w:tcBorders>
            <w:vAlign w:val="bottom"/>
          </w:tcPr>
          <w:p w14:paraId="2A868083" w14:textId="26B98E9A" w:rsidR="00F14DD5" w:rsidRPr="003A5E26" w:rsidRDefault="00F14DD5" w:rsidP="00F14DD5">
            <w:pPr>
              <w:pStyle w:val="BodyText"/>
              <w:rPr>
                <w:rFonts w:cs="Arial"/>
                <w:szCs w:val="20"/>
              </w:rPr>
            </w:pPr>
            <w:r w:rsidRPr="003A5E26">
              <w:rPr>
                <w:rFonts w:cs="Arial"/>
                <w:szCs w:val="20"/>
              </w:rPr>
              <w:t>12</w:t>
            </w:r>
            <w:r w:rsidR="00A83B4B" w:rsidRPr="003A5E26">
              <w:rPr>
                <w:rFonts w:cs="Arial"/>
                <w:szCs w:val="20"/>
              </w:rPr>
              <w:t xml:space="preserve"> (20%)</w:t>
            </w:r>
          </w:p>
        </w:tc>
      </w:tr>
      <w:tr w:rsidR="00F14DD5" w14:paraId="08C852F3"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759D46C8" w14:textId="4044802B" w:rsidR="00F14DD5" w:rsidRPr="003A5E26" w:rsidRDefault="00F14DD5" w:rsidP="00F14DD5">
            <w:pPr>
              <w:pStyle w:val="BodyText"/>
              <w:rPr>
                <w:rFonts w:cs="Arial"/>
                <w:szCs w:val="20"/>
              </w:rPr>
            </w:pPr>
            <w:r w:rsidRPr="003A5E26">
              <w:rPr>
                <w:rFonts w:cs="Arial"/>
                <w:szCs w:val="20"/>
              </w:rPr>
              <w:t>Queensland</w:t>
            </w:r>
          </w:p>
        </w:tc>
        <w:tc>
          <w:tcPr>
            <w:tcW w:w="4814" w:type="dxa"/>
            <w:tcBorders>
              <w:top w:val="single" w:sz="4" w:space="0" w:color="000000"/>
              <w:bottom w:val="single" w:sz="4" w:space="0" w:color="000000"/>
            </w:tcBorders>
            <w:vAlign w:val="bottom"/>
          </w:tcPr>
          <w:p w14:paraId="2DB1604E" w14:textId="24C258E5" w:rsidR="00F14DD5" w:rsidRPr="003A5E26" w:rsidRDefault="00F14DD5" w:rsidP="00F14DD5">
            <w:pPr>
              <w:pStyle w:val="BodyText"/>
              <w:rPr>
                <w:rFonts w:cs="Arial"/>
                <w:szCs w:val="20"/>
              </w:rPr>
            </w:pPr>
            <w:r w:rsidRPr="003A5E26">
              <w:rPr>
                <w:rFonts w:cs="Arial"/>
                <w:szCs w:val="20"/>
              </w:rPr>
              <w:t>9</w:t>
            </w:r>
            <w:r w:rsidR="00A83B4B" w:rsidRPr="003A5E26">
              <w:rPr>
                <w:rFonts w:cs="Arial"/>
                <w:szCs w:val="20"/>
              </w:rPr>
              <w:t xml:space="preserve"> (15%)</w:t>
            </w:r>
          </w:p>
        </w:tc>
      </w:tr>
      <w:tr w:rsidR="00F14DD5" w14:paraId="35B8579F" w14:textId="77777777">
        <w:tc>
          <w:tcPr>
            <w:tcW w:w="4814" w:type="dxa"/>
            <w:tcBorders>
              <w:top w:val="single" w:sz="4" w:space="0" w:color="000000"/>
              <w:bottom w:val="single" w:sz="4" w:space="0" w:color="000000"/>
            </w:tcBorders>
            <w:vAlign w:val="bottom"/>
          </w:tcPr>
          <w:p w14:paraId="0822FA1D" w14:textId="21DE0C8E" w:rsidR="00F14DD5" w:rsidRPr="003A5E26" w:rsidRDefault="00F14DD5" w:rsidP="00F14DD5">
            <w:pPr>
              <w:pStyle w:val="BodyText"/>
              <w:rPr>
                <w:rFonts w:cs="Arial"/>
                <w:szCs w:val="20"/>
              </w:rPr>
            </w:pPr>
            <w:r w:rsidRPr="003A5E26">
              <w:rPr>
                <w:rFonts w:cs="Arial"/>
                <w:szCs w:val="20"/>
              </w:rPr>
              <w:t>SA</w:t>
            </w:r>
          </w:p>
        </w:tc>
        <w:tc>
          <w:tcPr>
            <w:tcW w:w="4814" w:type="dxa"/>
            <w:tcBorders>
              <w:top w:val="single" w:sz="4" w:space="0" w:color="000000"/>
              <w:bottom w:val="single" w:sz="4" w:space="0" w:color="000000"/>
            </w:tcBorders>
            <w:vAlign w:val="bottom"/>
          </w:tcPr>
          <w:p w14:paraId="40E1E91A" w14:textId="024EACDE" w:rsidR="00F14DD5" w:rsidRPr="003A5E26" w:rsidRDefault="00F14DD5" w:rsidP="00F14DD5">
            <w:pPr>
              <w:pStyle w:val="BodyText"/>
              <w:rPr>
                <w:rFonts w:cs="Arial"/>
                <w:szCs w:val="20"/>
              </w:rPr>
            </w:pPr>
            <w:r w:rsidRPr="003A5E26">
              <w:rPr>
                <w:rFonts w:cs="Arial"/>
                <w:szCs w:val="20"/>
              </w:rPr>
              <w:t>3</w:t>
            </w:r>
            <w:r w:rsidR="00A83B4B" w:rsidRPr="003A5E26">
              <w:rPr>
                <w:rFonts w:cs="Arial"/>
                <w:szCs w:val="20"/>
              </w:rPr>
              <w:t xml:space="preserve"> (5%)</w:t>
            </w:r>
          </w:p>
        </w:tc>
      </w:tr>
      <w:tr w:rsidR="00F14DD5" w14:paraId="4CF73F4A"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3A3FBF07" w14:textId="6496D1EC" w:rsidR="00F14DD5" w:rsidRPr="003A5E26" w:rsidRDefault="00F14DD5" w:rsidP="00F14DD5">
            <w:pPr>
              <w:pStyle w:val="BodyText"/>
              <w:rPr>
                <w:rFonts w:cs="Arial"/>
                <w:szCs w:val="20"/>
              </w:rPr>
            </w:pPr>
            <w:r w:rsidRPr="003A5E26">
              <w:rPr>
                <w:rFonts w:cs="Arial"/>
                <w:szCs w:val="20"/>
              </w:rPr>
              <w:t>WA</w:t>
            </w:r>
          </w:p>
        </w:tc>
        <w:tc>
          <w:tcPr>
            <w:tcW w:w="4814" w:type="dxa"/>
            <w:tcBorders>
              <w:top w:val="single" w:sz="4" w:space="0" w:color="000000"/>
              <w:bottom w:val="single" w:sz="4" w:space="0" w:color="000000"/>
            </w:tcBorders>
            <w:vAlign w:val="bottom"/>
          </w:tcPr>
          <w:p w14:paraId="3A904D6E" w14:textId="12CBF598" w:rsidR="00F14DD5" w:rsidRPr="003A5E26" w:rsidRDefault="00F14DD5" w:rsidP="00F14DD5">
            <w:pPr>
              <w:pStyle w:val="BodyText"/>
              <w:rPr>
                <w:rFonts w:cs="Arial"/>
                <w:szCs w:val="20"/>
              </w:rPr>
            </w:pPr>
            <w:r w:rsidRPr="003A5E26">
              <w:rPr>
                <w:rFonts w:cs="Arial"/>
                <w:szCs w:val="20"/>
              </w:rPr>
              <w:t>2</w:t>
            </w:r>
            <w:r w:rsidR="00A83B4B" w:rsidRPr="003A5E26">
              <w:rPr>
                <w:rFonts w:cs="Arial"/>
                <w:szCs w:val="20"/>
              </w:rPr>
              <w:t xml:space="preserve"> (3%)</w:t>
            </w:r>
          </w:p>
        </w:tc>
      </w:tr>
      <w:tr w:rsidR="00F14DD5" w14:paraId="4DD73B1A" w14:textId="77777777">
        <w:tc>
          <w:tcPr>
            <w:tcW w:w="4814" w:type="dxa"/>
            <w:tcBorders>
              <w:top w:val="single" w:sz="4" w:space="0" w:color="000000"/>
              <w:bottom w:val="single" w:sz="4" w:space="0" w:color="000000"/>
            </w:tcBorders>
            <w:vAlign w:val="bottom"/>
          </w:tcPr>
          <w:p w14:paraId="70D413A1" w14:textId="66BB8AB3" w:rsidR="00F14DD5" w:rsidRPr="003A5E26" w:rsidRDefault="00F14DD5" w:rsidP="00F14DD5">
            <w:pPr>
              <w:pStyle w:val="BodyText"/>
              <w:rPr>
                <w:rFonts w:cs="Arial"/>
                <w:szCs w:val="20"/>
              </w:rPr>
            </w:pPr>
            <w:r w:rsidRPr="003A5E26">
              <w:rPr>
                <w:rFonts w:cs="Arial"/>
                <w:szCs w:val="20"/>
              </w:rPr>
              <w:t>ACT</w:t>
            </w:r>
          </w:p>
        </w:tc>
        <w:tc>
          <w:tcPr>
            <w:tcW w:w="4814" w:type="dxa"/>
            <w:tcBorders>
              <w:top w:val="single" w:sz="4" w:space="0" w:color="000000"/>
              <w:bottom w:val="single" w:sz="4" w:space="0" w:color="000000"/>
            </w:tcBorders>
            <w:vAlign w:val="bottom"/>
          </w:tcPr>
          <w:p w14:paraId="1301F9C2" w14:textId="5BBED4C1" w:rsidR="00F14DD5" w:rsidRPr="003A5E26" w:rsidRDefault="00F14DD5" w:rsidP="00F14DD5">
            <w:pPr>
              <w:pStyle w:val="BodyText"/>
              <w:rPr>
                <w:rFonts w:cs="Arial"/>
                <w:szCs w:val="20"/>
              </w:rPr>
            </w:pPr>
            <w:r w:rsidRPr="003A5E26">
              <w:rPr>
                <w:rFonts w:cs="Arial"/>
                <w:szCs w:val="20"/>
              </w:rPr>
              <w:t>2</w:t>
            </w:r>
            <w:r w:rsidR="00A83B4B" w:rsidRPr="003A5E26">
              <w:rPr>
                <w:rFonts w:cs="Arial"/>
                <w:szCs w:val="20"/>
              </w:rPr>
              <w:t xml:space="preserve"> (3%)</w:t>
            </w:r>
          </w:p>
        </w:tc>
      </w:tr>
      <w:tr w:rsidR="00F14DD5" w14:paraId="1392FE74"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0F24A2C6" w14:textId="71E49970" w:rsidR="00F14DD5" w:rsidRPr="003A5E26" w:rsidRDefault="00F14DD5" w:rsidP="00F14DD5">
            <w:pPr>
              <w:pStyle w:val="BodyText"/>
              <w:rPr>
                <w:rFonts w:cs="Arial"/>
                <w:szCs w:val="20"/>
              </w:rPr>
            </w:pPr>
            <w:r w:rsidRPr="003A5E26">
              <w:rPr>
                <w:rFonts w:cs="Arial"/>
                <w:szCs w:val="20"/>
              </w:rPr>
              <w:t>Other</w:t>
            </w:r>
          </w:p>
        </w:tc>
        <w:tc>
          <w:tcPr>
            <w:tcW w:w="4814" w:type="dxa"/>
            <w:tcBorders>
              <w:top w:val="single" w:sz="4" w:space="0" w:color="000000"/>
              <w:bottom w:val="single" w:sz="4" w:space="0" w:color="000000"/>
            </w:tcBorders>
            <w:vAlign w:val="bottom"/>
          </w:tcPr>
          <w:p w14:paraId="0B854ACB" w14:textId="130906E3" w:rsidR="00F14DD5" w:rsidRPr="003A5E26" w:rsidRDefault="00F14DD5" w:rsidP="00F14DD5">
            <w:pPr>
              <w:pStyle w:val="BodyText"/>
              <w:rPr>
                <w:rFonts w:cs="Arial"/>
                <w:szCs w:val="20"/>
              </w:rPr>
            </w:pPr>
            <w:r w:rsidRPr="003A5E26">
              <w:rPr>
                <w:rFonts w:cs="Arial"/>
                <w:szCs w:val="20"/>
              </w:rPr>
              <w:t>5</w:t>
            </w:r>
            <w:r w:rsidR="00A83B4B" w:rsidRPr="003A5E26">
              <w:rPr>
                <w:rFonts w:cs="Arial"/>
                <w:szCs w:val="20"/>
              </w:rPr>
              <w:t xml:space="preserve"> (8%)</w:t>
            </w:r>
          </w:p>
        </w:tc>
      </w:tr>
    </w:tbl>
    <w:p w14:paraId="6D3A1471" w14:textId="7DA06035" w:rsidR="00DE57EF" w:rsidRPr="00BB3E42" w:rsidRDefault="00DE57EF" w:rsidP="00281D11">
      <w:pPr>
        <w:pStyle w:val="Footer"/>
      </w:pPr>
      <w:r>
        <w:t>Source: KPMG, 2024</w:t>
      </w:r>
      <w:r w:rsidR="00DD3E39">
        <w:t>.</w:t>
      </w:r>
    </w:p>
    <w:p w14:paraId="78274A64" w14:textId="4E860181" w:rsidR="00A83B4B" w:rsidRDefault="00AE057D" w:rsidP="00A83B4B">
      <w:pPr>
        <w:pStyle w:val="Caption"/>
      </w:pPr>
      <w:r>
        <w:t xml:space="preserve">Table </w:t>
      </w:r>
      <w:r>
        <w:fldChar w:fldCharType="begin"/>
      </w:r>
      <w:r>
        <w:instrText xml:space="preserve"> SEQ Table \* ARABIC </w:instrText>
      </w:r>
      <w:r>
        <w:fldChar w:fldCharType="separate"/>
      </w:r>
      <w:r w:rsidR="005F7EBC">
        <w:rPr>
          <w:noProof/>
        </w:rPr>
        <w:t>26</w:t>
      </w:r>
      <w:r>
        <w:fldChar w:fldCharType="end"/>
      </w:r>
      <w:r>
        <w:t xml:space="preserve">: </w:t>
      </w:r>
      <w:r w:rsidRPr="00BA09EB">
        <w:t>Supervisor survey results to the question ‘What is the MMM rating of the facility you are practicing at?’ (n=60)</w:t>
      </w:r>
    </w:p>
    <w:tbl>
      <w:tblPr>
        <w:tblStyle w:val="TableGrid"/>
        <w:tblW w:w="0" w:type="auto"/>
        <w:tblLook w:val="04A0" w:firstRow="1" w:lastRow="0" w:firstColumn="1" w:lastColumn="0" w:noHBand="0" w:noVBand="1"/>
      </w:tblPr>
      <w:tblGrid>
        <w:gridCol w:w="4814"/>
        <w:gridCol w:w="4814"/>
      </w:tblGrid>
      <w:tr w:rsidR="00A83B4B" w14:paraId="1BC1AC8A" w14:textId="77777777" w:rsidTr="00281D11">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165DD039" w14:textId="021C4218" w:rsidR="00A83B4B"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2809D1C8" w14:textId="1B7FDCE1" w:rsidR="00A83B4B" w:rsidRPr="00242835" w:rsidRDefault="00A83B4B" w:rsidP="00242835">
            <w:r w:rsidRPr="00242835">
              <w:t>Responses</w:t>
            </w:r>
          </w:p>
        </w:tc>
      </w:tr>
      <w:tr w:rsidR="00AF5EC6" w14:paraId="45D2EDC8"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7004FD87" w14:textId="1CF89239" w:rsidR="00AF5EC6" w:rsidRDefault="00AF5EC6" w:rsidP="00AF5EC6">
            <w:pPr>
              <w:pStyle w:val="BodyText"/>
            </w:pPr>
            <w:r w:rsidRPr="00064F26">
              <w:rPr>
                <w:rFonts w:cs="Arial"/>
                <w:szCs w:val="20"/>
              </w:rPr>
              <w:t>MM1: Metropolitan area</w:t>
            </w:r>
          </w:p>
        </w:tc>
        <w:tc>
          <w:tcPr>
            <w:tcW w:w="4814" w:type="dxa"/>
            <w:tcBorders>
              <w:bottom w:val="single" w:sz="4" w:space="0" w:color="000000"/>
            </w:tcBorders>
            <w:vAlign w:val="bottom"/>
          </w:tcPr>
          <w:p w14:paraId="0A7F0441" w14:textId="7C5894D9" w:rsidR="00AF5EC6" w:rsidRDefault="00AF5EC6" w:rsidP="00AF5EC6">
            <w:pPr>
              <w:pStyle w:val="BodyText"/>
            </w:pPr>
            <w:r w:rsidRPr="00064F26">
              <w:rPr>
                <w:rFonts w:cs="Arial"/>
                <w:szCs w:val="20"/>
              </w:rPr>
              <w:t>49</w:t>
            </w:r>
            <w:r w:rsidR="00F96D1D" w:rsidRPr="00064F26">
              <w:rPr>
                <w:rFonts w:cs="Arial"/>
                <w:szCs w:val="20"/>
              </w:rPr>
              <w:t xml:space="preserve"> (82%)</w:t>
            </w:r>
          </w:p>
        </w:tc>
      </w:tr>
      <w:tr w:rsidR="00AF5EC6" w14:paraId="5ACF0492" w14:textId="77777777">
        <w:tc>
          <w:tcPr>
            <w:tcW w:w="4814" w:type="dxa"/>
            <w:tcBorders>
              <w:top w:val="single" w:sz="4" w:space="0" w:color="000000"/>
              <w:bottom w:val="single" w:sz="4" w:space="0" w:color="000000"/>
            </w:tcBorders>
            <w:vAlign w:val="bottom"/>
          </w:tcPr>
          <w:p w14:paraId="47F8E606" w14:textId="0DE81FC9" w:rsidR="00AF5EC6" w:rsidRDefault="00AF5EC6" w:rsidP="00AF5EC6">
            <w:pPr>
              <w:pStyle w:val="BodyText"/>
            </w:pPr>
            <w:r w:rsidRPr="00064F26">
              <w:rPr>
                <w:rFonts w:cs="Arial"/>
                <w:szCs w:val="20"/>
              </w:rPr>
              <w:t>MM2: Regional centre</w:t>
            </w:r>
          </w:p>
        </w:tc>
        <w:tc>
          <w:tcPr>
            <w:tcW w:w="4814" w:type="dxa"/>
            <w:tcBorders>
              <w:top w:val="single" w:sz="4" w:space="0" w:color="000000"/>
              <w:bottom w:val="single" w:sz="4" w:space="0" w:color="000000"/>
            </w:tcBorders>
            <w:vAlign w:val="bottom"/>
          </w:tcPr>
          <w:p w14:paraId="329D6240" w14:textId="30D0F64E" w:rsidR="00AF5EC6" w:rsidRDefault="00AF5EC6" w:rsidP="00AF5EC6">
            <w:pPr>
              <w:pStyle w:val="BodyText"/>
            </w:pPr>
            <w:r w:rsidRPr="00064F26">
              <w:rPr>
                <w:rFonts w:cs="Arial"/>
                <w:szCs w:val="20"/>
              </w:rPr>
              <w:t>8</w:t>
            </w:r>
            <w:r w:rsidR="00F96D1D" w:rsidRPr="00064F26">
              <w:rPr>
                <w:rFonts w:cs="Arial"/>
                <w:szCs w:val="20"/>
              </w:rPr>
              <w:t xml:space="preserve"> (13%)</w:t>
            </w:r>
          </w:p>
        </w:tc>
      </w:tr>
      <w:tr w:rsidR="00AF5EC6" w14:paraId="75E82968"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52EF2E47" w14:textId="4FB3C5F5" w:rsidR="00AF5EC6" w:rsidRDefault="00AF5EC6" w:rsidP="00AF5EC6">
            <w:pPr>
              <w:pStyle w:val="BodyText"/>
            </w:pPr>
            <w:r w:rsidRPr="00064F26">
              <w:rPr>
                <w:rFonts w:cs="Arial"/>
                <w:szCs w:val="20"/>
              </w:rPr>
              <w:t>Unsure</w:t>
            </w:r>
          </w:p>
        </w:tc>
        <w:tc>
          <w:tcPr>
            <w:tcW w:w="4814" w:type="dxa"/>
            <w:tcBorders>
              <w:top w:val="single" w:sz="4" w:space="0" w:color="000000"/>
              <w:bottom w:val="single" w:sz="4" w:space="0" w:color="000000"/>
            </w:tcBorders>
            <w:vAlign w:val="bottom"/>
          </w:tcPr>
          <w:p w14:paraId="3CCF4072" w14:textId="57397264" w:rsidR="00AF5EC6" w:rsidRDefault="00AF5EC6" w:rsidP="00AF5EC6">
            <w:pPr>
              <w:pStyle w:val="BodyText"/>
            </w:pPr>
            <w:r w:rsidRPr="00064F26">
              <w:rPr>
                <w:rFonts w:cs="Arial"/>
                <w:szCs w:val="20"/>
              </w:rPr>
              <w:t>3</w:t>
            </w:r>
            <w:r w:rsidR="00F96D1D" w:rsidRPr="00064F26">
              <w:rPr>
                <w:rFonts w:cs="Arial"/>
                <w:szCs w:val="20"/>
              </w:rPr>
              <w:t xml:space="preserve"> (5%)</w:t>
            </w:r>
          </w:p>
        </w:tc>
      </w:tr>
    </w:tbl>
    <w:p w14:paraId="4777A99B" w14:textId="5FC623CD" w:rsidR="000A67FB" w:rsidRPr="00BB3E42" w:rsidRDefault="00945EAA" w:rsidP="00281D11">
      <w:pPr>
        <w:pStyle w:val="Footer"/>
        <w:rPr>
          <w:i/>
        </w:rPr>
      </w:pPr>
      <w:r>
        <w:t>Source: KPMG, 2024</w:t>
      </w:r>
      <w:r w:rsidR="00DD3E39">
        <w:t>.</w:t>
      </w:r>
    </w:p>
    <w:p w14:paraId="70330BF0" w14:textId="01D18594" w:rsidR="00964589" w:rsidRDefault="00AE057D" w:rsidP="00964589">
      <w:pPr>
        <w:pStyle w:val="Caption"/>
      </w:pPr>
      <w:r>
        <w:t xml:space="preserve">Table </w:t>
      </w:r>
      <w:r>
        <w:fldChar w:fldCharType="begin"/>
      </w:r>
      <w:r>
        <w:instrText xml:space="preserve"> SEQ Table \* ARABIC </w:instrText>
      </w:r>
      <w:r>
        <w:fldChar w:fldCharType="separate"/>
      </w:r>
      <w:r w:rsidR="005F7EBC">
        <w:rPr>
          <w:noProof/>
        </w:rPr>
        <w:t>27</w:t>
      </w:r>
      <w:r>
        <w:fldChar w:fldCharType="end"/>
      </w:r>
      <w:r>
        <w:t xml:space="preserve">: </w:t>
      </w:r>
      <w:r w:rsidRPr="00107C9A">
        <w:t>Supervisor survey results to the question ‘What size facility do you practice at?’ (n=60)</w:t>
      </w:r>
    </w:p>
    <w:tbl>
      <w:tblPr>
        <w:tblStyle w:val="TableGrid"/>
        <w:tblW w:w="0" w:type="auto"/>
        <w:tblLook w:val="04A0" w:firstRow="1" w:lastRow="0" w:firstColumn="1" w:lastColumn="0" w:noHBand="0" w:noVBand="1"/>
      </w:tblPr>
      <w:tblGrid>
        <w:gridCol w:w="4814"/>
        <w:gridCol w:w="4814"/>
      </w:tblGrid>
      <w:tr w:rsidR="00964589" w14:paraId="145DC10C" w14:textId="77777777" w:rsidTr="00281D11">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715DE0A8" w14:textId="2E2D7714" w:rsidR="00964589"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39809195" w14:textId="65DDFE3F" w:rsidR="00964589" w:rsidRPr="00242835" w:rsidRDefault="00964589" w:rsidP="00242835">
            <w:r w:rsidRPr="00242835">
              <w:t>Responses</w:t>
            </w:r>
          </w:p>
        </w:tc>
      </w:tr>
      <w:tr w:rsidR="00F82AAE" w14:paraId="3457DC5D"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6BC39A83" w14:textId="4B1632B7" w:rsidR="00F82AAE" w:rsidRDefault="00F82AAE" w:rsidP="00F82AAE">
            <w:pPr>
              <w:pStyle w:val="BodyText"/>
            </w:pPr>
            <w:r w:rsidRPr="00064F26">
              <w:rPr>
                <w:rFonts w:cs="Arial"/>
                <w:szCs w:val="20"/>
              </w:rPr>
              <w:t>Large hospital</w:t>
            </w:r>
          </w:p>
        </w:tc>
        <w:tc>
          <w:tcPr>
            <w:tcW w:w="4814" w:type="dxa"/>
            <w:tcBorders>
              <w:bottom w:val="single" w:sz="4" w:space="0" w:color="000000"/>
            </w:tcBorders>
            <w:vAlign w:val="bottom"/>
          </w:tcPr>
          <w:p w14:paraId="4A0B736C" w14:textId="264FBE71" w:rsidR="00F82AAE" w:rsidRDefault="00F82AAE" w:rsidP="00F82AAE">
            <w:pPr>
              <w:pStyle w:val="BodyText"/>
            </w:pPr>
            <w:r w:rsidRPr="00064F26">
              <w:rPr>
                <w:rFonts w:cs="Arial"/>
                <w:szCs w:val="20"/>
              </w:rPr>
              <w:t>34</w:t>
            </w:r>
            <w:r w:rsidR="005774F2" w:rsidRPr="00064F26">
              <w:rPr>
                <w:rFonts w:cs="Arial"/>
                <w:szCs w:val="20"/>
              </w:rPr>
              <w:t xml:space="preserve"> (57%)</w:t>
            </w:r>
          </w:p>
        </w:tc>
      </w:tr>
      <w:tr w:rsidR="00F82AAE" w14:paraId="76FF8539" w14:textId="77777777">
        <w:tc>
          <w:tcPr>
            <w:tcW w:w="4814" w:type="dxa"/>
            <w:tcBorders>
              <w:top w:val="single" w:sz="4" w:space="0" w:color="000000"/>
              <w:bottom w:val="single" w:sz="4" w:space="0" w:color="000000"/>
            </w:tcBorders>
            <w:vAlign w:val="bottom"/>
          </w:tcPr>
          <w:p w14:paraId="29ADA55E" w14:textId="513E10A1" w:rsidR="00F82AAE" w:rsidRDefault="00F82AAE" w:rsidP="00F82AAE">
            <w:pPr>
              <w:pStyle w:val="BodyText"/>
            </w:pPr>
            <w:r w:rsidRPr="00064F26">
              <w:rPr>
                <w:rFonts w:cs="Arial"/>
                <w:szCs w:val="20"/>
              </w:rPr>
              <w:t>Medium hospital</w:t>
            </w:r>
          </w:p>
        </w:tc>
        <w:tc>
          <w:tcPr>
            <w:tcW w:w="4814" w:type="dxa"/>
            <w:tcBorders>
              <w:top w:val="single" w:sz="4" w:space="0" w:color="000000"/>
              <w:bottom w:val="single" w:sz="4" w:space="0" w:color="000000"/>
            </w:tcBorders>
            <w:vAlign w:val="bottom"/>
          </w:tcPr>
          <w:p w14:paraId="05ADC8DD" w14:textId="3729DD89" w:rsidR="00F82AAE" w:rsidRDefault="00F82AAE" w:rsidP="00F82AAE">
            <w:pPr>
              <w:pStyle w:val="BodyText"/>
            </w:pPr>
            <w:r w:rsidRPr="00064F26">
              <w:rPr>
                <w:rFonts w:cs="Arial"/>
                <w:szCs w:val="20"/>
              </w:rPr>
              <w:t>16</w:t>
            </w:r>
            <w:r w:rsidR="005774F2" w:rsidRPr="00064F26">
              <w:rPr>
                <w:rFonts w:cs="Arial"/>
                <w:szCs w:val="20"/>
              </w:rPr>
              <w:t xml:space="preserve"> (27%)</w:t>
            </w:r>
          </w:p>
        </w:tc>
      </w:tr>
      <w:tr w:rsidR="00F82AAE" w14:paraId="38A2C34E"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43A6CBBA" w14:textId="744AD0E6" w:rsidR="00F82AAE" w:rsidRDefault="00F82AAE" w:rsidP="00F82AAE">
            <w:pPr>
              <w:pStyle w:val="BodyText"/>
            </w:pPr>
            <w:r w:rsidRPr="00064F26">
              <w:rPr>
                <w:rFonts w:cs="Arial"/>
                <w:szCs w:val="20"/>
              </w:rPr>
              <w:t>Other</w:t>
            </w:r>
          </w:p>
        </w:tc>
        <w:tc>
          <w:tcPr>
            <w:tcW w:w="4814" w:type="dxa"/>
            <w:tcBorders>
              <w:top w:val="single" w:sz="4" w:space="0" w:color="000000"/>
              <w:bottom w:val="single" w:sz="4" w:space="0" w:color="000000"/>
            </w:tcBorders>
            <w:vAlign w:val="bottom"/>
          </w:tcPr>
          <w:p w14:paraId="70E26753" w14:textId="4D16A954" w:rsidR="00F82AAE" w:rsidRDefault="00F82AAE" w:rsidP="00F82AAE">
            <w:pPr>
              <w:pStyle w:val="BodyText"/>
            </w:pPr>
            <w:r w:rsidRPr="00064F26">
              <w:rPr>
                <w:rFonts w:cs="Arial"/>
                <w:szCs w:val="20"/>
              </w:rPr>
              <w:t>5</w:t>
            </w:r>
            <w:r w:rsidR="005774F2" w:rsidRPr="00064F26">
              <w:rPr>
                <w:rFonts w:cs="Arial"/>
                <w:szCs w:val="20"/>
              </w:rPr>
              <w:t xml:space="preserve"> (8%)</w:t>
            </w:r>
          </w:p>
        </w:tc>
      </w:tr>
      <w:tr w:rsidR="00F82AAE" w14:paraId="009F3E5D" w14:textId="77777777">
        <w:tc>
          <w:tcPr>
            <w:tcW w:w="4814" w:type="dxa"/>
            <w:tcBorders>
              <w:top w:val="single" w:sz="4" w:space="0" w:color="000000"/>
              <w:bottom w:val="single" w:sz="4" w:space="0" w:color="000000"/>
            </w:tcBorders>
            <w:vAlign w:val="bottom"/>
          </w:tcPr>
          <w:p w14:paraId="00596903" w14:textId="3A64A099" w:rsidR="00F82AAE" w:rsidRPr="00064F26" w:rsidRDefault="00F82AAE" w:rsidP="00F82AAE">
            <w:pPr>
              <w:pStyle w:val="BodyText"/>
              <w:rPr>
                <w:rFonts w:cs="Arial"/>
                <w:szCs w:val="20"/>
              </w:rPr>
            </w:pPr>
            <w:r w:rsidRPr="00064F26">
              <w:rPr>
                <w:rFonts w:cs="Arial"/>
                <w:szCs w:val="20"/>
              </w:rPr>
              <w:t>Outpatient only</w:t>
            </w:r>
          </w:p>
        </w:tc>
        <w:tc>
          <w:tcPr>
            <w:tcW w:w="4814" w:type="dxa"/>
            <w:tcBorders>
              <w:top w:val="single" w:sz="4" w:space="0" w:color="000000"/>
              <w:bottom w:val="single" w:sz="4" w:space="0" w:color="000000"/>
            </w:tcBorders>
            <w:vAlign w:val="bottom"/>
          </w:tcPr>
          <w:p w14:paraId="011E408E" w14:textId="352BAADD" w:rsidR="00F82AAE" w:rsidRPr="00064F26" w:rsidRDefault="00F82AAE" w:rsidP="00F82AAE">
            <w:pPr>
              <w:pStyle w:val="BodyText"/>
              <w:rPr>
                <w:rFonts w:cs="Arial"/>
                <w:szCs w:val="20"/>
              </w:rPr>
            </w:pPr>
            <w:r w:rsidRPr="00064F26">
              <w:rPr>
                <w:rFonts w:cs="Arial"/>
                <w:szCs w:val="20"/>
              </w:rPr>
              <w:t>2</w:t>
            </w:r>
            <w:r w:rsidR="005774F2" w:rsidRPr="00064F26">
              <w:rPr>
                <w:rFonts w:cs="Arial"/>
                <w:szCs w:val="20"/>
              </w:rPr>
              <w:t xml:space="preserve"> (3%)</w:t>
            </w:r>
          </w:p>
        </w:tc>
      </w:tr>
      <w:tr w:rsidR="00F82AAE" w14:paraId="7E7A8FB5"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60970825" w14:textId="48EA95DD" w:rsidR="00F82AAE" w:rsidRPr="00064F26" w:rsidRDefault="00F82AAE" w:rsidP="00F82AAE">
            <w:pPr>
              <w:pStyle w:val="BodyText"/>
              <w:rPr>
                <w:rFonts w:cs="Arial"/>
                <w:szCs w:val="20"/>
              </w:rPr>
            </w:pPr>
            <w:r w:rsidRPr="00064F26">
              <w:rPr>
                <w:rFonts w:cs="Arial"/>
                <w:szCs w:val="20"/>
              </w:rPr>
              <w:t>I work at multiple facilities of varying size</w:t>
            </w:r>
          </w:p>
        </w:tc>
        <w:tc>
          <w:tcPr>
            <w:tcW w:w="4814" w:type="dxa"/>
            <w:tcBorders>
              <w:top w:val="single" w:sz="4" w:space="0" w:color="000000"/>
              <w:bottom w:val="single" w:sz="4" w:space="0" w:color="000000"/>
            </w:tcBorders>
            <w:vAlign w:val="bottom"/>
          </w:tcPr>
          <w:p w14:paraId="1D2062CA" w14:textId="169043CB" w:rsidR="00F82AAE" w:rsidRPr="00064F26" w:rsidRDefault="00F82AAE" w:rsidP="00F82AAE">
            <w:pPr>
              <w:pStyle w:val="BodyText"/>
              <w:rPr>
                <w:rFonts w:cs="Arial"/>
                <w:szCs w:val="20"/>
              </w:rPr>
            </w:pPr>
            <w:r w:rsidRPr="00064F26">
              <w:rPr>
                <w:rFonts w:cs="Arial"/>
                <w:szCs w:val="20"/>
              </w:rPr>
              <w:t>1</w:t>
            </w:r>
            <w:r w:rsidR="005774F2" w:rsidRPr="00064F26">
              <w:rPr>
                <w:rFonts w:cs="Arial"/>
                <w:szCs w:val="20"/>
              </w:rPr>
              <w:t xml:space="preserve"> (2%)</w:t>
            </w:r>
          </w:p>
        </w:tc>
      </w:tr>
      <w:tr w:rsidR="00F82AAE" w14:paraId="4570809B" w14:textId="77777777">
        <w:tc>
          <w:tcPr>
            <w:tcW w:w="4814" w:type="dxa"/>
            <w:tcBorders>
              <w:top w:val="single" w:sz="4" w:space="0" w:color="000000"/>
              <w:bottom w:val="single" w:sz="4" w:space="0" w:color="000000"/>
            </w:tcBorders>
            <w:vAlign w:val="bottom"/>
          </w:tcPr>
          <w:p w14:paraId="621CD161" w14:textId="6A430118" w:rsidR="00F82AAE" w:rsidRPr="00064F26" w:rsidRDefault="00F82AAE" w:rsidP="00F82AAE">
            <w:pPr>
              <w:pStyle w:val="BodyText"/>
              <w:rPr>
                <w:rFonts w:cs="Arial"/>
                <w:szCs w:val="20"/>
              </w:rPr>
            </w:pPr>
            <w:r w:rsidRPr="00064F26">
              <w:rPr>
                <w:rFonts w:cs="Arial"/>
                <w:szCs w:val="20"/>
              </w:rPr>
              <w:t>Private consulting</w:t>
            </w:r>
          </w:p>
        </w:tc>
        <w:tc>
          <w:tcPr>
            <w:tcW w:w="4814" w:type="dxa"/>
            <w:tcBorders>
              <w:top w:val="single" w:sz="4" w:space="0" w:color="000000"/>
              <w:bottom w:val="single" w:sz="4" w:space="0" w:color="000000"/>
            </w:tcBorders>
            <w:vAlign w:val="bottom"/>
          </w:tcPr>
          <w:p w14:paraId="069962D0" w14:textId="73A1F368" w:rsidR="00F82AAE" w:rsidRPr="00064F26" w:rsidRDefault="00F82AAE" w:rsidP="00F82AAE">
            <w:pPr>
              <w:pStyle w:val="BodyText"/>
              <w:rPr>
                <w:rFonts w:cs="Arial"/>
                <w:szCs w:val="20"/>
              </w:rPr>
            </w:pPr>
            <w:r w:rsidRPr="00064F26">
              <w:rPr>
                <w:rFonts w:cs="Arial"/>
                <w:szCs w:val="20"/>
              </w:rPr>
              <w:t>1</w:t>
            </w:r>
            <w:r w:rsidR="005774F2" w:rsidRPr="00064F26">
              <w:rPr>
                <w:rFonts w:cs="Arial"/>
                <w:szCs w:val="20"/>
              </w:rPr>
              <w:t xml:space="preserve"> (2%)</w:t>
            </w:r>
          </w:p>
        </w:tc>
      </w:tr>
      <w:tr w:rsidR="00F82AAE" w14:paraId="1E83C0D1"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18490D47" w14:textId="0A686432" w:rsidR="00F82AAE" w:rsidRPr="00064F26" w:rsidRDefault="00F82AAE" w:rsidP="00F82AAE">
            <w:pPr>
              <w:pStyle w:val="BodyText"/>
              <w:rPr>
                <w:rFonts w:cs="Arial"/>
                <w:szCs w:val="20"/>
              </w:rPr>
            </w:pPr>
            <w:r w:rsidRPr="00064F26">
              <w:rPr>
                <w:rFonts w:cs="Arial"/>
                <w:szCs w:val="20"/>
              </w:rPr>
              <w:t>Small hospital</w:t>
            </w:r>
          </w:p>
        </w:tc>
        <w:tc>
          <w:tcPr>
            <w:tcW w:w="4814" w:type="dxa"/>
            <w:tcBorders>
              <w:top w:val="single" w:sz="4" w:space="0" w:color="000000"/>
              <w:bottom w:val="single" w:sz="4" w:space="0" w:color="000000"/>
            </w:tcBorders>
            <w:vAlign w:val="bottom"/>
          </w:tcPr>
          <w:p w14:paraId="458F1E21" w14:textId="5DBB7E89" w:rsidR="00F82AAE" w:rsidRPr="00064F26" w:rsidRDefault="00F82AAE" w:rsidP="00F82AAE">
            <w:pPr>
              <w:pStyle w:val="BodyText"/>
              <w:rPr>
                <w:rFonts w:cs="Arial"/>
                <w:szCs w:val="20"/>
              </w:rPr>
            </w:pPr>
            <w:r w:rsidRPr="00064F26">
              <w:rPr>
                <w:rFonts w:cs="Arial"/>
                <w:szCs w:val="20"/>
              </w:rPr>
              <w:t>1</w:t>
            </w:r>
            <w:r w:rsidR="005774F2" w:rsidRPr="00064F26">
              <w:rPr>
                <w:rFonts w:cs="Arial"/>
                <w:szCs w:val="20"/>
              </w:rPr>
              <w:t xml:space="preserve"> (2%)</w:t>
            </w:r>
          </w:p>
        </w:tc>
      </w:tr>
    </w:tbl>
    <w:p w14:paraId="11010BEC" w14:textId="4F5848DD" w:rsidR="00964589" w:rsidRPr="00BB3E42" w:rsidRDefault="000A67FB" w:rsidP="00281D11">
      <w:pPr>
        <w:pStyle w:val="Footer"/>
        <w:rPr>
          <w:i/>
        </w:rPr>
      </w:pPr>
      <w:r>
        <w:t>Source: KPMG, 2024</w:t>
      </w:r>
      <w:r w:rsidR="00DD3E39">
        <w:t>.</w:t>
      </w:r>
    </w:p>
    <w:p w14:paraId="02CEED87" w14:textId="5585DBE2" w:rsidR="005774F2" w:rsidRDefault="00AE057D" w:rsidP="005774F2">
      <w:pPr>
        <w:pStyle w:val="Caption"/>
      </w:pPr>
      <w:r>
        <w:t xml:space="preserve">Table </w:t>
      </w:r>
      <w:r>
        <w:fldChar w:fldCharType="begin"/>
      </w:r>
      <w:r>
        <w:instrText xml:space="preserve"> SEQ Table \* ARABIC </w:instrText>
      </w:r>
      <w:r>
        <w:fldChar w:fldCharType="separate"/>
      </w:r>
      <w:r w:rsidR="005F7EBC">
        <w:rPr>
          <w:noProof/>
        </w:rPr>
        <w:t>28</w:t>
      </w:r>
      <w:r>
        <w:fldChar w:fldCharType="end"/>
      </w:r>
      <w:r>
        <w:t xml:space="preserve">: </w:t>
      </w:r>
      <w:r w:rsidRPr="002F75BE">
        <w:t>Supervisor survey results to the question ‘Is your facility a public or private facility?’ (n=60)</w:t>
      </w:r>
    </w:p>
    <w:tbl>
      <w:tblPr>
        <w:tblStyle w:val="TableGrid"/>
        <w:tblW w:w="0" w:type="auto"/>
        <w:tblLook w:val="04A0" w:firstRow="1" w:lastRow="0" w:firstColumn="1" w:lastColumn="0" w:noHBand="0" w:noVBand="1"/>
      </w:tblPr>
      <w:tblGrid>
        <w:gridCol w:w="4814"/>
        <w:gridCol w:w="4814"/>
      </w:tblGrid>
      <w:tr w:rsidR="005774F2" w14:paraId="46A6BA04"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577AFB61" w14:textId="61EF0603" w:rsidR="005774F2"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240A9FF2" w14:textId="40F630A6" w:rsidR="005774F2" w:rsidRPr="00242835" w:rsidRDefault="005774F2" w:rsidP="00242835">
            <w:r w:rsidRPr="00242835">
              <w:t>Responses</w:t>
            </w:r>
          </w:p>
        </w:tc>
      </w:tr>
      <w:tr w:rsidR="00BE0724" w14:paraId="38FB6E8A"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053B00A7" w14:textId="0DC9658E" w:rsidR="00BE0724" w:rsidRDefault="00BE0724" w:rsidP="00BE0724">
            <w:pPr>
              <w:pStyle w:val="BodyText"/>
            </w:pPr>
            <w:r w:rsidRPr="00A306DE">
              <w:rPr>
                <w:rFonts w:cs="Arial"/>
                <w:szCs w:val="20"/>
              </w:rPr>
              <w:t>Public</w:t>
            </w:r>
          </w:p>
        </w:tc>
        <w:tc>
          <w:tcPr>
            <w:tcW w:w="4814" w:type="dxa"/>
            <w:tcBorders>
              <w:bottom w:val="single" w:sz="4" w:space="0" w:color="000000"/>
            </w:tcBorders>
            <w:vAlign w:val="bottom"/>
          </w:tcPr>
          <w:p w14:paraId="4394A7F0" w14:textId="050AE28A" w:rsidR="00BE0724" w:rsidRDefault="00BE0724" w:rsidP="00BE0724">
            <w:pPr>
              <w:pStyle w:val="BodyText"/>
            </w:pPr>
            <w:r w:rsidRPr="00A306DE">
              <w:rPr>
                <w:rFonts w:cs="Arial"/>
                <w:szCs w:val="20"/>
              </w:rPr>
              <w:t>46</w:t>
            </w:r>
            <w:r w:rsidR="00D27D5D" w:rsidRPr="00A306DE">
              <w:rPr>
                <w:rFonts w:cs="Arial"/>
                <w:szCs w:val="20"/>
              </w:rPr>
              <w:t xml:space="preserve"> (77%)</w:t>
            </w:r>
          </w:p>
        </w:tc>
      </w:tr>
      <w:tr w:rsidR="00BE0724" w14:paraId="2818BB3E" w14:textId="77777777">
        <w:tc>
          <w:tcPr>
            <w:tcW w:w="4814" w:type="dxa"/>
            <w:tcBorders>
              <w:top w:val="single" w:sz="4" w:space="0" w:color="000000"/>
              <w:bottom w:val="single" w:sz="4" w:space="0" w:color="000000"/>
            </w:tcBorders>
            <w:vAlign w:val="bottom"/>
          </w:tcPr>
          <w:p w14:paraId="20CC817F" w14:textId="2E2621F1" w:rsidR="00BE0724" w:rsidRDefault="00BE0724" w:rsidP="00BE0724">
            <w:pPr>
              <w:pStyle w:val="BodyText"/>
            </w:pPr>
            <w:r w:rsidRPr="00A306DE">
              <w:rPr>
                <w:rFonts w:cs="Arial"/>
                <w:szCs w:val="20"/>
              </w:rPr>
              <w:t>Private</w:t>
            </w:r>
          </w:p>
        </w:tc>
        <w:tc>
          <w:tcPr>
            <w:tcW w:w="4814" w:type="dxa"/>
            <w:tcBorders>
              <w:top w:val="single" w:sz="4" w:space="0" w:color="000000"/>
              <w:bottom w:val="single" w:sz="4" w:space="0" w:color="000000"/>
            </w:tcBorders>
            <w:vAlign w:val="bottom"/>
          </w:tcPr>
          <w:p w14:paraId="6090A50D" w14:textId="4A968B54" w:rsidR="00BE0724" w:rsidRDefault="00BE0724" w:rsidP="00BE0724">
            <w:pPr>
              <w:pStyle w:val="BodyText"/>
            </w:pPr>
            <w:r w:rsidRPr="00A306DE">
              <w:rPr>
                <w:rFonts w:cs="Arial"/>
                <w:szCs w:val="20"/>
              </w:rPr>
              <w:t>11</w:t>
            </w:r>
            <w:r w:rsidR="00D27D5D" w:rsidRPr="00A306DE">
              <w:rPr>
                <w:rFonts w:cs="Arial"/>
                <w:szCs w:val="20"/>
              </w:rPr>
              <w:t xml:space="preserve"> (18%)</w:t>
            </w:r>
          </w:p>
        </w:tc>
      </w:tr>
      <w:tr w:rsidR="00BE0724" w14:paraId="0A33B921"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57D3F2FE" w14:textId="0D0B45ED" w:rsidR="00BE0724" w:rsidRDefault="00BE0724" w:rsidP="00BE0724">
            <w:pPr>
              <w:pStyle w:val="BodyText"/>
            </w:pPr>
            <w:r w:rsidRPr="00A306DE">
              <w:rPr>
                <w:rFonts w:cs="Arial"/>
                <w:szCs w:val="20"/>
              </w:rPr>
              <w:t>I work at both public and private facilities</w:t>
            </w:r>
          </w:p>
        </w:tc>
        <w:tc>
          <w:tcPr>
            <w:tcW w:w="4814" w:type="dxa"/>
            <w:tcBorders>
              <w:top w:val="single" w:sz="4" w:space="0" w:color="000000"/>
              <w:bottom w:val="single" w:sz="4" w:space="0" w:color="000000"/>
            </w:tcBorders>
            <w:vAlign w:val="bottom"/>
          </w:tcPr>
          <w:p w14:paraId="791DE053" w14:textId="14E8BED5" w:rsidR="00BE0724" w:rsidRDefault="00BE0724" w:rsidP="00BE0724">
            <w:pPr>
              <w:pStyle w:val="BodyText"/>
            </w:pPr>
            <w:r w:rsidRPr="00A306DE">
              <w:rPr>
                <w:rFonts w:cs="Arial"/>
                <w:szCs w:val="20"/>
              </w:rPr>
              <w:t>3</w:t>
            </w:r>
            <w:r w:rsidR="00D27D5D" w:rsidRPr="00A306DE">
              <w:rPr>
                <w:rFonts w:cs="Arial"/>
                <w:szCs w:val="20"/>
              </w:rPr>
              <w:t xml:space="preserve"> (5%)</w:t>
            </w:r>
          </w:p>
        </w:tc>
      </w:tr>
    </w:tbl>
    <w:p w14:paraId="4030A3E1" w14:textId="08F01484" w:rsidR="000A67FB" w:rsidRPr="00BB3E42" w:rsidRDefault="004D5666" w:rsidP="00281D11">
      <w:pPr>
        <w:pStyle w:val="Footer"/>
        <w:rPr>
          <w:lang w:eastAsia="en-AU"/>
        </w:rPr>
      </w:pPr>
      <w:r>
        <w:t>Source: KPMG, 2024</w:t>
      </w:r>
      <w:r w:rsidR="00DD3E39">
        <w:t>.</w:t>
      </w:r>
    </w:p>
    <w:p w14:paraId="0C70DA75" w14:textId="39109C98" w:rsidR="006C3A29" w:rsidRDefault="00AE057D" w:rsidP="006C3A29">
      <w:pPr>
        <w:pStyle w:val="Caption"/>
      </w:pPr>
      <w:r>
        <w:t xml:space="preserve">Table </w:t>
      </w:r>
      <w:r>
        <w:fldChar w:fldCharType="begin"/>
      </w:r>
      <w:r>
        <w:instrText xml:space="preserve"> SEQ Table \* ARABIC </w:instrText>
      </w:r>
      <w:r>
        <w:fldChar w:fldCharType="separate"/>
      </w:r>
      <w:r w:rsidR="005F7EBC">
        <w:rPr>
          <w:noProof/>
        </w:rPr>
        <w:t>29</w:t>
      </w:r>
      <w:r>
        <w:fldChar w:fldCharType="end"/>
      </w:r>
      <w:r>
        <w:t xml:space="preserve">: </w:t>
      </w:r>
      <w:r w:rsidRPr="003B3BC3">
        <w:t>Supervisor survey results to the question ‘How many trainees are you currently supervising?’ (n=59)</w:t>
      </w:r>
    </w:p>
    <w:tbl>
      <w:tblPr>
        <w:tblStyle w:val="TableGrid"/>
        <w:tblW w:w="0" w:type="auto"/>
        <w:tblLook w:val="04A0" w:firstRow="1" w:lastRow="0" w:firstColumn="1" w:lastColumn="0" w:noHBand="0" w:noVBand="1"/>
      </w:tblPr>
      <w:tblGrid>
        <w:gridCol w:w="4814"/>
        <w:gridCol w:w="4814"/>
      </w:tblGrid>
      <w:tr w:rsidR="006C3A29" w14:paraId="0B0AEB75"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6079752C" w14:textId="653350EB" w:rsidR="006C3A29"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2E90FB71" w14:textId="296D181F" w:rsidR="006C3A29" w:rsidRPr="00242835" w:rsidRDefault="006C3A29" w:rsidP="00242835">
            <w:r w:rsidRPr="00242835">
              <w:t>Responses</w:t>
            </w:r>
          </w:p>
        </w:tc>
      </w:tr>
      <w:tr w:rsidR="00DB0BF3" w14:paraId="7C7E3164"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3CF78CF8" w14:textId="0AE85074" w:rsidR="00DB0BF3" w:rsidRDefault="00DB0BF3" w:rsidP="00DB0BF3">
            <w:pPr>
              <w:pStyle w:val="BodyText"/>
            </w:pPr>
            <w:r w:rsidRPr="00A306DE">
              <w:rPr>
                <w:rFonts w:cs="Arial"/>
                <w:szCs w:val="20"/>
              </w:rPr>
              <w:t>0</w:t>
            </w:r>
          </w:p>
        </w:tc>
        <w:tc>
          <w:tcPr>
            <w:tcW w:w="4814" w:type="dxa"/>
            <w:tcBorders>
              <w:bottom w:val="single" w:sz="4" w:space="0" w:color="000000"/>
            </w:tcBorders>
            <w:vAlign w:val="bottom"/>
          </w:tcPr>
          <w:p w14:paraId="7FE7D909" w14:textId="3558527C" w:rsidR="00DB0BF3" w:rsidRDefault="0007391A" w:rsidP="00DB0BF3">
            <w:pPr>
              <w:pStyle w:val="BodyText"/>
            </w:pPr>
            <w:r w:rsidRPr="00A306DE">
              <w:rPr>
                <w:rFonts w:cs="Arial"/>
                <w:szCs w:val="20"/>
              </w:rPr>
              <w:t>24</w:t>
            </w:r>
            <w:r w:rsidR="00DB0BF3" w:rsidRPr="00A306DE">
              <w:rPr>
                <w:rFonts w:cs="Arial"/>
                <w:szCs w:val="20"/>
              </w:rPr>
              <w:t xml:space="preserve"> </w:t>
            </w:r>
            <w:r w:rsidR="004C4766" w:rsidRPr="00A306DE">
              <w:rPr>
                <w:rFonts w:cs="Arial"/>
                <w:szCs w:val="20"/>
              </w:rPr>
              <w:t>(4</w:t>
            </w:r>
            <w:r w:rsidRPr="00A306DE">
              <w:rPr>
                <w:rFonts w:cs="Arial"/>
                <w:szCs w:val="20"/>
              </w:rPr>
              <w:t>1%)</w:t>
            </w:r>
          </w:p>
        </w:tc>
      </w:tr>
      <w:tr w:rsidR="00DB0BF3" w14:paraId="2FDD9786" w14:textId="77777777">
        <w:tc>
          <w:tcPr>
            <w:tcW w:w="4814" w:type="dxa"/>
            <w:tcBorders>
              <w:top w:val="single" w:sz="4" w:space="0" w:color="000000"/>
              <w:bottom w:val="single" w:sz="4" w:space="0" w:color="000000"/>
            </w:tcBorders>
            <w:vAlign w:val="bottom"/>
          </w:tcPr>
          <w:p w14:paraId="1039C4BD" w14:textId="1594722D" w:rsidR="00DB0BF3" w:rsidRDefault="00DB0BF3" w:rsidP="00DB0BF3">
            <w:pPr>
              <w:pStyle w:val="BodyText"/>
            </w:pPr>
            <w:r w:rsidRPr="00A306DE">
              <w:rPr>
                <w:rFonts w:cs="Arial"/>
                <w:szCs w:val="20"/>
              </w:rPr>
              <w:t>1</w:t>
            </w:r>
          </w:p>
        </w:tc>
        <w:tc>
          <w:tcPr>
            <w:tcW w:w="4814" w:type="dxa"/>
            <w:tcBorders>
              <w:top w:val="single" w:sz="4" w:space="0" w:color="000000"/>
              <w:bottom w:val="single" w:sz="4" w:space="0" w:color="000000"/>
            </w:tcBorders>
            <w:vAlign w:val="bottom"/>
          </w:tcPr>
          <w:p w14:paraId="133D406F" w14:textId="5EE59C80" w:rsidR="00DB0BF3" w:rsidRDefault="00DB0BF3" w:rsidP="00DB0BF3">
            <w:pPr>
              <w:pStyle w:val="BodyText"/>
            </w:pPr>
            <w:r w:rsidRPr="00A306DE">
              <w:rPr>
                <w:rFonts w:cs="Arial"/>
                <w:szCs w:val="20"/>
              </w:rPr>
              <w:t>23</w:t>
            </w:r>
            <w:r w:rsidR="004C4766" w:rsidRPr="00A306DE">
              <w:rPr>
                <w:rFonts w:cs="Arial"/>
                <w:szCs w:val="20"/>
              </w:rPr>
              <w:t xml:space="preserve"> (3</w:t>
            </w:r>
            <w:r w:rsidR="00D5537C" w:rsidRPr="00A306DE">
              <w:rPr>
                <w:rFonts w:cs="Arial"/>
                <w:szCs w:val="20"/>
              </w:rPr>
              <w:t>9</w:t>
            </w:r>
            <w:r w:rsidR="004C4766" w:rsidRPr="00A306DE">
              <w:rPr>
                <w:rFonts w:cs="Arial"/>
                <w:szCs w:val="20"/>
              </w:rPr>
              <w:t>%)</w:t>
            </w:r>
          </w:p>
        </w:tc>
      </w:tr>
      <w:tr w:rsidR="00DB0BF3" w14:paraId="425B8545"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630AC82B" w14:textId="0996DCB2" w:rsidR="00DB0BF3" w:rsidRDefault="00DB0BF3" w:rsidP="00DB0BF3">
            <w:pPr>
              <w:pStyle w:val="BodyText"/>
            </w:pPr>
            <w:r w:rsidRPr="00A306DE">
              <w:rPr>
                <w:rFonts w:cs="Arial"/>
                <w:szCs w:val="20"/>
              </w:rPr>
              <w:t>2</w:t>
            </w:r>
          </w:p>
        </w:tc>
        <w:tc>
          <w:tcPr>
            <w:tcW w:w="4814" w:type="dxa"/>
            <w:tcBorders>
              <w:top w:val="single" w:sz="4" w:space="0" w:color="000000"/>
              <w:bottom w:val="single" w:sz="4" w:space="0" w:color="000000"/>
            </w:tcBorders>
            <w:vAlign w:val="bottom"/>
          </w:tcPr>
          <w:p w14:paraId="2FAE0751" w14:textId="79CDE5E6" w:rsidR="00DB0BF3" w:rsidRDefault="00DB0BF3" w:rsidP="00DB0BF3">
            <w:pPr>
              <w:pStyle w:val="BodyText"/>
            </w:pPr>
            <w:r w:rsidRPr="00A306DE">
              <w:rPr>
                <w:rFonts w:cs="Arial"/>
                <w:szCs w:val="20"/>
              </w:rPr>
              <w:t>6</w:t>
            </w:r>
            <w:r w:rsidR="004C4766" w:rsidRPr="00A306DE">
              <w:rPr>
                <w:rFonts w:cs="Arial"/>
                <w:szCs w:val="20"/>
              </w:rPr>
              <w:t xml:space="preserve"> (</w:t>
            </w:r>
            <w:r w:rsidR="00D5537C" w:rsidRPr="00A306DE">
              <w:rPr>
                <w:rFonts w:cs="Arial"/>
                <w:szCs w:val="20"/>
              </w:rPr>
              <w:t>10</w:t>
            </w:r>
            <w:r w:rsidR="004C4766" w:rsidRPr="00A306DE">
              <w:rPr>
                <w:rFonts w:cs="Arial"/>
                <w:szCs w:val="20"/>
              </w:rPr>
              <w:t>%)</w:t>
            </w:r>
          </w:p>
        </w:tc>
      </w:tr>
      <w:tr w:rsidR="00DB0BF3" w14:paraId="43C979E9" w14:textId="77777777">
        <w:tc>
          <w:tcPr>
            <w:tcW w:w="4814" w:type="dxa"/>
            <w:tcBorders>
              <w:top w:val="single" w:sz="4" w:space="0" w:color="000000"/>
              <w:bottom w:val="single" w:sz="4" w:space="0" w:color="000000"/>
            </w:tcBorders>
            <w:vAlign w:val="bottom"/>
          </w:tcPr>
          <w:p w14:paraId="612433EF" w14:textId="614611F9" w:rsidR="00DB0BF3" w:rsidRPr="00A306DE" w:rsidRDefault="00DB0BF3" w:rsidP="00DB0BF3">
            <w:pPr>
              <w:pStyle w:val="BodyText"/>
              <w:rPr>
                <w:rFonts w:cs="Arial"/>
                <w:szCs w:val="20"/>
              </w:rPr>
            </w:pPr>
            <w:r w:rsidRPr="00A306DE">
              <w:rPr>
                <w:rFonts w:cs="Arial"/>
                <w:szCs w:val="20"/>
              </w:rPr>
              <w:t>3</w:t>
            </w:r>
          </w:p>
        </w:tc>
        <w:tc>
          <w:tcPr>
            <w:tcW w:w="4814" w:type="dxa"/>
            <w:tcBorders>
              <w:top w:val="single" w:sz="4" w:space="0" w:color="000000"/>
              <w:bottom w:val="single" w:sz="4" w:space="0" w:color="000000"/>
            </w:tcBorders>
            <w:vAlign w:val="bottom"/>
          </w:tcPr>
          <w:p w14:paraId="44E94359" w14:textId="04CC433F" w:rsidR="00DB0BF3" w:rsidRPr="00A306DE" w:rsidRDefault="00DB0BF3" w:rsidP="00DB0BF3">
            <w:pPr>
              <w:pStyle w:val="BodyText"/>
              <w:rPr>
                <w:rFonts w:cs="Arial"/>
                <w:szCs w:val="20"/>
              </w:rPr>
            </w:pPr>
            <w:r w:rsidRPr="00A306DE">
              <w:rPr>
                <w:rFonts w:cs="Arial"/>
                <w:szCs w:val="20"/>
              </w:rPr>
              <w:t>3</w:t>
            </w:r>
            <w:r w:rsidR="004C4766" w:rsidRPr="00A306DE">
              <w:rPr>
                <w:rFonts w:cs="Arial"/>
                <w:szCs w:val="20"/>
              </w:rPr>
              <w:t xml:space="preserve"> (</w:t>
            </w:r>
            <w:r w:rsidR="00D5537C" w:rsidRPr="00A306DE">
              <w:rPr>
                <w:rFonts w:cs="Arial"/>
                <w:szCs w:val="20"/>
              </w:rPr>
              <w:t>5</w:t>
            </w:r>
            <w:r w:rsidR="004C4766" w:rsidRPr="00A306DE">
              <w:rPr>
                <w:rFonts w:cs="Arial"/>
                <w:szCs w:val="20"/>
              </w:rPr>
              <w:t>%)</w:t>
            </w:r>
          </w:p>
        </w:tc>
      </w:tr>
      <w:tr w:rsidR="00DB0BF3" w14:paraId="1B66264D"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4C37CB92" w14:textId="3B56CB2A" w:rsidR="00DB0BF3" w:rsidRPr="00A306DE" w:rsidRDefault="00DB0BF3" w:rsidP="00DB0BF3">
            <w:pPr>
              <w:pStyle w:val="BodyText"/>
              <w:rPr>
                <w:rFonts w:cs="Arial"/>
                <w:szCs w:val="20"/>
              </w:rPr>
            </w:pPr>
            <w:r w:rsidRPr="00A306DE">
              <w:rPr>
                <w:rFonts w:cs="Arial"/>
                <w:szCs w:val="20"/>
              </w:rPr>
              <w:t>4</w:t>
            </w:r>
          </w:p>
        </w:tc>
        <w:tc>
          <w:tcPr>
            <w:tcW w:w="4814" w:type="dxa"/>
            <w:tcBorders>
              <w:top w:val="single" w:sz="4" w:space="0" w:color="000000"/>
              <w:bottom w:val="single" w:sz="4" w:space="0" w:color="000000"/>
            </w:tcBorders>
            <w:vAlign w:val="bottom"/>
          </w:tcPr>
          <w:p w14:paraId="1389754F" w14:textId="00FD12AE" w:rsidR="00DB0BF3" w:rsidRPr="00A306DE" w:rsidRDefault="00DB0BF3" w:rsidP="00DB0BF3">
            <w:pPr>
              <w:pStyle w:val="BodyText"/>
              <w:rPr>
                <w:rFonts w:cs="Arial"/>
                <w:szCs w:val="20"/>
              </w:rPr>
            </w:pPr>
            <w:r w:rsidRPr="00A306DE">
              <w:rPr>
                <w:rFonts w:cs="Arial"/>
                <w:szCs w:val="20"/>
              </w:rPr>
              <w:t>2</w:t>
            </w:r>
            <w:r w:rsidR="004C4766" w:rsidRPr="00A306DE">
              <w:rPr>
                <w:rFonts w:cs="Arial"/>
                <w:szCs w:val="20"/>
              </w:rPr>
              <w:t xml:space="preserve"> (3%)</w:t>
            </w:r>
          </w:p>
        </w:tc>
      </w:tr>
      <w:tr w:rsidR="00181849" w14:paraId="5ECC0F97" w14:textId="77777777">
        <w:tc>
          <w:tcPr>
            <w:tcW w:w="4814" w:type="dxa"/>
            <w:tcBorders>
              <w:top w:val="single" w:sz="4" w:space="0" w:color="000000"/>
              <w:bottom w:val="single" w:sz="4" w:space="0" w:color="000000"/>
            </w:tcBorders>
            <w:vAlign w:val="bottom"/>
          </w:tcPr>
          <w:p w14:paraId="053D72F6" w14:textId="025D4CBC" w:rsidR="00181849" w:rsidRPr="00A306DE" w:rsidRDefault="00181849" w:rsidP="00DB0BF3">
            <w:pPr>
              <w:pStyle w:val="BodyText"/>
              <w:rPr>
                <w:rFonts w:cs="Arial"/>
                <w:szCs w:val="20"/>
              </w:rPr>
            </w:pPr>
            <w:r w:rsidRPr="00A306DE">
              <w:rPr>
                <w:rFonts w:cs="Arial"/>
                <w:szCs w:val="20"/>
              </w:rPr>
              <w:t>13</w:t>
            </w:r>
          </w:p>
        </w:tc>
        <w:tc>
          <w:tcPr>
            <w:tcW w:w="4814" w:type="dxa"/>
            <w:tcBorders>
              <w:top w:val="single" w:sz="4" w:space="0" w:color="000000"/>
              <w:bottom w:val="single" w:sz="4" w:space="0" w:color="000000"/>
            </w:tcBorders>
            <w:vAlign w:val="bottom"/>
          </w:tcPr>
          <w:p w14:paraId="216FF30D" w14:textId="4C049D0F" w:rsidR="00181849" w:rsidRPr="00A306DE" w:rsidRDefault="00DC6C79" w:rsidP="00DB0BF3">
            <w:pPr>
              <w:pStyle w:val="BodyText"/>
              <w:rPr>
                <w:rFonts w:cs="Arial"/>
                <w:szCs w:val="20"/>
              </w:rPr>
            </w:pPr>
            <w:r w:rsidRPr="00A306DE">
              <w:rPr>
                <w:rFonts w:cs="Arial"/>
                <w:szCs w:val="20"/>
              </w:rPr>
              <w:t>1 (</w:t>
            </w:r>
            <w:r w:rsidR="00D5537C" w:rsidRPr="00A306DE">
              <w:rPr>
                <w:rFonts w:cs="Arial"/>
                <w:szCs w:val="20"/>
              </w:rPr>
              <w:t>2</w:t>
            </w:r>
            <w:r w:rsidRPr="00A306DE">
              <w:rPr>
                <w:rFonts w:cs="Arial"/>
                <w:szCs w:val="20"/>
              </w:rPr>
              <w:t>%)</w:t>
            </w:r>
          </w:p>
        </w:tc>
      </w:tr>
    </w:tbl>
    <w:p w14:paraId="72CF0E9F" w14:textId="7D4FB157" w:rsidR="006C3A29" w:rsidRPr="00BB3E42" w:rsidRDefault="000A67FB" w:rsidP="00281D11">
      <w:pPr>
        <w:pStyle w:val="Footer"/>
        <w:rPr>
          <w:lang w:eastAsia="en-AU"/>
        </w:rPr>
      </w:pPr>
      <w:r>
        <w:t>Source: KPMG, 2024</w:t>
      </w:r>
      <w:r w:rsidR="00DD3E39">
        <w:t>.</w:t>
      </w:r>
    </w:p>
    <w:p w14:paraId="7C74EB08" w14:textId="04E54ECC" w:rsidR="00347127" w:rsidRDefault="00AE057D" w:rsidP="00347127">
      <w:pPr>
        <w:pStyle w:val="Caption"/>
      </w:pPr>
      <w:r>
        <w:t xml:space="preserve">Table </w:t>
      </w:r>
      <w:r>
        <w:fldChar w:fldCharType="begin"/>
      </w:r>
      <w:r>
        <w:instrText xml:space="preserve"> SEQ Table \* ARABIC </w:instrText>
      </w:r>
      <w:r>
        <w:fldChar w:fldCharType="separate"/>
      </w:r>
      <w:r w:rsidR="005F7EBC">
        <w:rPr>
          <w:noProof/>
        </w:rPr>
        <w:t>30</w:t>
      </w:r>
      <w:r>
        <w:fldChar w:fldCharType="end"/>
      </w:r>
      <w:r>
        <w:t xml:space="preserve">: </w:t>
      </w:r>
      <w:r w:rsidRPr="005A1FE2">
        <w:t>Supervisor survey results to the question ‘How many trainees have you previously supervised?’ (n=60)</w:t>
      </w:r>
    </w:p>
    <w:tbl>
      <w:tblPr>
        <w:tblStyle w:val="TableGrid"/>
        <w:tblW w:w="0" w:type="auto"/>
        <w:tblLook w:val="04A0" w:firstRow="1" w:lastRow="0" w:firstColumn="1" w:lastColumn="0" w:noHBand="0" w:noVBand="1"/>
      </w:tblPr>
      <w:tblGrid>
        <w:gridCol w:w="4814"/>
        <w:gridCol w:w="4814"/>
      </w:tblGrid>
      <w:tr w:rsidR="00347127" w14:paraId="132FC2CA"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2C698B37" w14:textId="692A2E35" w:rsidR="00347127"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680E99D1" w14:textId="132CE0DB" w:rsidR="00347127" w:rsidRPr="00242835" w:rsidRDefault="00347127" w:rsidP="00242835">
            <w:r w:rsidRPr="00242835">
              <w:t>Responses</w:t>
            </w:r>
          </w:p>
        </w:tc>
      </w:tr>
      <w:tr w:rsidR="00EC6931" w14:paraId="6F4D94E7"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2A508D63" w14:textId="52E9D223" w:rsidR="00EC6931" w:rsidRDefault="00EC6931" w:rsidP="00EC6931">
            <w:pPr>
              <w:pStyle w:val="BodyText"/>
            </w:pPr>
            <w:r w:rsidRPr="00A306DE">
              <w:rPr>
                <w:rFonts w:cs="Arial"/>
                <w:szCs w:val="20"/>
              </w:rPr>
              <w:t>0</w:t>
            </w:r>
          </w:p>
        </w:tc>
        <w:tc>
          <w:tcPr>
            <w:tcW w:w="4814" w:type="dxa"/>
            <w:tcBorders>
              <w:bottom w:val="single" w:sz="4" w:space="0" w:color="000000"/>
            </w:tcBorders>
            <w:vAlign w:val="bottom"/>
          </w:tcPr>
          <w:p w14:paraId="6F4CC5CF" w14:textId="09A09D9C" w:rsidR="00EC6931" w:rsidRDefault="00133671" w:rsidP="00EC6931">
            <w:pPr>
              <w:pStyle w:val="BodyText"/>
            </w:pPr>
            <w:r>
              <w:t>8</w:t>
            </w:r>
            <w:r w:rsidR="0087144D">
              <w:t xml:space="preserve"> (15%)</w:t>
            </w:r>
          </w:p>
        </w:tc>
      </w:tr>
      <w:tr w:rsidR="00EC6931" w14:paraId="1769A952" w14:textId="77777777">
        <w:tc>
          <w:tcPr>
            <w:tcW w:w="4814" w:type="dxa"/>
            <w:tcBorders>
              <w:top w:val="single" w:sz="4" w:space="0" w:color="000000"/>
              <w:bottom w:val="single" w:sz="4" w:space="0" w:color="000000"/>
            </w:tcBorders>
            <w:vAlign w:val="bottom"/>
          </w:tcPr>
          <w:p w14:paraId="0E5641C1" w14:textId="15A922A9" w:rsidR="00EC6931" w:rsidRDefault="00EC6931" w:rsidP="00EC6931">
            <w:pPr>
              <w:pStyle w:val="BodyText"/>
            </w:pPr>
            <w:r w:rsidRPr="00A306DE">
              <w:rPr>
                <w:rFonts w:cs="Arial"/>
                <w:szCs w:val="20"/>
              </w:rPr>
              <w:t>1</w:t>
            </w:r>
          </w:p>
        </w:tc>
        <w:tc>
          <w:tcPr>
            <w:tcW w:w="4814" w:type="dxa"/>
            <w:tcBorders>
              <w:top w:val="single" w:sz="4" w:space="0" w:color="000000"/>
              <w:bottom w:val="single" w:sz="4" w:space="0" w:color="000000"/>
            </w:tcBorders>
            <w:vAlign w:val="bottom"/>
          </w:tcPr>
          <w:p w14:paraId="1E2548E1" w14:textId="1769FF0C" w:rsidR="00EC6931" w:rsidRDefault="00EC6931" w:rsidP="00EC6931">
            <w:pPr>
              <w:pStyle w:val="BodyText"/>
            </w:pPr>
            <w:r w:rsidRPr="00A306DE">
              <w:rPr>
                <w:rFonts w:cs="Arial"/>
                <w:szCs w:val="20"/>
              </w:rPr>
              <w:t>11</w:t>
            </w:r>
            <w:r w:rsidR="0087144D" w:rsidRPr="00A306DE">
              <w:rPr>
                <w:rFonts w:cs="Arial"/>
                <w:szCs w:val="20"/>
              </w:rPr>
              <w:t xml:space="preserve"> (18%)</w:t>
            </w:r>
          </w:p>
        </w:tc>
      </w:tr>
      <w:tr w:rsidR="00EC6931" w14:paraId="7D857F7D"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4B917080" w14:textId="6D38BADE" w:rsidR="00EC6931" w:rsidRDefault="00EC6931" w:rsidP="00EC6931">
            <w:pPr>
              <w:pStyle w:val="BodyText"/>
            </w:pPr>
            <w:r w:rsidRPr="00A306DE">
              <w:rPr>
                <w:rFonts w:cs="Arial"/>
                <w:szCs w:val="20"/>
              </w:rPr>
              <w:t>2</w:t>
            </w:r>
          </w:p>
        </w:tc>
        <w:tc>
          <w:tcPr>
            <w:tcW w:w="4814" w:type="dxa"/>
            <w:tcBorders>
              <w:top w:val="single" w:sz="4" w:space="0" w:color="000000"/>
              <w:bottom w:val="single" w:sz="4" w:space="0" w:color="000000"/>
            </w:tcBorders>
            <w:vAlign w:val="bottom"/>
          </w:tcPr>
          <w:p w14:paraId="2595C3CE" w14:textId="3F5FC85E" w:rsidR="00EC6931" w:rsidRDefault="00EC6931" w:rsidP="00EC6931">
            <w:pPr>
              <w:pStyle w:val="BodyText"/>
            </w:pPr>
            <w:r w:rsidRPr="00A306DE">
              <w:rPr>
                <w:rFonts w:cs="Arial"/>
                <w:szCs w:val="20"/>
              </w:rPr>
              <w:t>15</w:t>
            </w:r>
            <w:r w:rsidR="0087144D" w:rsidRPr="00A306DE">
              <w:rPr>
                <w:rFonts w:cs="Arial"/>
                <w:szCs w:val="20"/>
              </w:rPr>
              <w:t xml:space="preserve"> (25%)</w:t>
            </w:r>
          </w:p>
        </w:tc>
      </w:tr>
      <w:tr w:rsidR="00EC6931" w14:paraId="614145EC" w14:textId="77777777">
        <w:tc>
          <w:tcPr>
            <w:tcW w:w="4814" w:type="dxa"/>
            <w:tcBorders>
              <w:top w:val="single" w:sz="4" w:space="0" w:color="000000"/>
              <w:bottom w:val="single" w:sz="4" w:space="0" w:color="000000"/>
            </w:tcBorders>
            <w:vAlign w:val="bottom"/>
          </w:tcPr>
          <w:p w14:paraId="0578CD75" w14:textId="53CFE39E" w:rsidR="00EC6931" w:rsidRPr="00A306DE" w:rsidRDefault="00EC6931" w:rsidP="00EC6931">
            <w:pPr>
              <w:pStyle w:val="BodyText"/>
              <w:rPr>
                <w:rFonts w:cs="Arial"/>
                <w:szCs w:val="20"/>
              </w:rPr>
            </w:pPr>
            <w:r w:rsidRPr="00A306DE">
              <w:rPr>
                <w:rFonts w:cs="Arial"/>
                <w:szCs w:val="20"/>
              </w:rPr>
              <w:t>3</w:t>
            </w:r>
          </w:p>
        </w:tc>
        <w:tc>
          <w:tcPr>
            <w:tcW w:w="4814" w:type="dxa"/>
            <w:tcBorders>
              <w:top w:val="single" w:sz="4" w:space="0" w:color="000000"/>
              <w:bottom w:val="single" w:sz="4" w:space="0" w:color="000000"/>
            </w:tcBorders>
            <w:vAlign w:val="bottom"/>
          </w:tcPr>
          <w:p w14:paraId="066EBC7A" w14:textId="5540CFEB" w:rsidR="00EC6931" w:rsidRPr="00A306DE" w:rsidRDefault="00EC6931" w:rsidP="00EC6931">
            <w:pPr>
              <w:pStyle w:val="BodyText"/>
              <w:rPr>
                <w:rFonts w:cs="Arial"/>
                <w:szCs w:val="20"/>
              </w:rPr>
            </w:pPr>
            <w:r w:rsidRPr="00A306DE">
              <w:rPr>
                <w:rFonts w:cs="Arial"/>
                <w:szCs w:val="20"/>
              </w:rPr>
              <w:t>6</w:t>
            </w:r>
            <w:r w:rsidR="0087144D" w:rsidRPr="00A306DE">
              <w:rPr>
                <w:rFonts w:cs="Arial"/>
                <w:szCs w:val="20"/>
              </w:rPr>
              <w:t xml:space="preserve"> (10%)</w:t>
            </w:r>
          </w:p>
        </w:tc>
      </w:tr>
      <w:tr w:rsidR="00EC6931" w14:paraId="273B2D84"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20245204" w14:textId="64662D7B" w:rsidR="00EC6931" w:rsidRPr="00A306DE" w:rsidRDefault="00EC6931" w:rsidP="00EC6931">
            <w:pPr>
              <w:pStyle w:val="BodyText"/>
              <w:rPr>
                <w:rFonts w:cs="Arial"/>
                <w:szCs w:val="20"/>
              </w:rPr>
            </w:pPr>
            <w:r w:rsidRPr="00A306DE">
              <w:rPr>
                <w:rFonts w:cs="Arial"/>
                <w:szCs w:val="20"/>
              </w:rPr>
              <w:t>4</w:t>
            </w:r>
          </w:p>
        </w:tc>
        <w:tc>
          <w:tcPr>
            <w:tcW w:w="4814" w:type="dxa"/>
            <w:tcBorders>
              <w:top w:val="single" w:sz="4" w:space="0" w:color="000000"/>
              <w:bottom w:val="single" w:sz="4" w:space="0" w:color="000000"/>
            </w:tcBorders>
            <w:vAlign w:val="bottom"/>
          </w:tcPr>
          <w:p w14:paraId="2C6B30C8" w14:textId="77D4DE7B" w:rsidR="00EC6931" w:rsidRPr="00A306DE" w:rsidRDefault="00EC6931" w:rsidP="00EC6931">
            <w:pPr>
              <w:pStyle w:val="BodyText"/>
              <w:rPr>
                <w:rFonts w:cs="Arial"/>
                <w:szCs w:val="20"/>
              </w:rPr>
            </w:pPr>
            <w:r w:rsidRPr="00A306DE">
              <w:rPr>
                <w:rFonts w:cs="Arial"/>
                <w:szCs w:val="20"/>
              </w:rPr>
              <w:t>5</w:t>
            </w:r>
            <w:r w:rsidR="0087144D" w:rsidRPr="00A306DE">
              <w:rPr>
                <w:rFonts w:cs="Arial"/>
                <w:szCs w:val="20"/>
              </w:rPr>
              <w:t xml:space="preserve"> (8%)</w:t>
            </w:r>
          </w:p>
        </w:tc>
      </w:tr>
      <w:tr w:rsidR="00EC6931" w14:paraId="0D7E074F" w14:textId="77777777">
        <w:tc>
          <w:tcPr>
            <w:tcW w:w="4814" w:type="dxa"/>
            <w:tcBorders>
              <w:top w:val="single" w:sz="4" w:space="0" w:color="000000"/>
              <w:bottom w:val="single" w:sz="4" w:space="0" w:color="000000"/>
            </w:tcBorders>
            <w:vAlign w:val="bottom"/>
          </w:tcPr>
          <w:p w14:paraId="244DF806" w14:textId="12BFBA43" w:rsidR="00EC6931" w:rsidRPr="00A306DE" w:rsidRDefault="00EC6931" w:rsidP="00EC6931">
            <w:pPr>
              <w:pStyle w:val="BodyText"/>
              <w:rPr>
                <w:rFonts w:cs="Arial"/>
                <w:szCs w:val="20"/>
              </w:rPr>
            </w:pPr>
            <w:r w:rsidRPr="00A306DE">
              <w:rPr>
                <w:rFonts w:cs="Arial"/>
                <w:szCs w:val="20"/>
              </w:rPr>
              <w:t>5</w:t>
            </w:r>
          </w:p>
        </w:tc>
        <w:tc>
          <w:tcPr>
            <w:tcW w:w="4814" w:type="dxa"/>
            <w:tcBorders>
              <w:top w:val="single" w:sz="4" w:space="0" w:color="000000"/>
              <w:bottom w:val="single" w:sz="4" w:space="0" w:color="000000"/>
            </w:tcBorders>
            <w:vAlign w:val="bottom"/>
          </w:tcPr>
          <w:p w14:paraId="5E30B434" w14:textId="63F76DFA" w:rsidR="00EC6931" w:rsidRPr="00A306DE" w:rsidRDefault="00EC6931" w:rsidP="00EC6931">
            <w:pPr>
              <w:pStyle w:val="BodyText"/>
              <w:rPr>
                <w:rFonts w:cs="Arial"/>
                <w:szCs w:val="20"/>
              </w:rPr>
            </w:pPr>
            <w:r w:rsidRPr="00A306DE">
              <w:rPr>
                <w:rFonts w:cs="Arial"/>
                <w:szCs w:val="20"/>
              </w:rPr>
              <w:t>1</w:t>
            </w:r>
            <w:r w:rsidR="0087144D" w:rsidRPr="00A306DE">
              <w:rPr>
                <w:rFonts w:cs="Arial"/>
                <w:szCs w:val="20"/>
              </w:rPr>
              <w:t xml:space="preserve"> (2%)</w:t>
            </w:r>
          </w:p>
        </w:tc>
      </w:tr>
      <w:tr w:rsidR="00EC6931" w14:paraId="1111F658"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4300DCAB" w14:textId="405BB498" w:rsidR="00EC6931" w:rsidRPr="00A306DE" w:rsidRDefault="00EC6931" w:rsidP="00EC6931">
            <w:pPr>
              <w:pStyle w:val="BodyText"/>
              <w:rPr>
                <w:rFonts w:cs="Arial"/>
                <w:szCs w:val="20"/>
              </w:rPr>
            </w:pPr>
            <w:r w:rsidRPr="00A306DE">
              <w:rPr>
                <w:rFonts w:cs="Arial"/>
                <w:szCs w:val="20"/>
              </w:rPr>
              <w:t>6</w:t>
            </w:r>
          </w:p>
        </w:tc>
        <w:tc>
          <w:tcPr>
            <w:tcW w:w="4814" w:type="dxa"/>
            <w:tcBorders>
              <w:top w:val="single" w:sz="4" w:space="0" w:color="000000"/>
              <w:bottom w:val="single" w:sz="4" w:space="0" w:color="000000"/>
            </w:tcBorders>
            <w:vAlign w:val="bottom"/>
          </w:tcPr>
          <w:p w14:paraId="131E6B95" w14:textId="19CB1A61" w:rsidR="00EC6931" w:rsidRPr="00A306DE" w:rsidRDefault="00EC6931" w:rsidP="00EC6931">
            <w:pPr>
              <w:pStyle w:val="BodyText"/>
              <w:rPr>
                <w:rFonts w:cs="Arial"/>
                <w:szCs w:val="20"/>
              </w:rPr>
            </w:pPr>
            <w:r w:rsidRPr="00A306DE">
              <w:rPr>
                <w:rFonts w:cs="Arial"/>
                <w:szCs w:val="20"/>
              </w:rPr>
              <w:t>2</w:t>
            </w:r>
            <w:r w:rsidR="0087144D" w:rsidRPr="00A306DE">
              <w:rPr>
                <w:rFonts w:cs="Arial"/>
                <w:szCs w:val="20"/>
              </w:rPr>
              <w:t xml:space="preserve"> (3%)</w:t>
            </w:r>
          </w:p>
        </w:tc>
      </w:tr>
      <w:tr w:rsidR="00EC6931" w14:paraId="3ACE729E" w14:textId="77777777">
        <w:tc>
          <w:tcPr>
            <w:tcW w:w="4814" w:type="dxa"/>
            <w:tcBorders>
              <w:top w:val="single" w:sz="4" w:space="0" w:color="000000"/>
              <w:bottom w:val="single" w:sz="4" w:space="0" w:color="000000"/>
            </w:tcBorders>
            <w:vAlign w:val="bottom"/>
          </w:tcPr>
          <w:p w14:paraId="320A9F49" w14:textId="4982D9D8" w:rsidR="00EC6931" w:rsidRPr="00A306DE" w:rsidRDefault="00EC6931" w:rsidP="00EC6931">
            <w:pPr>
              <w:pStyle w:val="BodyText"/>
              <w:rPr>
                <w:rFonts w:cs="Arial"/>
                <w:szCs w:val="20"/>
              </w:rPr>
            </w:pPr>
            <w:r w:rsidRPr="00A306DE">
              <w:rPr>
                <w:rFonts w:cs="Arial"/>
                <w:szCs w:val="20"/>
              </w:rPr>
              <w:t>7</w:t>
            </w:r>
          </w:p>
        </w:tc>
        <w:tc>
          <w:tcPr>
            <w:tcW w:w="4814" w:type="dxa"/>
            <w:tcBorders>
              <w:top w:val="single" w:sz="4" w:space="0" w:color="000000"/>
              <w:bottom w:val="single" w:sz="4" w:space="0" w:color="000000"/>
            </w:tcBorders>
            <w:vAlign w:val="bottom"/>
          </w:tcPr>
          <w:p w14:paraId="5C8D7BAD" w14:textId="676EEE24" w:rsidR="00EC6931" w:rsidRPr="00A306DE" w:rsidRDefault="00EC6931" w:rsidP="00EC6931">
            <w:pPr>
              <w:pStyle w:val="BodyText"/>
              <w:rPr>
                <w:rFonts w:cs="Arial"/>
                <w:szCs w:val="20"/>
              </w:rPr>
            </w:pPr>
            <w:r w:rsidRPr="00A306DE">
              <w:rPr>
                <w:rFonts w:cs="Arial"/>
                <w:szCs w:val="20"/>
              </w:rPr>
              <w:t>5</w:t>
            </w:r>
            <w:r w:rsidR="0087144D" w:rsidRPr="00A306DE">
              <w:rPr>
                <w:rFonts w:cs="Arial"/>
                <w:szCs w:val="20"/>
              </w:rPr>
              <w:t xml:space="preserve"> (8%)</w:t>
            </w:r>
          </w:p>
        </w:tc>
      </w:tr>
      <w:tr w:rsidR="00EC6931" w14:paraId="022B71C9"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00FE2FBA" w14:textId="6A6E19DE" w:rsidR="00EC6931" w:rsidRPr="00A306DE" w:rsidRDefault="00EC6931" w:rsidP="00EC6931">
            <w:pPr>
              <w:pStyle w:val="BodyText"/>
              <w:rPr>
                <w:rFonts w:cs="Arial"/>
                <w:szCs w:val="20"/>
              </w:rPr>
            </w:pPr>
            <w:r w:rsidRPr="00A306DE">
              <w:rPr>
                <w:rFonts w:cs="Arial"/>
                <w:szCs w:val="20"/>
              </w:rPr>
              <w:t>8</w:t>
            </w:r>
          </w:p>
        </w:tc>
        <w:tc>
          <w:tcPr>
            <w:tcW w:w="4814" w:type="dxa"/>
            <w:tcBorders>
              <w:top w:val="single" w:sz="4" w:space="0" w:color="000000"/>
              <w:bottom w:val="single" w:sz="4" w:space="0" w:color="000000"/>
            </w:tcBorders>
            <w:vAlign w:val="bottom"/>
          </w:tcPr>
          <w:p w14:paraId="3279B542" w14:textId="42E2B0F2" w:rsidR="00EC6931" w:rsidRPr="00A306DE" w:rsidRDefault="00EC6931" w:rsidP="00EC6931">
            <w:pPr>
              <w:pStyle w:val="BodyText"/>
              <w:rPr>
                <w:rFonts w:cs="Arial"/>
                <w:szCs w:val="20"/>
              </w:rPr>
            </w:pPr>
            <w:r w:rsidRPr="00A306DE">
              <w:rPr>
                <w:rFonts w:cs="Arial"/>
                <w:szCs w:val="20"/>
              </w:rPr>
              <w:t>1</w:t>
            </w:r>
            <w:r w:rsidR="0087144D" w:rsidRPr="00A306DE">
              <w:rPr>
                <w:rFonts w:cs="Arial"/>
                <w:szCs w:val="20"/>
              </w:rPr>
              <w:t xml:space="preserve"> (2%)</w:t>
            </w:r>
          </w:p>
        </w:tc>
      </w:tr>
      <w:tr w:rsidR="00EC6931" w14:paraId="5F0D4966" w14:textId="77777777">
        <w:tc>
          <w:tcPr>
            <w:tcW w:w="4814" w:type="dxa"/>
            <w:tcBorders>
              <w:top w:val="single" w:sz="4" w:space="0" w:color="000000"/>
              <w:bottom w:val="single" w:sz="4" w:space="0" w:color="000000"/>
            </w:tcBorders>
            <w:vAlign w:val="bottom"/>
          </w:tcPr>
          <w:p w14:paraId="0FB70F96" w14:textId="579661E7" w:rsidR="00EC6931" w:rsidRPr="00A306DE" w:rsidRDefault="00EC6931" w:rsidP="00EC6931">
            <w:pPr>
              <w:pStyle w:val="BodyText"/>
              <w:rPr>
                <w:rFonts w:cs="Arial"/>
                <w:szCs w:val="20"/>
              </w:rPr>
            </w:pPr>
            <w:r w:rsidRPr="00A306DE">
              <w:rPr>
                <w:rFonts w:cs="Arial"/>
                <w:szCs w:val="20"/>
              </w:rPr>
              <w:t>9</w:t>
            </w:r>
          </w:p>
        </w:tc>
        <w:tc>
          <w:tcPr>
            <w:tcW w:w="4814" w:type="dxa"/>
            <w:tcBorders>
              <w:top w:val="single" w:sz="4" w:space="0" w:color="000000"/>
              <w:bottom w:val="single" w:sz="4" w:space="0" w:color="000000"/>
            </w:tcBorders>
            <w:vAlign w:val="bottom"/>
          </w:tcPr>
          <w:p w14:paraId="7CDDAB9B" w14:textId="233576AF" w:rsidR="00EC6931" w:rsidRPr="00A306DE" w:rsidRDefault="00EC6931" w:rsidP="00EC6931">
            <w:pPr>
              <w:pStyle w:val="BodyText"/>
              <w:rPr>
                <w:rFonts w:cs="Arial"/>
                <w:szCs w:val="20"/>
              </w:rPr>
            </w:pPr>
            <w:r w:rsidRPr="00A306DE">
              <w:rPr>
                <w:rFonts w:cs="Arial"/>
                <w:szCs w:val="20"/>
              </w:rPr>
              <w:t>1</w:t>
            </w:r>
            <w:r w:rsidR="0087144D" w:rsidRPr="00A306DE">
              <w:rPr>
                <w:rFonts w:cs="Arial"/>
                <w:szCs w:val="20"/>
              </w:rPr>
              <w:t xml:space="preserve"> (2%)</w:t>
            </w:r>
          </w:p>
        </w:tc>
      </w:tr>
      <w:tr w:rsidR="00EC6931" w14:paraId="769BD665"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453FF790" w14:textId="328773B7" w:rsidR="00EC6931" w:rsidRPr="00A306DE" w:rsidRDefault="00EC6931" w:rsidP="00EC6931">
            <w:pPr>
              <w:pStyle w:val="BodyText"/>
              <w:rPr>
                <w:rFonts w:cs="Arial"/>
                <w:szCs w:val="20"/>
              </w:rPr>
            </w:pPr>
            <w:r w:rsidRPr="00A306DE">
              <w:rPr>
                <w:rFonts w:cs="Arial"/>
                <w:szCs w:val="20"/>
              </w:rPr>
              <w:t>10</w:t>
            </w:r>
          </w:p>
        </w:tc>
        <w:tc>
          <w:tcPr>
            <w:tcW w:w="4814" w:type="dxa"/>
            <w:tcBorders>
              <w:top w:val="single" w:sz="4" w:space="0" w:color="000000"/>
              <w:bottom w:val="single" w:sz="4" w:space="0" w:color="000000"/>
            </w:tcBorders>
            <w:vAlign w:val="bottom"/>
          </w:tcPr>
          <w:p w14:paraId="42093750" w14:textId="1C2B7089" w:rsidR="00EC6931" w:rsidRPr="00A306DE" w:rsidRDefault="00EC6931" w:rsidP="00EC6931">
            <w:pPr>
              <w:pStyle w:val="BodyText"/>
              <w:rPr>
                <w:rFonts w:cs="Arial"/>
                <w:szCs w:val="20"/>
              </w:rPr>
            </w:pPr>
            <w:r w:rsidRPr="00A306DE">
              <w:rPr>
                <w:rFonts w:cs="Arial"/>
                <w:szCs w:val="20"/>
              </w:rPr>
              <w:t>2</w:t>
            </w:r>
            <w:r w:rsidR="0087144D" w:rsidRPr="00A306DE">
              <w:rPr>
                <w:rFonts w:cs="Arial"/>
                <w:szCs w:val="20"/>
              </w:rPr>
              <w:t xml:space="preserve"> (3%)</w:t>
            </w:r>
          </w:p>
        </w:tc>
      </w:tr>
      <w:tr w:rsidR="00EC6931" w14:paraId="6A5AFA77" w14:textId="77777777">
        <w:tc>
          <w:tcPr>
            <w:tcW w:w="4814" w:type="dxa"/>
            <w:tcBorders>
              <w:top w:val="single" w:sz="4" w:space="0" w:color="000000"/>
              <w:bottom w:val="single" w:sz="4" w:space="0" w:color="000000"/>
            </w:tcBorders>
            <w:vAlign w:val="bottom"/>
          </w:tcPr>
          <w:p w14:paraId="7E825904" w14:textId="6C75D36D" w:rsidR="00EC6931" w:rsidRPr="00A306DE" w:rsidRDefault="00EC6931" w:rsidP="00EC6931">
            <w:pPr>
              <w:pStyle w:val="BodyText"/>
              <w:rPr>
                <w:rFonts w:cs="Arial"/>
                <w:szCs w:val="20"/>
              </w:rPr>
            </w:pPr>
            <w:r w:rsidRPr="00A306DE">
              <w:rPr>
                <w:rFonts w:cs="Arial"/>
                <w:szCs w:val="20"/>
              </w:rPr>
              <w:t>12</w:t>
            </w:r>
          </w:p>
        </w:tc>
        <w:tc>
          <w:tcPr>
            <w:tcW w:w="4814" w:type="dxa"/>
            <w:tcBorders>
              <w:top w:val="single" w:sz="4" w:space="0" w:color="000000"/>
              <w:bottom w:val="single" w:sz="4" w:space="0" w:color="000000"/>
            </w:tcBorders>
            <w:vAlign w:val="bottom"/>
          </w:tcPr>
          <w:p w14:paraId="699DEB5B" w14:textId="4877A66C" w:rsidR="00EC6931" w:rsidRPr="00A306DE" w:rsidRDefault="00EC6931" w:rsidP="00EC6931">
            <w:pPr>
              <w:pStyle w:val="BodyText"/>
              <w:rPr>
                <w:rFonts w:cs="Arial"/>
                <w:szCs w:val="20"/>
              </w:rPr>
            </w:pPr>
            <w:r w:rsidRPr="00A306DE">
              <w:rPr>
                <w:rFonts w:cs="Arial"/>
                <w:szCs w:val="20"/>
              </w:rPr>
              <w:t>1</w:t>
            </w:r>
            <w:r w:rsidR="0087144D" w:rsidRPr="00A306DE">
              <w:rPr>
                <w:rFonts w:cs="Arial"/>
                <w:szCs w:val="20"/>
              </w:rPr>
              <w:t xml:space="preserve"> (2%)</w:t>
            </w:r>
          </w:p>
        </w:tc>
      </w:tr>
      <w:tr w:rsidR="00EC6931" w14:paraId="4C4512C3"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2DF109D3" w14:textId="5CB90FE6" w:rsidR="00EC6931" w:rsidRPr="00A306DE" w:rsidRDefault="00EC6931" w:rsidP="00EC6931">
            <w:pPr>
              <w:pStyle w:val="BodyText"/>
              <w:rPr>
                <w:rFonts w:cs="Arial"/>
                <w:szCs w:val="20"/>
              </w:rPr>
            </w:pPr>
            <w:r w:rsidRPr="00A306DE">
              <w:rPr>
                <w:rFonts w:cs="Arial"/>
                <w:szCs w:val="20"/>
              </w:rPr>
              <w:t>100</w:t>
            </w:r>
          </w:p>
        </w:tc>
        <w:tc>
          <w:tcPr>
            <w:tcW w:w="4814" w:type="dxa"/>
            <w:tcBorders>
              <w:top w:val="single" w:sz="4" w:space="0" w:color="000000"/>
              <w:bottom w:val="single" w:sz="4" w:space="0" w:color="000000"/>
            </w:tcBorders>
            <w:vAlign w:val="bottom"/>
          </w:tcPr>
          <w:p w14:paraId="13129E06" w14:textId="6BF3A084" w:rsidR="00EC6931" w:rsidRPr="00A306DE" w:rsidRDefault="00EC6931" w:rsidP="00EC6931">
            <w:pPr>
              <w:pStyle w:val="BodyText"/>
              <w:rPr>
                <w:rFonts w:cs="Arial"/>
                <w:szCs w:val="20"/>
              </w:rPr>
            </w:pPr>
            <w:r w:rsidRPr="00A306DE">
              <w:rPr>
                <w:rFonts w:cs="Arial"/>
                <w:szCs w:val="20"/>
              </w:rPr>
              <w:t>1</w:t>
            </w:r>
            <w:r w:rsidR="0087144D" w:rsidRPr="00A306DE">
              <w:rPr>
                <w:rFonts w:cs="Arial"/>
                <w:szCs w:val="20"/>
              </w:rPr>
              <w:t xml:space="preserve"> (2%)</w:t>
            </w:r>
          </w:p>
        </w:tc>
      </w:tr>
    </w:tbl>
    <w:p w14:paraId="58CA6992" w14:textId="755348F1" w:rsidR="000A67FB" w:rsidRPr="00BB3E42" w:rsidRDefault="004D5666" w:rsidP="00281D11">
      <w:pPr>
        <w:pStyle w:val="Footer"/>
      </w:pPr>
      <w:r>
        <w:t>Source: KPMG, 2024</w:t>
      </w:r>
      <w:r w:rsidR="00DD3E39">
        <w:t>.</w:t>
      </w:r>
    </w:p>
    <w:p w14:paraId="62B96306" w14:textId="2E785FE4" w:rsidR="00567D50" w:rsidRDefault="00855B30" w:rsidP="00567D50">
      <w:pPr>
        <w:pStyle w:val="Caption"/>
      </w:pPr>
      <w:r>
        <w:t xml:space="preserve">Table </w:t>
      </w:r>
      <w:r>
        <w:fldChar w:fldCharType="begin"/>
      </w:r>
      <w:r>
        <w:instrText xml:space="preserve"> SEQ Table \* ARABIC </w:instrText>
      </w:r>
      <w:r>
        <w:fldChar w:fldCharType="separate"/>
      </w:r>
      <w:r w:rsidR="005F7EBC">
        <w:rPr>
          <w:noProof/>
        </w:rPr>
        <w:t>31</w:t>
      </w:r>
      <w:r>
        <w:fldChar w:fldCharType="end"/>
      </w:r>
      <w:r>
        <w:t xml:space="preserve">: </w:t>
      </w:r>
      <w:r w:rsidRPr="007B2E4B">
        <w:t>Supervisor survey results to the statement ‘TEAP is providing trainees with the required knowledge they will need in their profession.’ (n=60)</w:t>
      </w:r>
    </w:p>
    <w:tbl>
      <w:tblPr>
        <w:tblStyle w:val="TableGrid"/>
        <w:tblW w:w="0" w:type="auto"/>
        <w:tblLook w:val="04A0" w:firstRow="1" w:lastRow="0" w:firstColumn="1" w:lastColumn="0" w:noHBand="0" w:noVBand="1"/>
      </w:tblPr>
      <w:tblGrid>
        <w:gridCol w:w="4814"/>
        <w:gridCol w:w="4814"/>
      </w:tblGrid>
      <w:tr w:rsidR="00567D50" w14:paraId="0A26DBC9"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7D18CDA5" w14:textId="0E53D803" w:rsidR="00567D50" w:rsidRPr="00242835" w:rsidRDefault="00CA2C96"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3B96256F" w14:textId="338053D4" w:rsidR="00567D50" w:rsidRPr="00242835" w:rsidRDefault="00567D50" w:rsidP="00242835">
            <w:r w:rsidRPr="00242835">
              <w:t>Responses</w:t>
            </w:r>
          </w:p>
        </w:tc>
      </w:tr>
      <w:tr w:rsidR="001D27FD" w14:paraId="66ADFE60"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0FCA53F0" w14:textId="22874F37" w:rsidR="001D27FD" w:rsidRDefault="001D27FD" w:rsidP="001D27FD">
            <w:pPr>
              <w:pStyle w:val="BodyText"/>
            </w:pPr>
            <w:r w:rsidRPr="00A306DE">
              <w:rPr>
                <w:rFonts w:cs="Arial"/>
                <w:szCs w:val="20"/>
              </w:rPr>
              <w:t>Strongly agree</w:t>
            </w:r>
          </w:p>
        </w:tc>
        <w:tc>
          <w:tcPr>
            <w:tcW w:w="4814" w:type="dxa"/>
            <w:tcBorders>
              <w:bottom w:val="single" w:sz="4" w:space="0" w:color="000000"/>
            </w:tcBorders>
            <w:vAlign w:val="bottom"/>
          </w:tcPr>
          <w:p w14:paraId="6002CE37" w14:textId="76B360E4" w:rsidR="001D27FD" w:rsidRDefault="001D27FD" w:rsidP="001D27FD">
            <w:pPr>
              <w:pStyle w:val="BodyText"/>
            </w:pPr>
            <w:r w:rsidRPr="00A306DE">
              <w:rPr>
                <w:rFonts w:cs="Arial"/>
                <w:szCs w:val="20"/>
              </w:rPr>
              <w:t>24</w:t>
            </w:r>
            <w:r w:rsidR="002178A2" w:rsidRPr="00A306DE">
              <w:rPr>
                <w:rFonts w:cs="Arial"/>
                <w:szCs w:val="20"/>
              </w:rPr>
              <w:t xml:space="preserve"> (40%)</w:t>
            </w:r>
          </w:p>
        </w:tc>
      </w:tr>
      <w:tr w:rsidR="001D27FD" w14:paraId="6E562D83" w14:textId="77777777">
        <w:tc>
          <w:tcPr>
            <w:tcW w:w="4814" w:type="dxa"/>
            <w:tcBorders>
              <w:top w:val="single" w:sz="4" w:space="0" w:color="000000"/>
              <w:bottom w:val="single" w:sz="4" w:space="0" w:color="000000"/>
            </w:tcBorders>
            <w:vAlign w:val="bottom"/>
          </w:tcPr>
          <w:p w14:paraId="3C04A661" w14:textId="342500D2" w:rsidR="001D27FD" w:rsidRDefault="001D27FD" w:rsidP="001D27FD">
            <w:pPr>
              <w:pStyle w:val="BodyText"/>
            </w:pPr>
            <w:r w:rsidRPr="00A306DE">
              <w:rPr>
                <w:rFonts w:cs="Arial"/>
                <w:szCs w:val="20"/>
              </w:rPr>
              <w:t>Somewhat agree</w:t>
            </w:r>
          </w:p>
        </w:tc>
        <w:tc>
          <w:tcPr>
            <w:tcW w:w="4814" w:type="dxa"/>
            <w:tcBorders>
              <w:top w:val="single" w:sz="4" w:space="0" w:color="000000"/>
              <w:bottom w:val="single" w:sz="4" w:space="0" w:color="000000"/>
            </w:tcBorders>
            <w:vAlign w:val="bottom"/>
          </w:tcPr>
          <w:p w14:paraId="196FBA99" w14:textId="134802F2" w:rsidR="001D27FD" w:rsidRDefault="001D27FD" w:rsidP="001D27FD">
            <w:pPr>
              <w:pStyle w:val="BodyText"/>
            </w:pPr>
            <w:r w:rsidRPr="00A306DE">
              <w:rPr>
                <w:rFonts w:cs="Arial"/>
                <w:szCs w:val="20"/>
              </w:rPr>
              <w:t>27</w:t>
            </w:r>
            <w:r w:rsidR="002178A2" w:rsidRPr="00A306DE">
              <w:rPr>
                <w:rFonts w:cs="Arial"/>
                <w:szCs w:val="20"/>
              </w:rPr>
              <w:t xml:space="preserve"> (45%)</w:t>
            </w:r>
          </w:p>
        </w:tc>
      </w:tr>
      <w:tr w:rsidR="001D27FD" w14:paraId="2B0DC3F7"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7B1CE1B0" w14:textId="5B925983" w:rsidR="001D27FD" w:rsidRDefault="001D27FD" w:rsidP="001D27FD">
            <w:pPr>
              <w:pStyle w:val="BodyText"/>
            </w:pPr>
            <w:r w:rsidRPr="00A306DE">
              <w:rPr>
                <w:rFonts w:cs="Arial"/>
                <w:szCs w:val="20"/>
              </w:rPr>
              <w:t>Neither agree nor disagre</w:t>
            </w:r>
            <w:r w:rsidR="002178A2" w:rsidRPr="00A306DE">
              <w:rPr>
                <w:rFonts w:cs="Arial"/>
                <w:szCs w:val="20"/>
              </w:rPr>
              <w:t>e</w:t>
            </w:r>
          </w:p>
        </w:tc>
        <w:tc>
          <w:tcPr>
            <w:tcW w:w="4814" w:type="dxa"/>
            <w:tcBorders>
              <w:top w:val="single" w:sz="4" w:space="0" w:color="000000"/>
              <w:bottom w:val="single" w:sz="4" w:space="0" w:color="000000"/>
            </w:tcBorders>
            <w:vAlign w:val="bottom"/>
          </w:tcPr>
          <w:p w14:paraId="1E0B1ABF" w14:textId="63C365CF" w:rsidR="001D27FD" w:rsidRDefault="001D27FD" w:rsidP="001D27FD">
            <w:pPr>
              <w:pStyle w:val="BodyText"/>
            </w:pPr>
            <w:r w:rsidRPr="00A306DE">
              <w:rPr>
                <w:rFonts w:cs="Arial"/>
                <w:szCs w:val="20"/>
              </w:rPr>
              <w:t>4</w:t>
            </w:r>
            <w:r w:rsidR="002178A2" w:rsidRPr="00A306DE">
              <w:rPr>
                <w:rFonts w:cs="Arial"/>
                <w:szCs w:val="20"/>
              </w:rPr>
              <w:t xml:space="preserve"> (7%)</w:t>
            </w:r>
          </w:p>
        </w:tc>
      </w:tr>
      <w:tr w:rsidR="001D27FD" w14:paraId="37A67DBC" w14:textId="77777777">
        <w:tc>
          <w:tcPr>
            <w:tcW w:w="4814" w:type="dxa"/>
            <w:tcBorders>
              <w:top w:val="single" w:sz="4" w:space="0" w:color="000000"/>
              <w:bottom w:val="single" w:sz="4" w:space="0" w:color="000000"/>
            </w:tcBorders>
            <w:vAlign w:val="bottom"/>
          </w:tcPr>
          <w:p w14:paraId="09488047" w14:textId="5BC4FE6C" w:rsidR="001D27FD" w:rsidRPr="00A306DE" w:rsidRDefault="001D27FD" w:rsidP="001D27FD">
            <w:pPr>
              <w:pStyle w:val="BodyText"/>
              <w:rPr>
                <w:rFonts w:cs="Arial"/>
                <w:szCs w:val="20"/>
              </w:rPr>
            </w:pPr>
            <w:r w:rsidRPr="00A306DE">
              <w:rPr>
                <w:rFonts w:cs="Arial"/>
                <w:szCs w:val="20"/>
              </w:rPr>
              <w:t>Somewhat disagree</w:t>
            </w:r>
          </w:p>
        </w:tc>
        <w:tc>
          <w:tcPr>
            <w:tcW w:w="4814" w:type="dxa"/>
            <w:tcBorders>
              <w:top w:val="single" w:sz="4" w:space="0" w:color="000000"/>
              <w:bottom w:val="single" w:sz="4" w:space="0" w:color="000000"/>
            </w:tcBorders>
            <w:vAlign w:val="bottom"/>
          </w:tcPr>
          <w:p w14:paraId="3D6DC835" w14:textId="3E339C57" w:rsidR="001D27FD" w:rsidRPr="00A306DE" w:rsidRDefault="001D27FD" w:rsidP="001D27FD">
            <w:pPr>
              <w:pStyle w:val="BodyText"/>
              <w:rPr>
                <w:rFonts w:cs="Arial"/>
                <w:szCs w:val="20"/>
              </w:rPr>
            </w:pPr>
            <w:r w:rsidRPr="00A306DE">
              <w:rPr>
                <w:rFonts w:cs="Arial"/>
                <w:szCs w:val="20"/>
              </w:rPr>
              <w:t>3</w:t>
            </w:r>
            <w:r w:rsidR="002178A2" w:rsidRPr="00A306DE">
              <w:rPr>
                <w:rFonts w:cs="Arial"/>
                <w:szCs w:val="20"/>
              </w:rPr>
              <w:t xml:space="preserve"> (5%)</w:t>
            </w:r>
          </w:p>
        </w:tc>
      </w:tr>
      <w:tr w:rsidR="001D27FD" w14:paraId="1A08FEAF"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4774B7DD" w14:textId="43CFD5D1" w:rsidR="001D27FD" w:rsidRPr="00A306DE" w:rsidRDefault="001D27FD" w:rsidP="001D27FD">
            <w:pPr>
              <w:pStyle w:val="BodyText"/>
              <w:rPr>
                <w:rFonts w:cs="Arial"/>
                <w:szCs w:val="20"/>
              </w:rPr>
            </w:pPr>
            <w:r w:rsidRPr="00A306DE">
              <w:rPr>
                <w:rFonts w:cs="Arial"/>
                <w:szCs w:val="20"/>
              </w:rPr>
              <w:t>Strongly disagree</w:t>
            </w:r>
          </w:p>
        </w:tc>
        <w:tc>
          <w:tcPr>
            <w:tcW w:w="4814" w:type="dxa"/>
            <w:tcBorders>
              <w:top w:val="single" w:sz="4" w:space="0" w:color="000000"/>
              <w:bottom w:val="single" w:sz="4" w:space="0" w:color="000000"/>
            </w:tcBorders>
            <w:vAlign w:val="bottom"/>
          </w:tcPr>
          <w:p w14:paraId="63BE63D6" w14:textId="4069022D" w:rsidR="001D27FD" w:rsidRPr="00A306DE" w:rsidRDefault="001D27FD" w:rsidP="001D27FD">
            <w:pPr>
              <w:pStyle w:val="BodyText"/>
              <w:rPr>
                <w:rFonts w:cs="Arial"/>
                <w:szCs w:val="20"/>
              </w:rPr>
            </w:pPr>
            <w:r w:rsidRPr="00A306DE">
              <w:rPr>
                <w:rFonts w:cs="Arial"/>
                <w:szCs w:val="20"/>
              </w:rPr>
              <w:t>2</w:t>
            </w:r>
            <w:r w:rsidR="002178A2" w:rsidRPr="00A306DE">
              <w:rPr>
                <w:rFonts w:cs="Arial"/>
                <w:szCs w:val="20"/>
              </w:rPr>
              <w:t xml:space="preserve"> (3%)</w:t>
            </w:r>
          </w:p>
        </w:tc>
      </w:tr>
    </w:tbl>
    <w:p w14:paraId="24E96721" w14:textId="17224CF3" w:rsidR="00276D9E" w:rsidRPr="00BB3E42" w:rsidRDefault="00DD40C8" w:rsidP="00281D11">
      <w:pPr>
        <w:pStyle w:val="Footer"/>
      </w:pPr>
      <w:r>
        <w:t>Source: KPMG, 2024</w:t>
      </w:r>
      <w:r w:rsidR="00DD3E39">
        <w:t>.</w:t>
      </w:r>
    </w:p>
    <w:p w14:paraId="29263242" w14:textId="760E86D7" w:rsidR="002178A2" w:rsidRDefault="00855B30" w:rsidP="002178A2">
      <w:pPr>
        <w:pStyle w:val="Caption"/>
      </w:pPr>
      <w:r>
        <w:t xml:space="preserve">Table </w:t>
      </w:r>
      <w:r>
        <w:fldChar w:fldCharType="begin"/>
      </w:r>
      <w:r>
        <w:instrText xml:space="preserve"> SEQ Table \* ARABIC </w:instrText>
      </w:r>
      <w:r>
        <w:fldChar w:fldCharType="separate"/>
      </w:r>
      <w:r w:rsidR="005F7EBC">
        <w:rPr>
          <w:noProof/>
        </w:rPr>
        <w:t>32</w:t>
      </w:r>
      <w:r>
        <w:fldChar w:fldCharType="end"/>
      </w:r>
      <w:r>
        <w:t xml:space="preserve">: </w:t>
      </w:r>
      <w:r w:rsidRPr="00CD2635">
        <w:t>Supervisor survey results to the statement ‘TEAP is providing trainees with the practical skills they will need in their profession.’ (n=60)</w:t>
      </w:r>
    </w:p>
    <w:tbl>
      <w:tblPr>
        <w:tblStyle w:val="TableGrid"/>
        <w:tblW w:w="0" w:type="auto"/>
        <w:tblLook w:val="04A0" w:firstRow="1" w:lastRow="0" w:firstColumn="1" w:lastColumn="0" w:noHBand="0" w:noVBand="1"/>
      </w:tblPr>
      <w:tblGrid>
        <w:gridCol w:w="4814"/>
        <w:gridCol w:w="4814"/>
      </w:tblGrid>
      <w:tr w:rsidR="002178A2" w14:paraId="564ED15F"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3962DC94" w14:textId="42B9E35E" w:rsidR="002178A2" w:rsidRPr="00242835" w:rsidRDefault="00725A81"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20B4E200" w14:textId="6FAC98D7" w:rsidR="002178A2" w:rsidRPr="00242835" w:rsidRDefault="002178A2" w:rsidP="00242835">
            <w:r w:rsidRPr="00242835">
              <w:t>Responses</w:t>
            </w:r>
          </w:p>
        </w:tc>
      </w:tr>
      <w:tr w:rsidR="00DD01A9" w14:paraId="554CD987"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28C30C45" w14:textId="77777777" w:rsidR="00DD01A9" w:rsidRDefault="00DD01A9" w:rsidP="00DD01A9">
            <w:pPr>
              <w:pStyle w:val="BodyText"/>
            </w:pPr>
            <w:r w:rsidRPr="00A306DE">
              <w:rPr>
                <w:rFonts w:cs="Arial"/>
                <w:szCs w:val="20"/>
              </w:rPr>
              <w:t>Strongly agree</w:t>
            </w:r>
          </w:p>
        </w:tc>
        <w:tc>
          <w:tcPr>
            <w:tcW w:w="4814" w:type="dxa"/>
            <w:tcBorders>
              <w:bottom w:val="single" w:sz="4" w:space="0" w:color="000000"/>
            </w:tcBorders>
            <w:vAlign w:val="bottom"/>
          </w:tcPr>
          <w:p w14:paraId="5DBA75FA" w14:textId="5C9EFC88" w:rsidR="00DD01A9" w:rsidRDefault="00DD01A9" w:rsidP="00DD01A9">
            <w:pPr>
              <w:pStyle w:val="BodyText"/>
            </w:pPr>
            <w:r w:rsidRPr="00A306DE">
              <w:rPr>
                <w:rFonts w:cs="Arial"/>
                <w:szCs w:val="20"/>
              </w:rPr>
              <w:t>22</w:t>
            </w:r>
            <w:r w:rsidR="00BE47C2" w:rsidRPr="00A306DE">
              <w:rPr>
                <w:rFonts w:cs="Arial"/>
                <w:szCs w:val="20"/>
              </w:rPr>
              <w:t xml:space="preserve"> (37%)</w:t>
            </w:r>
          </w:p>
        </w:tc>
      </w:tr>
      <w:tr w:rsidR="00DD01A9" w14:paraId="19114132" w14:textId="77777777">
        <w:tc>
          <w:tcPr>
            <w:tcW w:w="4814" w:type="dxa"/>
            <w:tcBorders>
              <w:top w:val="single" w:sz="4" w:space="0" w:color="000000"/>
              <w:bottom w:val="single" w:sz="4" w:space="0" w:color="000000"/>
            </w:tcBorders>
            <w:vAlign w:val="bottom"/>
          </w:tcPr>
          <w:p w14:paraId="0041E47E" w14:textId="77777777" w:rsidR="00DD01A9" w:rsidRDefault="00DD01A9" w:rsidP="00DD01A9">
            <w:pPr>
              <w:pStyle w:val="BodyText"/>
            </w:pPr>
            <w:r w:rsidRPr="00A306DE">
              <w:rPr>
                <w:rFonts w:cs="Arial"/>
                <w:szCs w:val="20"/>
              </w:rPr>
              <w:t>Somewhat agree</w:t>
            </w:r>
          </w:p>
        </w:tc>
        <w:tc>
          <w:tcPr>
            <w:tcW w:w="4814" w:type="dxa"/>
            <w:tcBorders>
              <w:top w:val="single" w:sz="4" w:space="0" w:color="000000"/>
              <w:bottom w:val="single" w:sz="4" w:space="0" w:color="000000"/>
            </w:tcBorders>
            <w:vAlign w:val="bottom"/>
          </w:tcPr>
          <w:p w14:paraId="7AE75E15" w14:textId="0AFB0F61" w:rsidR="00DD01A9" w:rsidRDefault="00DD01A9" w:rsidP="00DD01A9">
            <w:pPr>
              <w:pStyle w:val="BodyText"/>
            </w:pPr>
            <w:r w:rsidRPr="00A306DE">
              <w:rPr>
                <w:rFonts w:cs="Arial"/>
                <w:szCs w:val="20"/>
              </w:rPr>
              <w:t>24</w:t>
            </w:r>
            <w:r w:rsidR="00BE47C2" w:rsidRPr="00A306DE">
              <w:rPr>
                <w:rFonts w:cs="Arial"/>
                <w:szCs w:val="20"/>
              </w:rPr>
              <w:t xml:space="preserve"> (40%)</w:t>
            </w:r>
          </w:p>
        </w:tc>
      </w:tr>
      <w:tr w:rsidR="00DD01A9" w14:paraId="221276DE"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45FEDCE0" w14:textId="77777777" w:rsidR="00DD01A9" w:rsidRDefault="00DD01A9" w:rsidP="00DD01A9">
            <w:pPr>
              <w:pStyle w:val="BodyText"/>
            </w:pPr>
            <w:r w:rsidRPr="00A306DE">
              <w:rPr>
                <w:rFonts w:cs="Arial"/>
                <w:szCs w:val="20"/>
              </w:rPr>
              <w:t>Neither agree nor disagree</w:t>
            </w:r>
          </w:p>
        </w:tc>
        <w:tc>
          <w:tcPr>
            <w:tcW w:w="4814" w:type="dxa"/>
            <w:tcBorders>
              <w:top w:val="single" w:sz="4" w:space="0" w:color="000000"/>
              <w:bottom w:val="single" w:sz="4" w:space="0" w:color="000000"/>
            </w:tcBorders>
            <w:vAlign w:val="bottom"/>
          </w:tcPr>
          <w:p w14:paraId="5D6C62AD" w14:textId="2D4D3150" w:rsidR="00DD01A9" w:rsidRDefault="00DD01A9" w:rsidP="00DD01A9">
            <w:pPr>
              <w:pStyle w:val="BodyText"/>
            </w:pPr>
            <w:r w:rsidRPr="00A306DE">
              <w:rPr>
                <w:rFonts w:cs="Arial"/>
                <w:szCs w:val="20"/>
              </w:rPr>
              <w:t>6</w:t>
            </w:r>
            <w:r w:rsidR="00BE47C2" w:rsidRPr="00A306DE">
              <w:rPr>
                <w:rFonts w:cs="Arial"/>
                <w:szCs w:val="20"/>
              </w:rPr>
              <w:t xml:space="preserve"> (10%)</w:t>
            </w:r>
          </w:p>
        </w:tc>
      </w:tr>
      <w:tr w:rsidR="00DD01A9" w14:paraId="1D5F5B0F" w14:textId="77777777">
        <w:tc>
          <w:tcPr>
            <w:tcW w:w="4814" w:type="dxa"/>
            <w:tcBorders>
              <w:top w:val="single" w:sz="4" w:space="0" w:color="000000"/>
              <w:bottom w:val="single" w:sz="4" w:space="0" w:color="000000"/>
            </w:tcBorders>
            <w:vAlign w:val="bottom"/>
          </w:tcPr>
          <w:p w14:paraId="3966EB54" w14:textId="77777777" w:rsidR="00DD01A9" w:rsidRPr="00A306DE" w:rsidRDefault="00DD01A9" w:rsidP="00DD01A9">
            <w:pPr>
              <w:pStyle w:val="BodyText"/>
              <w:rPr>
                <w:rFonts w:cs="Arial"/>
                <w:szCs w:val="20"/>
              </w:rPr>
            </w:pPr>
            <w:r w:rsidRPr="00A306DE">
              <w:rPr>
                <w:rFonts w:cs="Arial"/>
                <w:szCs w:val="20"/>
              </w:rPr>
              <w:t>Somewhat disagree</w:t>
            </w:r>
          </w:p>
        </w:tc>
        <w:tc>
          <w:tcPr>
            <w:tcW w:w="4814" w:type="dxa"/>
            <w:tcBorders>
              <w:top w:val="single" w:sz="4" w:space="0" w:color="000000"/>
              <w:bottom w:val="single" w:sz="4" w:space="0" w:color="000000"/>
            </w:tcBorders>
            <w:vAlign w:val="bottom"/>
          </w:tcPr>
          <w:p w14:paraId="3C5ED6B3" w14:textId="1D7587AA" w:rsidR="00DD01A9" w:rsidRPr="00A306DE" w:rsidRDefault="00DD01A9" w:rsidP="00DD01A9">
            <w:pPr>
              <w:pStyle w:val="BodyText"/>
              <w:rPr>
                <w:rFonts w:cs="Arial"/>
                <w:szCs w:val="20"/>
              </w:rPr>
            </w:pPr>
            <w:r w:rsidRPr="00A306DE">
              <w:rPr>
                <w:rFonts w:cs="Arial"/>
                <w:szCs w:val="20"/>
              </w:rPr>
              <w:t>6</w:t>
            </w:r>
            <w:r w:rsidR="00BE47C2" w:rsidRPr="00A306DE">
              <w:rPr>
                <w:rFonts w:cs="Arial"/>
                <w:szCs w:val="20"/>
              </w:rPr>
              <w:t xml:space="preserve"> (10%)</w:t>
            </w:r>
          </w:p>
        </w:tc>
      </w:tr>
      <w:tr w:rsidR="00DD01A9" w14:paraId="399BA74E"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6E35139B" w14:textId="77777777" w:rsidR="00DD01A9" w:rsidRPr="00A306DE" w:rsidRDefault="00DD01A9" w:rsidP="00DD01A9">
            <w:pPr>
              <w:pStyle w:val="BodyText"/>
              <w:rPr>
                <w:rFonts w:cs="Arial"/>
                <w:szCs w:val="20"/>
              </w:rPr>
            </w:pPr>
            <w:r w:rsidRPr="00A306DE">
              <w:rPr>
                <w:rFonts w:cs="Arial"/>
                <w:szCs w:val="20"/>
              </w:rPr>
              <w:t>Strongly disagree</w:t>
            </w:r>
          </w:p>
        </w:tc>
        <w:tc>
          <w:tcPr>
            <w:tcW w:w="4814" w:type="dxa"/>
            <w:tcBorders>
              <w:top w:val="single" w:sz="4" w:space="0" w:color="000000"/>
              <w:bottom w:val="single" w:sz="4" w:space="0" w:color="000000"/>
            </w:tcBorders>
            <w:vAlign w:val="bottom"/>
          </w:tcPr>
          <w:p w14:paraId="053E1441" w14:textId="3A72735B" w:rsidR="00DD01A9" w:rsidRPr="00A306DE" w:rsidRDefault="00DD01A9" w:rsidP="00DD01A9">
            <w:pPr>
              <w:pStyle w:val="BodyText"/>
              <w:rPr>
                <w:rFonts w:cs="Arial"/>
                <w:szCs w:val="20"/>
              </w:rPr>
            </w:pPr>
            <w:r w:rsidRPr="00A306DE">
              <w:rPr>
                <w:rFonts w:cs="Arial"/>
                <w:szCs w:val="20"/>
              </w:rPr>
              <w:t>2</w:t>
            </w:r>
            <w:r w:rsidR="00BE47C2" w:rsidRPr="00A306DE">
              <w:rPr>
                <w:rFonts w:cs="Arial"/>
                <w:szCs w:val="20"/>
              </w:rPr>
              <w:t xml:space="preserve"> (3%)</w:t>
            </w:r>
          </w:p>
        </w:tc>
      </w:tr>
    </w:tbl>
    <w:p w14:paraId="3470D8CA" w14:textId="19EEC273" w:rsidR="000030A0" w:rsidRDefault="00DD40C8" w:rsidP="00281D11">
      <w:pPr>
        <w:pStyle w:val="Footer"/>
      </w:pPr>
      <w:r>
        <w:t>Source: KPMG, 2024</w:t>
      </w:r>
      <w:r w:rsidR="00DD3E39">
        <w:t>.</w:t>
      </w:r>
    </w:p>
    <w:p w14:paraId="5DC299CF" w14:textId="2B7044B4" w:rsidR="0044064F" w:rsidRPr="00855B30" w:rsidRDefault="00855B30" w:rsidP="004D5666">
      <w:pPr>
        <w:pStyle w:val="Caption"/>
      </w:pPr>
      <w:r>
        <w:t xml:space="preserve">Table </w:t>
      </w:r>
      <w:r>
        <w:fldChar w:fldCharType="begin"/>
      </w:r>
      <w:r>
        <w:instrText xml:space="preserve"> SEQ Table \* ARABIC </w:instrText>
      </w:r>
      <w:r>
        <w:fldChar w:fldCharType="separate"/>
      </w:r>
      <w:r w:rsidR="005F7EBC">
        <w:rPr>
          <w:noProof/>
        </w:rPr>
        <w:t>33</w:t>
      </w:r>
      <w:r>
        <w:fldChar w:fldCharType="end"/>
      </w:r>
      <w:r>
        <w:t xml:space="preserve">: </w:t>
      </w:r>
      <w:r w:rsidRPr="00501352">
        <w:t>Supervisor survey results to the statement ‘TEAP is providing trainees with the experience they will need in their profession.’ (n=60)</w:t>
      </w:r>
    </w:p>
    <w:tbl>
      <w:tblPr>
        <w:tblStyle w:val="TableGrid"/>
        <w:tblW w:w="0" w:type="auto"/>
        <w:tblLook w:val="04A0" w:firstRow="1" w:lastRow="0" w:firstColumn="1" w:lastColumn="0" w:noHBand="0" w:noVBand="1"/>
      </w:tblPr>
      <w:tblGrid>
        <w:gridCol w:w="4814"/>
        <w:gridCol w:w="4814"/>
      </w:tblGrid>
      <w:tr w:rsidR="0044064F" w14:paraId="3A4F6B4E"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0D937504" w14:textId="0B7A1D4F" w:rsidR="0044064F" w:rsidRPr="00242835" w:rsidRDefault="00725A81"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6CFCD39F" w14:textId="67D9F374" w:rsidR="0044064F" w:rsidRPr="00242835" w:rsidRDefault="0044064F" w:rsidP="00242835">
            <w:r w:rsidRPr="00242835">
              <w:t>Responses</w:t>
            </w:r>
          </w:p>
        </w:tc>
      </w:tr>
      <w:tr w:rsidR="002E02DD" w14:paraId="2A9FF3D4"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13D46296" w14:textId="77777777" w:rsidR="002E02DD" w:rsidRDefault="002E02DD" w:rsidP="002E02DD">
            <w:pPr>
              <w:pStyle w:val="BodyText"/>
            </w:pPr>
            <w:r w:rsidRPr="00DC27F5">
              <w:rPr>
                <w:rFonts w:cs="Arial"/>
                <w:szCs w:val="20"/>
              </w:rPr>
              <w:t>Strongly agree</w:t>
            </w:r>
          </w:p>
        </w:tc>
        <w:tc>
          <w:tcPr>
            <w:tcW w:w="4814" w:type="dxa"/>
            <w:tcBorders>
              <w:bottom w:val="single" w:sz="4" w:space="0" w:color="000000"/>
            </w:tcBorders>
            <w:vAlign w:val="bottom"/>
          </w:tcPr>
          <w:p w14:paraId="55D6C066" w14:textId="0890627E" w:rsidR="002E02DD" w:rsidRDefault="002E02DD" w:rsidP="002E02DD">
            <w:pPr>
              <w:pStyle w:val="BodyText"/>
            </w:pPr>
            <w:r w:rsidRPr="00DC27F5">
              <w:rPr>
                <w:rFonts w:cs="Arial"/>
                <w:szCs w:val="20"/>
              </w:rPr>
              <w:t>20</w:t>
            </w:r>
            <w:r w:rsidR="00886E94" w:rsidRPr="00DC27F5">
              <w:rPr>
                <w:rFonts w:cs="Arial"/>
                <w:szCs w:val="20"/>
              </w:rPr>
              <w:t xml:space="preserve"> (33%)</w:t>
            </w:r>
          </w:p>
        </w:tc>
      </w:tr>
      <w:tr w:rsidR="002E02DD" w14:paraId="3CAD5FE6" w14:textId="77777777">
        <w:tc>
          <w:tcPr>
            <w:tcW w:w="4814" w:type="dxa"/>
            <w:tcBorders>
              <w:top w:val="single" w:sz="4" w:space="0" w:color="000000"/>
              <w:bottom w:val="single" w:sz="4" w:space="0" w:color="000000"/>
            </w:tcBorders>
            <w:vAlign w:val="bottom"/>
          </w:tcPr>
          <w:p w14:paraId="5559DFA2" w14:textId="77777777" w:rsidR="002E02DD" w:rsidRDefault="002E02DD" w:rsidP="002E02DD">
            <w:pPr>
              <w:pStyle w:val="BodyText"/>
            </w:pPr>
            <w:r w:rsidRPr="00DC27F5">
              <w:rPr>
                <w:rFonts w:cs="Arial"/>
                <w:szCs w:val="20"/>
              </w:rPr>
              <w:t>Somewhat agree</w:t>
            </w:r>
          </w:p>
        </w:tc>
        <w:tc>
          <w:tcPr>
            <w:tcW w:w="4814" w:type="dxa"/>
            <w:tcBorders>
              <w:top w:val="single" w:sz="4" w:space="0" w:color="000000"/>
              <w:bottom w:val="single" w:sz="4" w:space="0" w:color="000000"/>
            </w:tcBorders>
            <w:vAlign w:val="bottom"/>
          </w:tcPr>
          <w:p w14:paraId="73E53EF6" w14:textId="004883D2" w:rsidR="002E02DD" w:rsidRDefault="002E02DD" w:rsidP="002E02DD">
            <w:pPr>
              <w:pStyle w:val="BodyText"/>
            </w:pPr>
            <w:r w:rsidRPr="00DC27F5">
              <w:rPr>
                <w:rFonts w:cs="Arial"/>
                <w:szCs w:val="20"/>
              </w:rPr>
              <w:t>20</w:t>
            </w:r>
            <w:r w:rsidR="00886E94" w:rsidRPr="00DC27F5">
              <w:rPr>
                <w:rFonts w:cs="Arial"/>
                <w:szCs w:val="20"/>
              </w:rPr>
              <w:t xml:space="preserve"> (33%)</w:t>
            </w:r>
          </w:p>
        </w:tc>
      </w:tr>
      <w:tr w:rsidR="002E02DD" w14:paraId="1FA1B74D"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6244D032" w14:textId="77777777" w:rsidR="002E02DD" w:rsidRDefault="002E02DD" w:rsidP="002E02DD">
            <w:pPr>
              <w:pStyle w:val="BodyText"/>
            </w:pPr>
            <w:r w:rsidRPr="00DC27F5">
              <w:rPr>
                <w:rFonts w:cs="Arial"/>
                <w:szCs w:val="20"/>
              </w:rPr>
              <w:t>Neither agree nor disagree</w:t>
            </w:r>
          </w:p>
        </w:tc>
        <w:tc>
          <w:tcPr>
            <w:tcW w:w="4814" w:type="dxa"/>
            <w:tcBorders>
              <w:top w:val="single" w:sz="4" w:space="0" w:color="000000"/>
              <w:bottom w:val="single" w:sz="4" w:space="0" w:color="000000"/>
            </w:tcBorders>
            <w:vAlign w:val="bottom"/>
          </w:tcPr>
          <w:p w14:paraId="04F3FF9C" w14:textId="526872DF" w:rsidR="002E02DD" w:rsidRDefault="002E02DD" w:rsidP="002E02DD">
            <w:pPr>
              <w:pStyle w:val="BodyText"/>
            </w:pPr>
            <w:r w:rsidRPr="00DC27F5">
              <w:rPr>
                <w:rFonts w:cs="Arial"/>
                <w:szCs w:val="20"/>
              </w:rPr>
              <w:t>7</w:t>
            </w:r>
            <w:r w:rsidR="00886E94" w:rsidRPr="00DC27F5">
              <w:rPr>
                <w:rFonts w:cs="Arial"/>
                <w:szCs w:val="20"/>
              </w:rPr>
              <w:t xml:space="preserve"> (12%)</w:t>
            </w:r>
          </w:p>
        </w:tc>
      </w:tr>
      <w:tr w:rsidR="002E02DD" w14:paraId="0E561FC0" w14:textId="77777777">
        <w:tc>
          <w:tcPr>
            <w:tcW w:w="4814" w:type="dxa"/>
            <w:tcBorders>
              <w:top w:val="single" w:sz="4" w:space="0" w:color="000000"/>
              <w:bottom w:val="single" w:sz="4" w:space="0" w:color="000000"/>
            </w:tcBorders>
            <w:vAlign w:val="bottom"/>
          </w:tcPr>
          <w:p w14:paraId="1A01BE38" w14:textId="77777777" w:rsidR="002E02DD" w:rsidRPr="00DC27F5" w:rsidRDefault="002E02DD" w:rsidP="002E02DD">
            <w:pPr>
              <w:pStyle w:val="BodyText"/>
              <w:rPr>
                <w:rFonts w:cs="Arial"/>
                <w:szCs w:val="20"/>
              </w:rPr>
            </w:pPr>
            <w:r w:rsidRPr="00DC27F5">
              <w:rPr>
                <w:rFonts w:cs="Arial"/>
                <w:szCs w:val="20"/>
              </w:rPr>
              <w:t>Somewhat disagree</w:t>
            </w:r>
          </w:p>
        </w:tc>
        <w:tc>
          <w:tcPr>
            <w:tcW w:w="4814" w:type="dxa"/>
            <w:tcBorders>
              <w:top w:val="single" w:sz="4" w:space="0" w:color="000000"/>
              <w:bottom w:val="single" w:sz="4" w:space="0" w:color="000000"/>
            </w:tcBorders>
            <w:vAlign w:val="bottom"/>
          </w:tcPr>
          <w:p w14:paraId="4FEB3B7E" w14:textId="50F8BD63" w:rsidR="002E02DD" w:rsidRPr="00DC27F5" w:rsidRDefault="002E02DD" w:rsidP="002E02DD">
            <w:pPr>
              <w:pStyle w:val="BodyText"/>
              <w:rPr>
                <w:rFonts w:cs="Arial"/>
                <w:szCs w:val="20"/>
              </w:rPr>
            </w:pPr>
            <w:r w:rsidRPr="00DC27F5">
              <w:rPr>
                <w:rFonts w:cs="Arial"/>
                <w:szCs w:val="20"/>
              </w:rPr>
              <w:t>7</w:t>
            </w:r>
            <w:r w:rsidR="00886E94" w:rsidRPr="00DC27F5">
              <w:rPr>
                <w:rFonts w:cs="Arial"/>
                <w:szCs w:val="20"/>
              </w:rPr>
              <w:t xml:space="preserve"> (12%)</w:t>
            </w:r>
          </w:p>
        </w:tc>
      </w:tr>
      <w:tr w:rsidR="002E02DD" w14:paraId="0C544B45"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190CCD76" w14:textId="77777777" w:rsidR="002E02DD" w:rsidRPr="00DC27F5" w:rsidRDefault="002E02DD" w:rsidP="002E02DD">
            <w:pPr>
              <w:pStyle w:val="BodyText"/>
              <w:rPr>
                <w:rFonts w:cs="Arial"/>
                <w:szCs w:val="20"/>
              </w:rPr>
            </w:pPr>
            <w:r w:rsidRPr="00DC27F5">
              <w:rPr>
                <w:rFonts w:cs="Arial"/>
                <w:szCs w:val="20"/>
              </w:rPr>
              <w:t>Strongly disagree</w:t>
            </w:r>
          </w:p>
        </w:tc>
        <w:tc>
          <w:tcPr>
            <w:tcW w:w="4814" w:type="dxa"/>
            <w:tcBorders>
              <w:top w:val="single" w:sz="4" w:space="0" w:color="000000"/>
              <w:bottom w:val="single" w:sz="4" w:space="0" w:color="000000"/>
            </w:tcBorders>
            <w:vAlign w:val="bottom"/>
          </w:tcPr>
          <w:p w14:paraId="1B32F100" w14:textId="329A6176" w:rsidR="002E02DD" w:rsidRPr="00DC27F5" w:rsidRDefault="002E02DD" w:rsidP="002E02DD">
            <w:pPr>
              <w:pStyle w:val="BodyText"/>
              <w:rPr>
                <w:rFonts w:cs="Arial"/>
                <w:szCs w:val="20"/>
              </w:rPr>
            </w:pPr>
            <w:r w:rsidRPr="00DC27F5">
              <w:rPr>
                <w:rFonts w:cs="Arial"/>
                <w:szCs w:val="20"/>
              </w:rPr>
              <w:t>6</w:t>
            </w:r>
            <w:r w:rsidR="00886E94" w:rsidRPr="00DC27F5">
              <w:rPr>
                <w:rFonts w:cs="Arial"/>
                <w:szCs w:val="20"/>
              </w:rPr>
              <w:t xml:space="preserve"> (10%)</w:t>
            </w:r>
          </w:p>
        </w:tc>
      </w:tr>
    </w:tbl>
    <w:p w14:paraId="7D6B8D3D" w14:textId="77A663C8" w:rsidR="00E36617" w:rsidRPr="00BB3E42" w:rsidRDefault="004D5666" w:rsidP="00281D11">
      <w:pPr>
        <w:pStyle w:val="Footer"/>
      </w:pPr>
      <w:r>
        <w:t>Source: KPMG, 2024</w:t>
      </w:r>
      <w:r w:rsidR="00DD3E39">
        <w:t>.</w:t>
      </w:r>
    </w:p>
    <w:p w14:paraId="667DF147" w14:textId="39742445" w:rsidR="00E36617" w:rsidRDefault="00855B30" w:rsidP="00A23477">
      <w:pPr>
        <w:pStyle w:val="Caption"/>
      </w:pPr>
      <w:r>
        <w:t xml:space="preserve">Table </w:t>
      </w:r>
      <w:r>
        <w:fldChar w:fldCharType="begin"/>
      </w:r>
      <w:r>
        <w:instrText xml:space="preserve"> SEQ Table \* ARABIC </w:instrText>
      </w:r>
      <w:r>
        <w:fldChar w:fldCharType="separate"/>
      </w:r>
      <w:r w:rsidR="005F7EBC">
        <w:rPr>
          <w:noProof/>
        </w:rPr>
        <w:t>34</w:t>
      </w:r>
      <w:r>
        <w:fldChar w:fldCharType="end"/>
      </w:r>
      <w:r>
        <w:t xml:space="preserve">: </w:t>
      </w:r>
      <w:r w:rsidRPr="00555223">
        <w:t>Supervisor survey results to the statement ‘I receive an appropriate level of support from ACPSEM to facilitate TEAP and complete my supervisor responsibilities.’ (n=60)</w:t>
      </w:r>
    </w:p>
    <w:tbl>
      <w:tblPr>
        <w:tblStyle w:val="TableGrid"/>
        <w:tblW w:w="0" w:type="auto"/>
        <w:tblLook w:val="04A0" w:firstRow="1" w:lastRow="0" w:firstColumn="1" w:lastColumn="0" w:noHBand="0" w:noVBand="1"/>
      </w:tblPr>
      <w:tblGrid>
        <w:gridCol w:w="4814"/>
        <w:gridCol w:w="4814"/>
      </w:tblGrid>
      <w:tr w:rsidR="00E36617" w14:paraId="1758CF25" w14:textId="77777777" w:rsidTr="00281D11">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089E1BB8" w14:textId="31A4C7A2" w:rsidR="00E36617" w:rsidRPr="00242835" w:rsidRDefault="00725A81"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349A1D0A" w14:textId="113F9E8D" w:rsidR="00E36617" w:rsidRPr="00242835" w:rsidRDefault="00E36617" w:rsidP="00242835">
            <w:r w:rsidRPr="00242835">
              <w:t>Responses</w:t>
            </w:r>
          </w:p>
        </w:tc>
      </w:tr>
      <w:tr w:rsidR="00E000C3" w14:paraId="3EAA5BA6"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450F6EFF" w14:textId="77777777" w:rsidR="00E000C3" w:rsidRDefault="00E000C3" w:rsidP="00E000C3">
            <w:pPr>
              <w:pStyle w:val="BodyText"/>
            </w:pPr>
            <w:r w:rsidRPr="00DC27F5">
              <w:rPr>
                <w:rFonts w:cs="Arial"/>
                <w:szCs w:val="20"/>
              </w:rPr>
              <w:t>Strongly agree</w:t>
            </w:r>
          </w:p>
        </w:tc>
        <w:tc>
          <w:tcPr>
            <w:tcW w:w="4814" w:type="dxa"/>
            <w:tcBorders>
              <w:bottom w:val="single" w:sz="4" w:space="0" w:color="000000"/>
            </w:tcBorders>
            <w:vAlign w:val="bottom"/>
          </w:tcPr>
          <w:p w14:paraId="7C21FB15" w14:textId="60EF04CC" w:rsidR="00E000C3" w:rsidRDefault="00E000C3" w:rsidP="00E000C3">
            <w:pPr>
              <w:pStyle w:val="BodyText"/>
            </w:pPr>
            <w:r w:rsidRPr="00DC27F5">
              <w:rPr>
                <w:rFonts w:cs="Arial"/>
                <w:szCs w:val="20"/>
              </w:rPr>
              <w:t>10</w:t>
            </w:r>
            <w:r w:rsidR="00A23477" w:rsidRPr="00DC27F5">
              <w:rPr>
                <w:rFonts w:cs="Arial"/>
                <w:szCs w:val="20"/>
              </w:rPr>
              <w:t xml:space="preserve"> (17%)</w:t>
            </w:r>
          </w:p>
        </w:tc>
      </w:tr>
      <w:tr w:rsidR="00E000C3" w14:paraId="1203A1FF" w14:textId="77777777">
        <w:tc>
          <w:tcPr>
            <w:tcW w:w="4814" w:type="dxa"/>
            <w:tcBorders>
              <w:top w:val="single" w:sz="4" w:space="0" w:color="000000"/>
              <w:bottom w:val="single" w:sz="4" w:space="0" w:color="000000"/>
            </w:tcBorders>
            <w:vAlign w:val="bottom"/>
          </w:tcPr>
          <w:p w14:paraId="288AD56F" w14:textId="77777777" w:rsidR="00E000C3" w:rsidRDefault="00E000C3" w:rsidP="00E000C3">
            <w:pPr>
              <w:pStyle w:val="BodyText"/>
            </w:pPr>
            <w:r w:rsidRPr="00DC27F5">
              <w:rPr>
                <w:rFonts w:cs="Arial"/>
                <w:szCs w:val="20"/>
              </w:rPr>
              <w:t>Somewhat agree</w:t>
            </w:r>
          </w:p>
        </w:tc>
        <w:tc>
          <w:tcPr>
            <w:tcW w:w="4814" w:type="dxa"/>
            <w:tcBorders>
              <w:top w:val="single" w:sz="4" w:space="0" w:color="000000"/>
              <w:bottom w:val="single" w:sz="4" w:space="0" w:color="000000"/>
            </w:tcBorders>
            <w:vAlign w:val="bottom"/>
          </w:tcPr>
          <w:p w14:paraId="712ACCE7" w14:textId="12230CDB" w:rsidR="00E000C3" w:rsidRDefault="00E000C3" w:rsidP="00E000C3">
            <w:pPr>
              <w:pStyle w:val="BodyText"/>
            </w:pPr>
            <w:r w:rsidRPr="00DC27F5">
              <w:rPr>
                <w:rFonts w:cs="Arial"/>
                <w:szCs w:val="20"/>
              </w:rPr>
              <w:t>27</w:t>
            </w:r>
            <w:r w:rsidR="00A23477" w:rsidRPr="00DC27F5">
              <w:rPr>
                <w:rFonts w:cs="Arial"/>
                <w:szCs w:val="20"/>
              </w:rPr>
              <w:t xml:space="preserve"> (45%)</w:t>
            </w:r>
          </w:p>
        </w:tc>
      </w:tr>
      <w:tr w:rsidR="00E000C3" w14:paraId="3D7E9ECE"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306A72A7" w14:textId="77777777" w:rsidR="00E000C3" w:rsidRDefault="00E000C3" w:rsidP="00E000C3">
            <w:pPr>
              <w:pStyle w:val="BodyText"/>
            </w:pPr>
            <w:r w:rsidRPr="00DC27F5">
              <w:rPr>
                <w:rFonts w:cs="Arial"/>
                <w:szCs w:val="20"/>
              </w:rPr>
              <w:t>Neither agree nor disagree</w:t>
            </w:r>
          </w:p>
        </w:tc>
        <w:tc>
          <w:tcPr>
            <w:tcW w:w="4814" w:type="dxa"/>
            <w:tcBorders>
              <w:top w:val="single" w:sz="4" w:space="0" w:color="000000"/>
              <w:bottom w:val="single" w:sz="4" w:space="0" w:color="000000"/>
            </w:tcBorders>
            <w:vAlign w:val="bottom"/>
          </w:tcPr>
          <w:p w14:paraId="7EBD414A" w14:textId="174A5D3C" w:rsidR="00E000C3" w:rsidRDefault="00E000C3" w:rsidP="00E000C3">
            <w:pPr>
              <w:pStyle w:val="BodyText"/>
            </w:pPr>
            <w:r w:rsidRPr="00DC27F5">
              <w:rPr>
                <w:rFonts w:cs="Arial"/>
                <w:szCs w:val="20"/>
              </w:rPr>
              <w:t>8</w:t>
            </w:r>
            <w:r w:rsidR="00A23477" w:rsidRPr="00DC27F5">
              <w:rPr>
                <w:rFonts w:cs="Arial"/>
                <w:szCs w:val="20"/>
              </w:rPr>
              <w:t xml:space="preserve"> (13%)</w:t>
            </w:r>
          </w:p>
        </w:tc>
      </w:tr>
      <w:tr w:rsidR="00E000C3" w14:paraId="42176056" w14:textId="77777777">
        <w:tc>
          <w:tcPr>
            <w:tcW w:w="4814" w:type="dxa"/>
            <w:tcBorders>
              <w:top w:val="single" w:sz="4" w:space="0" w:color="000000"/>
              <w:bottom w:val="single" w:sz="4" w:space="0" w:color="000000"/>
            </w:tcBorders>
            <w:vAlign w:val="bottom"/>
          </w:tcPr>
          <w:p w14:paraId="3D9F2678" w14:textId="77777777" w:rsidR="00E000C3" w:rsidRPr="00DC27F5" w:rsidRDefault="00E000C3" w:rsidP="00E000C3">
            <w:pPr>
              <w:pStyle w:val="BodyText"/>
              <w:rPr>
                <w:rFonts w:cs="Arial"/>
                <w:szCs w:val="20"/>
              </w:rPr>
            </w:pPr>
            <w:r w:rsidRPr="00DC27F5">
              <w:rPr>
                <w:rFonts w:cs="Arial"/>
                <w:szCs w:val="20"/>
              </w:rPr>
              <w:t>Somewhat disagree</w:t>
            </w:r>
          </w:p>
        </w:tc>
        <w:tc>
          <w:tcPr>
            <w:tcW w:w="4814" w:type="dxa"/>
            <w:tcBorders>
              <w:top w:val="single" w:sz="4" w:space="0" w:color="000000"/>
              <w:bottom w:val="single" w:sz="4" w:space="0" w:color="000000"/>
            </w:tcBorders>
            <w:vAlign w:val="bottom"/>
          </w:tcPr>
          <w:p w14:paraId="1D939712" w14:textId="40B08D32" w:rsidR="00E000C3" w:rsidRPr="00DC27F5" w:rsidRDefault="00E000C3" w:rsidP="00E000C3">
            <w:pPr>
              <w:pStyle w:val="BodyText"/>
              <w:rPr>
                <w:rFonts w:cs="Arial"/>
                <w:szCs w:val="20"/>
              </w:rPr>
            </w:pPr>
            <w:r w:rsidRPr="00DC27F5">
              <w:rPr>
                <w:rFonts w:cs="Arial"/>
                <w:szCs w:val="20"/>
              </w:rPr>
              <w:t>13</w:t>
            </w:r>
            <w:r w:rsidR="00A23477" w:rsidRPr="00DC27F5">
              <w:rPr>
                <w:rFonts w:cs="Arial"/>
                <w:szCs w:val="20"/>
              </w:rPr>
              <w:t xml:space="preserve"> (22%)</w:t>
            </w:r>
          </w:p>
        </w:tc>
      </w:tr>
      <w:tr w:rsidR="00E000C3" w14:paraId="7453956F"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15D79212" w14:textId="77777777" w:rsidR="00E000C3" w:rsidRPr="00DC27F5" w:rsidRDefault="00E000C3" w:rsidP="00E000C3">
            <w:pPr>
              <w:pStyle w:val="BodyText"/>
              <w:rPr>
                <w:rFonts w:cs="Arial"/>
                <w:szCs w:val="20"/>
              </w:rPr>
            </w:pPr>
            <w:r w:rsidRPr="00DC27F5">
              <w:rPr>
                <w:rFonts w:cs="Arial"/>
                <w:szCs w:val="20"/>
              </w:rPr>
              <w:t>Strongly disagree</w:t>
            </w:r>
          </w:p>
        </w:tc>
        <w:tc>
          <w:tcPr>
            <w:tcW w:w="4814" w:type="dxa"/>
            <w:tcBorders>
              <w:top w:val="single" w:sz="4" w:space="0" w:color="000000"/>
              <w:bottom w:val="single" w:sz="4" w:space="0" w:color="000000"/>
            </w:tcBorders>
            <w:vAlign w:val="bottom"/>
          </w:tcPr>
          <w:p w14:paraId="0A0B7351" w14:textId="1B490F66" w:rsidR="00E000C3" w:rsidRPr="00DC27F5" w:rsidRDefault="00E000C3" w:rsidP="00E000C3">
            <w:pPr>
              <w:pStyle w:val="BodyText"/>
              <w:rPr>
                <w:rFonts w:cs="Arial"/>
                <w:szCs w:val="20"/>
              </w:rPr>
            </w:pPr>
            <w:r w:rsidRPr="00DC27F5">
              <w:rPr>
                <w:rFonts w:cs="Arial"/>
                <w:szCs w:val="20"/>
              </w:rPr>
              <w:t>2</w:t>
            </w:r>
            <w:r w:rsidR="00A23477" w:rsidRPr="00DC27F5">
              <w:rPr>
                <w:rFonts w:cs="Arial"/>
                <w:szCs w:val="20"/>
              </w:rPr>
              <w:t xml:space="preserve"> (3%)</w:t>
            </w:r>
          </w:p>
        </w:tc>
      </w:tr>
    </w:tbl>
    <w:p w14:paraId="7B439035" w14:textId="380E129E" w:rsidR="00936623" w:rsidRPr="00BB3E42" w:rsidRDefault="004D5666" w:rsidP="00281D11">
      <w:pPr>
        <w:pStyle w:val="Footer"/>
      </w:pPr>
      <w:r>
        <w:t>Source: KPMG, 2024</w:t>
      </w:r>
      <w:r w:rsidR="00DD3E39">
        <w:t>.</w:t>
      </w:r>
    </w:p>
    <w:p w14:paraId="6D37A944" w14:textId="4E2744B4" w:rsidR="00936623" w:rsidRDefault="00855B30" w:rsidP="00242AD0">
      <w:pPr>
        <w:pStyle w:val="Caption"/>
      </w:pPr>
      <w:r>
        <w:t xml:space="preserve">Table </w:t>
      </w:r>
      <w:r>
        <w:fldChar w:fldCharType="begin"/>
      </w:r>
      <w:r>
        <w:instrText xml:space="preserve"> SEQ Table \* ARABIC </w:instrText>
      </w:r>
      <w:r>
        <w:fldChar w:fldCharType="separate"/>
      </w:r>
      <w:r w:rsidR="005F7EBC">
        <w:rPr>
          <w:noProof/>
        </w:rPr>
        <w:t>35</w:t>
      </w:r>
      <w:r>
        <w:fldChar w:fldCharType="end"/>
      </w:r>
      <w:r>
        <w:t xml:space="preserve">: </w:t>
      </w:r>
      <w:r w:rsidRPr="001D2FE5">
        <w:t>Supervisor survey results to the statement ‘I receive an appropriate level of support from my facility/department to facilitate TEAP and complete my supervisor responsibilities.’ (n=60)</w:t>
      </w:r>
    </w:p>
    <w:tbl>
      <w:tblPr>
        <w:tblStyle w:val="TableGrid"/>
        <w:tblW w:w="0" w:type="auto"/>
        <w:tblLook w:val="04A0" w:firstRow="1" w:lastRow="0" w:firstColumn="1" w:lastColumn="0" w:noHBand="0" w:noVBand="1"/>
      </w:tblPr>
      <w:tblGrid>
        <w:gridCol w:w="4814"/>
        <w:gridCol w:w="4814"/>
      </w:tblGrid>
      <w:tr w:rsidR="00936623" w14:paraId="69901425" w14:textId="77777777" w:rsidTr="00281D11">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0B658D84" w14:textId="72095651" w:rsidR="00936623" w:rsidRPr="00242835" w:rsidRDefault="00725A81"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51F2C583" w14:textId="42461D89" w:rsidR="00936623" w:rsidRPr="00242835" w:rsidRDefault="00936623" w:rsidP="00242835">
            <w:r w:rsidRPr="00242835">
              <w:t>Responses</w:t>
            </w:r>
          </w:p>
        </w:tc>
      </w:tr>
      <w:tr w:rsidR="00DB5FB4" w14:paraId="2A11AEA3"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5761BC50" w14:textId="77777777" w:rsidR="00DB5FB4" w:rsidRDefault="00DB5FB4" w:rsidP="00DB5FB4">
            <w:pPr>
              <w:pStyle w:val="BodyText"/>
            </w:pPr>
            <w:r w:rsidRPr="00DC27F5">
              <w:rPr>
                <w:rFonts w:cs="Arial"/>
                <w:szCs w:val="20"/>
              </w:rPr>
              <w:t>Strongly agree</w:t>
            </w:r>
          </w:p>
        </w:tc>
        <w:tc>
          <w:tcPr>
            <w:tcW w:w="4814" w:type="dxa"/>
            <w:tcBorders>
              <w:bottom w:val="single" w:sz="4" w:space="0" w:color="000000"/>
            </w:tcBorders>
            <w:vAlign w:val="bottom"/>
          </w:tcPr>
          <w:p w14:paraId="5B821FFA" w14:textId="56A33DA6" w:rsidR="00DB5FB4" w:rsidRDefault="00DB5FB4" w:rsidP="00DB5FB4">
            <w:pPr>
              <w:pStyle w:val="BodyText"/>
            </w:pPr>
            <w:r w:rsidRPr="00DC27F5">
              <w:rPr>
                <w:rFonts w:cs="Arial"/>
                <w:szCs w:val="20"/>
              </w:rPr>
              <w:t>24</w:t>
            </w:r>
            <w:r w:rsidR="008334F3" w:rsidRPr="00DC27F5">
              <w:rPr>
                <w:rFonts w:cs="Arial"/>
                <w:szCs w:val="20"/>
              </w:rPr>
              <w:t xml:space="preserve"> (40%)</w:t>
            </w:r>
          </w:p>
        </w:tc>
      </w:tr>
      <w:tr w:rsidR="00DB5FB4" w14:paraId="277CEEE6" w14:textId="77777777">
        <w:tc>
          <w:tcPr>
            <w:tcW w:w="4814" w:type="dxa"/>
            <w:tcBorders>
              <w:top w:val="single" w:sz="4" w:space="0" w:color="000000"/>
              <w:bottom w:val="single" w:sz="4" w:space="0" w:color="000000"/>
            </w:tcBorders>
            <w:vAlign w:val="bottom"/>
          </w:tcPr>
          <w:p w14:paraId="03655D83" w14:textId="77777777" w:rsidR="00DB5FB4" w:rsidRDefault="00DB5FB4" w:rsidP="00DB5FB4">
            <w:pPr>
              <w:pStyle w:val="BodyText"/>
            </w:pPr>
            <w:r w:rsidRPr="00DC27F5">
              <w:rPr>
                <w:rFonts w:cs="Arial"/>
                <w:szCs w:val="20"/>
              </w:rPr>
              <w:t>Somewhat agree</w:t>
            </w:r>
          </w:p>
        </w:tc>
        <w:tc>
          <w:tcPr>
            <w:tcW w:w="4814" w:type="dxa"/>
            <w:tcBorders>
              <w:top w:val="single" w:sz="4" w:space="0" w:color="000000"/>
              <w:bottom w:val="single" w:sz="4" w:space="0" w:color="000000"/>
            </w:tcBorders>
            <w:vAlign w:val="bottom"/>
          </w:tcPr>
          <w:p w14:paraId="62C12A34" w14:textId="7FC00401" w:rsidR="00DB5FB4" w:rsidRDefault="00DB5FB4" w:rsidP="00DB5FB4">
            <w:pPr>
              <w:pStyle w:val="BodyText"/>
            </w:pPr>
            <w:r w:rsidRPr="00DC27F5">
              <w:rPr>
                <w:rFonts w:cs="Arial"/>
                <w:szCs w:val="20"/>
              </w:rPr>
              <w:t>17</w:t>
            </w:r>
            <w:r w:rsidR="008334F3" w:rsidRPr="00DC27F5">
              <w:rPr>
                <w:rFonts w:cs="Arial"/>
                <w:szCs w:val="20"/>
              </w:rPr>
              <w:t xml:space="preserve"> (28%)</w:t>
            </w:r>
          </w:p>
        </w:tc>
      </w:tr>
      <w:tr w:rsidR="00DB5FB4" w14:paraId="077EFB82"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7EE5B781" w14:textId="77777777" w:rsidR="00DB5FB4" w:rsidRDefault="00DB5FB4" w:rsidP="00DB5FB4">
            <w:pPr>
              <w:pStyle w:val="BodyText"/>
            </w:pPr>
            <w:r w:rsidRPr="00DC27F5">
              <w:rPr>
                <w:rFonts w:cs="Arial"/>
                <w:szCs w:val="20"/>
              </w:rPr>
              <w:t>Neither agree nor disagree</w:t>
            </w:r>
          </w:p>
        </w:tc>
        <w:tc>
          <w:tcPr>
            <w:tcW w:w="4814" w:type="dxa"/>
            <w:tcBorders>
              <w:top w:val="single" w:sz="4" w:space="0" w:color="000000"/>
              <w:bottom w:val="single" w:sz="4" w:space="0" w:color="000000"/>
            </w:tcBorders>
            <w:vAlign w:val="bottom"/>
          </w:tcPr>
          <w:p w14:paraId="4DBDDAC8" w14:textId="2B1F7132" w:rsidR="00DB5FB4" w:rsidRDefault="00DB5FB4" w:rsidP="00DB5FB4">
            <w:pPr>
              <w:pStyle w:val="BodyText"/>
            </w:pPr>
            <w:r w:rsidRPr="00DC27F5">
              <w:rPr>
                <w:rFonts w:cs="Arial"/>
                <w:szCs w:val="20"/>
              </w:rPr>
              <w:t>6</w:t>
            </w:r>
            <w:r w:rsidR="008334F3" w:rsidRPr="00DC27F5">
              <w:rPr>
                <w:rFonts w:cs="Arial"/>
                <w:szCs w:val="20"/>
              </w:rPr>
              <w:t xml:space="preserve"> (10%)</w:t>
            </w:r>
          </w:p>
        </w:tc>
      </w:tr>
      <w:tr w:rsidR="00DB5FB4" w14:paraId="5412F1BF" w14:textId="77777777">
        <w:tc>
          <w:tcPr>
            <w:tcW w:w="4814" w:type="dxa"/>
            <w:tcBorders>
              <w:top w:val="single" w:sz="4" w:space="0" w:color="000000"/>
              <w:bottom w:val="single" w:sz="4" w:space="0" w:color="000000"/>
            </w:tcBorders>
            <w:vAlign w:val="bottom"/>
          </w:tcPr>
          <w:p w14:paraId="2D835D54" w14:textId="77777777" w:rsidR="00DB5FB4" w:rsidRPr="00DC27F5" w:rsidRDefault="00DB5FB4" w:rsidP="00DB5FB4">
            <w:pPr>
              <w:pStyle w:val="BodyText"/>
              <w:rPr>
                <w:rFonts w:cs="Arial"/>
                <w:szCs w:val="20"/>
              </w:rPr>
            </w:pPr>
            <w:r w:rsidRPr="00DC27F5">
              <w:rPr>
                <w:rFonts w:cs="Arial"/>
                <w:szCs w:val="20"/>
              </w:rPr>
              <w:t>Somewhat disagree</w:t>
            </w:r>
          </w:p>
        </w:tc>
        <w:tc>
          <w:tcPr>
            <w:tcW w:w="4814" w:type="dxa"/>
            <w:tcBorders>
              <w:top w:val="single" w:sz="4" w:space="0" w:color="000000"/>
              <w:bottom w:val="single" w:sz="4" w:space="0" w:color="000000"/>
            </w:tcBorders>
            <w:vAlign w:val="bottom"/>
          </w:tcPr>
          <w:p w14:paraId="23A034B6" w14:textId="44256944" w:rsidR="00DB5FB4" w:rsidRPr="00DC27F5" w:rsidRDefault="00DB5FB4" w:rsidP="00DB5FB4">
            <w:pPr>
              <w:pStyle w:val="BodyText"/>
              <w:rPr>
                <w:rFonts w:cs="Arial"/>
                <w:szCs w:val="20"/>
              </w:rPr>
            </w:pPr>
            <w:r w:rsidRPr="00DC27F5">
              <w:rPr>
                <w:rFonts w:cs="Arial"/>
                <w:szCs w:val="20"/>
              </w:rPr>
              <w:t>10</w:t>
            </w:r>
            <w:r w:rsidR="008334F3" w:rsidRPr="00DC27F5">
              <w:rPr>
                <w:rFonts w:cs="Arial"/>
                <w:szCs w:val="20"/>
              </w:rPr>
              <w:t xml:space="preserve"> (17%)</w:t>
            </w:r>
          </w:p>
        </w:tc>
      </w:tr>
      <w:tr w:rsidR="00DB5FB4" w14:paraId="73229643"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75D11F19" w14:textId="77777777" w:rsidR="00DB5FB4" w:rsidRPr="00DC27F5" w:rsidRDefault="00DB5FB4" w:rsidP="00DB5FB4">
            <w:pPr>
              <w:pStyle w:val="BodyText"/>
              <w:rPr>
                <w:rFonts w:cs="Arial"/>
                <w:szCs w:val="20"/>
              </w:rPr>
            </w:pPr>
            <w:r w:rsidRPr="00DC27F5">
              <w:rPr>
                <w:rFonts w:cs="Arial"/>
                <w:szCs w:val="20"/>
              </w:rPr>
              <w:t>Strongly disagree</w:t>
            </w:r>
          </w:p>
        </w:tc>
        <w:tc>
          <w:tcPr>
            <w:tcW w:w="4814" w:type="dxa"/>
            <w:tcBorders>
              <w:top w:val="single" w:sz="4" w:space="0" w:color="000000"/>
              <w:bottom w:val="single" w:sz="4" w:space="0" w:color="000000"/>
            </w:tcBorders>
            <w:vAlign w:val="bottom"/>
          </w:tcPr>
          <w:p w14:paraId="72A305CE" w14:textId="4A793150" w:rsidR="00DB5FB4" w:rsidRPr="00DC27F5" w:rsidRDefault="00DB5FB4" w:rsidP="00DB5FB4">
            <w:pPr>
              <w:pStyle w:val="BodyText"/>
              <w:rPr>
                <w:rFonts w:cs="Arial"/>
                <w:szCs w:val="20"/>
              </w:rPr>
            </w:pPr>
            <w:r w:rsidRPr="00DC27F5">
              <w:rPr>
                <w:rFonts w:cs="Arial"/>
                <w:szCs w:val="20"/>
              </w:rPr>
              <w:t>3</w:t>
            </w:r>
            <w:r w:rsidR="008334F3" w:rsidRPr="00DC27F5">
              <w:rPr>
                <w:rFonts w:cs="Arial"/>
                <w:szCs w:val="20"/>
              </w:rPr>
              <w:t xml:space="preserve"> (5%)</w:t>
            </w:r>
          </w:p>
        </w:tc>
      </w:tr>
    </w:tbl>
    <w:p w14:paraId="2EF9044C" w14:textId="0EED015B" w:rsidR="00936623" w:rsidRPr="00BB3E42" w:rsidRDefault="004D5666" w:rsidP="00281D11">
      <w:pPr>
        <w:pStyle w:val="Footer"/>
      </w:pPr>
      <w:r>
        <w:t>Source: KPMG, 2024</w:t>
      </w:r>
      <w:r w:rsidR="00DD3E39">
        <w:t>.</w:t>
      </w:r>
    </w:p>
    <w:p w14:paraId="1C6885ED" w14:textId="474CB5DD" w:rsidR="008334F3" w:rsidRDefault="00855B30" w:rsidP="00D316CD">
      <w:pPr>
        <w:pStyle w:val="Caption"/>
      </w:pPr>
      <w:r>
        <w:t xml:space="preserve">Table </w:t>
      </w:r>
      <w:r>
        <w:fldChar w:fldCharType="begin"/>
      </w:r>
      <w:r>
        <w:instrText xml:space="preserve"> SEQ Table \* ARABIC </w:instrText>
      </w:r>
      <w:r>
        <w:fldChar w:fldCharType="separate"/>
      </w:r>
      <w:r w:rsidR="005F7EBC">
        <w:rPr>
          <w:noProof/>
        </w:rPr>
        <w:t>36</w:t>
      </w:r>
      <w:r>
        <w:fldChar w:fldCharType="end"/>
      </w:r>
      <w:r>
        <w:t xml:space="preserve">: </w:t>
      </w:r>
      <w:r w:rsidRPr="00573A74">
        <w:t>Supervisor survey results to the statement ‘I have capacity to provide trainees with an appropriate level of support.’ (n=60)</w:t>
      </w:r>
    </w:p>
    <w:tbl>
      <w:tblPr>
        <w:tblStyle w:val="TableGrid"/>
        <w:tblW w:w="0" w:type="auto"/>
        <w:tblLook w:val="04A0" w:firstRow="1" w:lastRow="0" w:firstColumn="1" w:lastColumn="0" w:noHBand="0" w:noVBand="1"/>
      </w:tblPr>
      <w:tblGrid>
        <w:gridCol w:w="4814"/>
        <w:gridCol w:w="4814"/>
      </w:tblGrid>
      <w:tr w:rsidR="008334F3" w14:paraId="349613EE" w14:textId="77777777" w:rsidTr="00281D11">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70E6A4F8" w14:textId="55D54218" w:rsidR="008334F3" w:rsidRPr="00242835" w:rsidRDefault="00725A81"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5B53B00F" w14:textId="749462BB" w:rsidR="008334F3" w:rsidRPr="00242835" w:rsidRDefault="008334F3" w:rsidP="00242835">
            <w:r w:rsidRPr="00242835">
              <w:t>Responses</w:t>
            </w:r>
          </w:p>
        </w:tc>
      </w:tr>
      <w:tr w:rsidR="00B93464" w14:paraId="08AFB6EB"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7C875B30" w14:textId="77777777" w:rsidR="00B93464" w:rsidRDefault="00B93464" w:rsidP="00B93464">
            <w:pPr>
              <w:pStyle w:val="BodyText"/>
            </w:pPr>
            <w:r w:rsidRPr="00DC27F5">
              <w:rPr>
                <w:rFonts w:cs="Arial"/>
                <w:szCs w:val="20"/>
              </w:rPr>
              <w:t>Strongly agree</w:t>
            </w:r>
          </w:p>
        </w:tc>
        <w:tc>
          <w:tcPr>
            <w:tcW w:w="4814" w:type="dxa"/>
            <w:tcBorders>
              <w:bottom w:val="single" w:sz="4" w:space="0" w:color="000000"/>
            </w:tcBorders>
            <w:vAlign w:val="bottom"/>
          </w:tcPr>
          <w:p w14:paraId="6FC23672" w14:textId="1F41F3DA" w:rsidR="00B93464" w:rsidRDefault="00B93464" w:rsidP="00B93464">
            <w:pPr>
              <w:pStyle w:val="BodyText"/>
            </w:pPr>
            <w:r w:rsidRPr="00DC27F5">
              <w:rPr>
                <w:rFonts w:cs="Arial"/>
                <w:szCs w:val="20"/>
              </w:rPr>
              <w:t>20</w:t>
            </w:r>
            <w:r w:rsidR="00456E90" w:rsidRPr="00DC27F5">
              <w:rPr>
                <w:rFonts w:cs="Arial"/>
                <w:szCs w:val="20"/>
              </w:rPr>
              <w:t xml:space="preserve"> (33%)</w:t>
            </w:r>
          </w:p>
        </w:tc>
      </w:tr>
      <w:tr w:rsidR="00B93464" w14:paraId="388D6080" w14:textId="77777777">
        <w:tc>
          <w:tcPr>
            <w:tcW w:w="4814" w:type="dxa"/>
            <w:tcBorders>
              <w:top w:val="single" w:sz="4" w:space="0" w:color="000000"/>
              <w:bottom w:val="single" w:sz="4" w:space="0" w:color="000000"/>
            </w:tcBorders>
            <w:vAlign w:val="bottom"/>
          </w:tcPr>
          <w:p w14:paraId="58090074" w14:textId="77777777" w:rsidR="00B93464" w:rsidRDefault="00B93464" w:rsidP="00B93464">
            <w:pPr>
              <w:pStyle w:val="BodyText"/>
            </w:pPr>
            <w:r w:rsidRPr="00DC27F5">
              <w:rPr>
                <w:rFonts w:cs="Arial"/>
                <w:szCs w:val="20"/>
              </w:rPr>
              <w:t>Somewhat agree</w:t>
            </w:r>
          </w:p>
        </w:tc>
        <w:tc>
          <w:tcPr>
            <w:tcW w:w="4814" w:type="dxa"/>
            <w:tcBorders>
              <w:top w:val="single" w:sz="4" w:space="0" w:color="000000"/>
              <w:bottom w:val="single" w:sz="4" w:space="0" w:color="000000"/>
            </w:tcBorders>
            <w:vAlign w:val="bottom"/>
          </w:tcPr>
          <w:p w14:paraId="6C634CFC" w14:textId="04858484" w:rsidR="00B93464" w:rsidRDefault="00B93464" w:rsidP="00B93464">
            <w:pPr>
              <w:pStyle w:val="BodyText"/>
            </w:pPr>
            <w:r w:rsidRPr="00DC27F5">
              <w:rPr>
                <w:rFonts w:cs="Arial"/>
                <w:szCs w:val="20"/>
              </w:rPr>
              <w:t>23</w:t>
            </w:r>
            <w:r w:rsidR="00456E90" w:rsidRPr="00DC27F5">
              <w:rPr>
                <w:rFonts w:cs="Arial"/>
                <w:szCs w:val="20"/>
              </w:rPr>
              <w:t xml:space="preserve"> (38%)</w:t>
            </w:r>
          </w:p>
        </w:tc>
      </w:tr>
      <w:tr w:rsidR="00B93464" w14:paraId="5E3FA644"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22BBD935" w14:textId="77777777" w:rsidR="00B93464" w:rsidRDefault="00B93464" w:rsidP="00B93464">
            <w:pPr>
              <w:pStyle w:val="BodyText"/>
            </w:pPr>
            <w:r w:rsidRPr="00DC27F5">
              <w:rPr>
                <w:rFonts w:cs="Arial"/>
                <w:szCs w:val="20"/>
              </w:rPr>
              <w:t>Neither agree nor disagree</w:t>
            </w:r>
          </w:p>
        </w:tc>
        <w:tc>
          <w:tcPr>
            <w:tcW w:w="4814" w:type="dxa"/>
            <w:tcBorders>
              <w:top w:val="single" w:sz="4" w:space="0" w:color="000000"/>
              <w:bottom w:val="single" w:sz="4" w:space="0" w:color="000000"/>
            </w:tcBorders>
            <w:vAlign w:val="bottom"/>
          </w:tcPr>
          <w:p w14:paraId="1B887D67" w14:textId="60A2E375" w:rsidR="00B93464" w:rsidRDefault="00B93464" w:rsidP="00B93464">
            <w:pPr>
              <w:pStyle w:val="BodyText"/>
            </w:pPr>
            <w:r w:rsidRPr="00DC27F5">
              <w:rPr>
                <w:rFonts w:cs="Arial"/>
                <w:szCs w:val="20"/>
              </w:rPr>
              <w:t>8</w:t>
            </w:r>
            <w:r w:rsidR="00456E90" w:rsidRPr="00DC27F5">
              <w:rPr>
                <w:rFonts w:cs="Arial"/>
                <w:szCs w:val="20"/>
              </w:rPr>
              <w:t xml:space="preserve"> (13%)</w:t>
            </w:r>
          </w:p>
        </w:tc>
      </w:tr>
      <w:tr w:rsidR="00B93464" w14:paraId="65632672" w14:textId="77777777">
        <w:tc>
          <w:tcPr>
            <w:tcW w:w="4814" w:type="dxa"/>
            <w:tcBorders>
              <w:top w:val="single" w:sz="4" w:space="0" w:color="000000"/>
              <w:bottom w:val="single" w:sz="4" w:space="0" w:color="000000"/>
            </w:tcBorders>
            <w:vAlign w:val="bottom"/>
          </w:tcPr>
          <w:p w14:paraId="4ADA7457" w14:textId="77777777" w:rsidR="00B93464" w:rsidRPr="00DC27F5" w:rsidRDefault="00B93464" w:rsidP="00B93464">
            <w:pPr>
              <w:pStyle w:val="BodyText"/>
              <w:rPr>
                <w:rFonts w:cs="Arial"/>
                <w:szCs w:val="20"/>
              </w:rPr>
            </w:pPr>
            <w:r w:rsidRPr="00DC27F5">
              <w:rPr>
                <w:rFonts w:cs="Arial"/>
                <w:szCs w:val="20"/>
              </w:rPr>
              <w:t>Somewhat disagree</w:t>
            </w:r>
          </w:p>
        </w:tc>
        <w:tc>
          <w:tcPr>
            <w:tcW w:w="4814" w:type="dxa"/>
            <w:tcBorders>
              <w:top w:val="single" w:sz="4" w:space="0" w:color="000000"/>
              <w:bottom w:val="single" w:sz="4" w:space="0" w:color="000000"/>
            </w:tcBorders>
            <w:vAlign w:val="bottom"/>
          </w:tcPr>
          <w:p w14:paraId="39AE0E30" w14:textId="4756421D" w:rsidR="00B93464" w:rsidRPr="00DC27F5" w:rsidRDefault="00B93464" w:rsidP="00B93464">
            <w:pPr>
              <w:pStyle w:val="BodyText"/>
              <w:rPr>
                <w:rFonts w:cs="Arial"/>
                <w:szCs w:val="20"/>
              </w:rPr>
            </w:pPr>
            <w:r w:rsidRPr="00DC27F5">
              <w:rPr>
                <w:rFonts w:cs="Arial"/>
                <w:szCs w:val="20"/>
              </w:rPr>
              <w:t>7</w:t>
            </w:r>
            <w:r w:rsidR="00456E90" w:rsidRPr="00DC27F5">
              <w:rPr>
                <w:rFonts w:cs="Arial"/>
                <w:szCs w:val="20"/>
              </w:rPr>
              <w:t xml:space="preserve"> (12%)</w:t>
            </w:r>
          </w:p>
        </w:tc>
      </w:tr>
      <w:tr w:rsidR="00B93464" w14:paraId="6832F7FA"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27C6C98B" w14:textId="77777777" w:rsidR="00B93464" w:rsidRPr="00DC27F5" w:rsidRDefault="00B93464" w:rsidP="00B93464">
            <w:pPr>
              <w:pStyle w:val="BodyText"/>
              <w:rPr>
                <w:rFonts w:cs="Arial"/>
                <w:szCs w:val="20"/>
              </w:rPr>
            </w:pPr>
            <w:r w:rsidRPr="00DC27F5">
              <w:rPr>
                <w:rFonts w:cs="Arial"/>
                <w:szCs w:val="20"/>
              </w:rPr>
              <w:t>Strongly disagree</w:t>
            </w:r>
          </w:p>
        </w:tc>
        <w:tc>
          <w:tcPr>
            <w:tcW w:w="4814" w:type="dxa"/>
            <w:tcBorders>
              <w:top w:val="single" w:sz="4" w:space="0" w:color="000000"/>
              <w:bottom w:val="single" w:sz="4" w:space="0" w:color="000000"/>
            </w:tcBorders>
            <w:vAlign w:val="bottom"/>
          </w:tcPr>
          <w:p w14:paraId="102EA314" w14:textId="6EDCD023" w:rsidR="00B93464" w:rsidRPr="00DC27F5" w:rsidRDefault="00B93464" w:rsidP="00B93464">
            <w:pPr>
              <w:pStyle w:val="BodyText"/>
              <w:rPr>
                <w:rFonts w:cs="Arial"/>
                <w:szCs w:val="20"/>
              </w:rPr>
            </w:pPr>
            <w:r w:rsidRPr="00DC27F5">
              <w:rPr>
                <w:rFonts w:cs="Arial"/>
                <w:szCs w:val="20"/>
              </w:rPr>
              <w:t>2</w:t>
            </w:r>
            <w:r w:rsidR="00456E90" w:rsidRPr="00DC27F5">
              <w:rPr>
                <w:rFonts w:cs="Arial"/>
                <w:szCs w:val="20"/>
              </w:rPr>
              <w:t xml:space="preserve"> (3%)</w:t>
            </w:r>
          </w:p>
        </w:tc>
      </w:tr>
    </w:tbl>
    <w:p w14:paraId="23EFBFAB" w14:textId="3559BE40" w:rsidR="004D5666" w:rsidRPr="00BB3E42" w:rsidRDefault="004D5666" w:rsidP="00281D11">
      <w:pPr>
        <w:pStyle w:val="Footer"/>
        <w:rPr>
          <w:lang w:eastAsia="en-AU"/>
        </w:rPr>
      </w:pPr>
      <w:r>
        <w:t>Source: KPMG, 2024</w:t>
      </w:r>
      <w:r w:rsidR="00DD3E39">
        <w:t>.</w:t>
      </w:r>
    </w:p>
    <w:p w14:paraId="7F8C5881" w14:textId="2D6C1BC6" w:rsidR="00456E90" w:rsidRDefault="00456E90" w:rsidP="0023152A">
      <w:pPr>
        <w:pStyle w:val="Caption"/>
      </w:pPr>
      <w:r>
        <w:t xml:space="preserve">Table </w:t>
      </w:r>
      <w:r>
        <w:fldChar w:fldCharType="begin"/>
      </w:r>
      <w:r>
        <w:instrText xml:space="preserve"> SEQ Table \* ARABIC </w:instrText>
      </w:r>
      <w:r>
        <w:fldChar w:fldCharType="separate"/>
      </w:r>
      <w:r w:rsidR="005F7EBC">
        <w:rPr>
          <w:noProof/>
        </w:rPr>
        <w:t>37</w:t>
      </w:r>
      <w:r>
        <w:fldChar w:fldCharType="end"/>
      </w:r>
      <w:r>
        <w:t>: Supervisor survey results to the statement ‘</w:t>
      </w:r>
      <w:r w:rsidR="0023152A" w:rsidRPr="0023152A">
        <w:t>Administration and reporting requirements for TEAP are clear</w:t>
      </w:r>
      <w:r>
        <w:t>.’ (n=60)</w:t>
      </w:r>
    </w:p>
    <w:tbl>
      <w:tblPr>
        <w:tblStyle w:val="TableGrid"/>
        <w:tblW w:w="0" w:type="auto"/>
        <w:tblLook w:val="04A0" w:firstRow="1" w:lastRow="0" w:firstColumn="1" w:lastColumn="0" w:noHBand="0" w:noVBand="1"/>
      </w:tblPr>
      <w:tblGrid>
        <w:gridCol w:w="4814"/>
        <w:gridCol w:w="4814"/>
      </w:tblGrid>
      <w:tr w:rsidR="00456E90" w14:paraId="727FCFE6" w14:textId="77777777" w:rsidTr="00281D11">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462C44F9" w14:textId="75E286CD" w:rsidR="00456E90" w:rsidRPr="00242835" w:rsidRDefault="00725A81"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2B5EE4E4" w14:textId="3BDFDB14" w:rsidR="00456E90" w:rsidRPr="00242835" w:rsidRDefault="00456E90" w:rsidP="00242835">
            <w:r w:rsidRPr="00242835">
              <w:t>Responses</w:t>
            </w:r>
          </w:p>
        </w:tc>
      </w:tr>
      <w:tr w:rsidR="00174F73" w14:paraId="0B054717"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2C5798ED" w14:textId="77777777" w:rsidR="00174F73" w:rsidRPr="00242835" w:rsidRDefault="00174F73" w:rsidP="00242835">
            <w:r w:rsidRPr="00242835">
              <w:t>Strongly agree</w:t>
            </w:r>
          </w:p>
        </w:tc>
        <w:tc>
          <w:tcPr>
            <w:tcW w:w="4814" w:type="dxa"/>
            <w:tcBorders>
              <w:bottom w:val="single" w:sz="4" w:space="0" w:color="000000"/>
            </w:tcBorders>
            <w:vAlign w:val="bottom"/>
          </w:tcPr>
          <w:p w14:paraId="37928501" w14:textId="249C76DE" w:rsidR="00174F73" w:rsidRPr="00242835" w:rsidRDefault="00174F73" w:rsidP="00242835">
            <w:r w:rsidRPr="00242835">
              <w:t>13</w:t>
            </w:r>
            <w:r w:rsidR="005A73EC" w:rsidRPr="00242835">
              <w:t xml:space="preserve"> (22%)</w:t>
            </w:r>
          </w:p>
        </w:tc>
      </w:tr>
      <w:tr w:rsidR="00174F73" w14:paraId="5556263E" w14:textId="77777777">
        <w:tc>
          <w:tcPr>
            <w:tcW w:w="4814" w:type="dxa"/>
            <w:tcBorders>
              <w:top w:val="single" w:sz="4" w:space="0" w:color="000000"/>
              <w:bottom w:val="single" w:sz="4" w:space="0" w:color="000000"/>
            </w:tcBorders>
            <w:vAlign w:val="bottom"/>
          </w:tcPr>
          <w:p w14:paraId="6484FB05" w14:textId="77777777" w:rsidR="00174F73" w:rsidRPr="00242835" w:rsidRDefault="00174F73" w:rsidP="00242835">
            <w:r w:rsidRPr="00242835">
              <w:t>Somewhat agree</w:t>
            </w:r>
          </w:p>
        </w:tc>
        <w:tc>
          <w:tcPr>
            <w:tcW w:w="4814" w:type="dxa"/>
            <w:tcBorders>
              <w:top w:val="single" w:sz="4" w:space="0" w:color="000000"/>
              <w:bottom w:val="single" w:sz="4" w:space="0" w:color="000000"/>
            </w:tcBorders>
            <w:vAlign w:val="bottom"/>
          </w:tcPr>
          <w:p w14:paraId="5C9EDB76" w14:textId="483C7E72" w:rsidR="00174F73" w:rsidRPr="00242835" w:rsidRDefault="00174F73" w:rsidP="00242835">
            <w:r w:rsidRPr="00242835">
              <w:t>19</w:t>
            </w:r>
            <w:r w:rsidR="005A73EC" w:rsidRPr="00242835">
              <w:t xml:space="preserve"> (32%) </w:t>
            </w:r>
          </w:p>
        </w:tc>
      </w:tr>
      <w:tr w:rsidR="00174F73" w14:paraId="4964E179"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6505F356" w14:textId="77777777" w:rsidR="00174F73" w:rsidRPr="00242835" w:rsidRDefault="00174F73" w:rsidP="00242835">
            <w:r w:rsidRPr="00242835">
              <w:t>Neither agree nor disagree</w:t>
            </w:r>
          </w:p>
        </w:tc>
        <w:tc>
          <w:tcPr>
            <w:tcW w:w="4814" w:type="dxa"/>
            <w:tcBorders>
              <w:top w:val="single" w:sz="4" w:space="0" w:color="000000"/>
              <w:bottom w:val="single" w:sz="4" w:space="0" w:color="000000"/>
            </w:tcBorders>
            <w:vAlign w:val="bottom"/>
          </w:tcPr>
          <w:p w14:paraId="305509C7" w14:textId="40F81365" w:rsidR="00174F73" w:rsidRPr="00242835" w:rsidRDefault="00174F73" w:rsidP="00242835">
            <w:r w:rsidRPr="00242835">
              <w:t>9</w:t>
            </w:r>
            <w:r w:rsidR="005A73EC" w:rsidRPr="00242835">
              <w:t xml:space="preserve"> (15%)</w:t>
            </w:r>
          </w:p>
        </w:tc>
      </w:tr>
      <w:tr w:rsidR="00174F73" w14:paraId="474106E3" w14:textId="77777777">
        <w:tc>
          <w:tcPr>
            <w:tcW w:w="4814" w:type="dxa"/>
            <w:tcBorders>
              <w:top w:val="single" w:sz="4" w:space="0" w:color="000000"/>
              <w:bottom w:val="single" w:sz="4" w:space="0" w:color="000000"/>
            </w:tcBorders>
            <w:vAlign w:val="bottom"/>
          </w:tcPr>
          <w:p w14:paraId="3E2AB20E" w14:textId="77777777" w:rsidR="00174F73" w:rsidRPr="00242835" w:rsidRDefault="00174F73" w:rsidP="00242835">
            <w:r w:rsidRPr="00242835">
              <w:t>Somewhat disagree</w:t>
            </w:r>
          </w:p>
        </w:tc>
        <w:tc>
          <w:tcPr>
            <w:tcW w:w="4814" w:type="dxa"/>
            <w:tcBorders>
              <w:top w:val="single" w:sz="4" w:space="0" w:color="000000"/>
              <w:bottom w:val="single" w:sz="4" w:space="0" w:color="000000"/>
            </w:tcBorders>
            <w:vAlign w:val="bottom"/>
          </w:tcPr>
          <w:p w14:paraId="06FD876D" w14:textId="6A1EC1B0" w:rsidR="00174F73" w:rsidRPr="00242835" w:rsidRDefault="00174F73" w:rsidP="00242835">
            <w:r w:rsidRPr="00242835">
              <w:t>16</w:t>
            </w:r>
            <w:r w:rsidR="005A73EC" w:rsidRPr="00242835">
              <w:t xml:space="preserve"> (27%)</w:t>
            </w:r>
          </w:p>
        </w:tc>
      </w:tr>
      <w:tr w:rsidR="00174F73" w14:paraId="3D535449"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24B20556" w14:textId="77777777" w:rsidR="00174F73" w:rsidRPr="00242835" w:rsidRDefault="00174F73" w:rsidP="00242835">
            <w:r w:rsidRPr="00242835">
              <w:t>Strongly disagree</w:t>
            </w:r>
          </w:p>
        </w:tc>
        <w:tc>
          <w:tcPr>
            <w:tcW w:w="4814" w:type="dxa"/>
            <w:tcBorders>
              <w:top w:val="single" w:sz="4" w:space="0" w:color="000000"/>
              <w:bottom w:val="single" w:sz="4" w:space="0" w:color="000000"/>
            </w:tcBorders>
            <w:vAlign w:val="bottom"/>
          </w:tcPr>
          <w:p w14:paraId="5C838A09" w14:textId="7AB8C03D" w:rsidR="00174F73" w:rsidRPr="00242835" w:rsidRDefault="00174F73" w:rsidP="00242835">
            <w:r w:rsidRPr="00242835">
              <w:t>3</w:t>
            </w:r>
            <w:r w:rsidR="005A73EC" w:rsidRPr="00242835">
              <w:t xml:space="preserve"> (5%)</w:t>
            </w:r>
          </w:p>
        </w:tc>
      </w:tr>
    </w:tbl>
    <w:p w14:paraId="32D7062F" w14:textId="4EE46DF2" w:rsidR="008334F3" w:rsidRPr="00BB3E42" w:rsidRDefault="004D5666" w:rsidP="00281D11">
      <w:pPr>
        <w:pStyle w:val="Footer"/>
      </w:pPr>
      <w:r>
        <w:t>Source: KPMG, 2024</w:t>
      </w:r>
      <w:r w:rsidR="00DD3E39">
        <w:t>.</w:t>
      </w:r>
    </w:p>
    <w:p w14:paraId="6FC6E17D" w14:textId="5046E954" w:rsidR="005A73EC" w:rsidRDefault="005A73EC" w:rsidP="00E55CCB">
      <w:pPr>
        <w:pStyle w:val="Caption"/>
      </w:pPr>
      <w:r>
        <w:t xml:space="preserve">Table </w:t>
      </w:r>
      <w:r>
        <w:fldChar w:fldCharType="begin"/>
      </w:r>
      <w:r>
        <w:instrText xml:space="preserve"> SEQ Table \* ARABIC </w:instrText>
      </w:r>
      <w:r>
        <w:fldChar w:fldCharType="separate"/>
      </w:r>
      <w:r w:rsidR="005F7EBC">
        <w:rPr>
          <w:noProof/>
        </w:rPr>
        <w:t>38</w:t>
      </w:r>
      <w:r>
        <w:fldChar w:fldCharType="end"/>
      </w:r>
      <w:r>
        <w:t>: Supervisor survey results to the statement ‘</w:t>
      </w:r>
      <w:r w:rsidR="00E55CCB" w:rsidRPr="00E55CCB">
        <w:t>Administration and reporting requirements for TEAP are user-friendly and efficien</w:t>
      </w:r>
      <w:r w:rsidR="00E55CCB">
        <w:t>t</w:t>
      </w:r>
      <w:r>
        <w:t>.’ (n=60)</w:t>
      </w:r>
    </w:p>
    <w:tbl>
      <w:tblPr>
        <w:tblStyle w:val="TableGrid"/>
        <w:tblW w:w="0" w:type="auto"/>
        <w:tblLook w:val="04A0" w:firstRow="1" w:lastRow="0" w:firstColumn="1" w:lastColumn="0" w:noHBand="0" w:noVBand="1"/>
      </w:tblPr>
      <w:tblGrid>
        <w:gridCol w:w="4814"/>
        <w:gridCol w:w="4814"/>
      </w:tblGrid>
      <w:tr w:rsidR="005A73EC" w14:paraId="513BEB78"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3BC57863" w14:textId="413B50D4" w:rsidR="005A73EC" w:rsidRPr="00242835" w:rsidRDefault="00725A81"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21A85119" w14:textId="48D8377E" w:rsidR="005A73EC" w:rsidRPr="00242835" w:rsidRDefault="005A73EC" w:rsidP="00242835">
            <w:r w:rsidRPr="00242835">
              <w:t>Responses</w:t>
            </w:r>
          </w:p>
        </w:tc>
      </w:tr>
      <w:tr w:rsidR="00AA74EF" w14:paraId="364321A3"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02C54E10" w14:textId="77777777" w:rsidR="00AA74EF" w:rsidRPr="00242835" w:rsidRDefault="00AA74EF" w:rsidP="00242835">
            <w:r w:rsidRPr="00242835">
              <w:t>Strongly agree</w:t>
            </w:r>
          </w:p>
        </w:tc>
        <w:tc>
          <w:tcPr>
            <w:tcW w:w="4814" w:type="dxa"/>
            <w:tcBorders>
              <w:bottom w:val="single" w:sz="4" w:space="0" w:color="000000"/>
            </w:tcBorders>
            <w:vAlign w:val="bottom"/>
          </w:tcPr>
          <w:p w14:paraId="66506BC4" w14:textId="35E64F9C" w:rsidR="00AA74EF" w:rsidRPr="00242835" w:rsidRDefault="00AA74EF" w:rsidP="00242835">
            <w:r w:rsidRPr="00242835">
              <w:t>6</w:t>
            </w:r>
            <w:r w:rsidR="00883ECD" w:rsidRPr="00242835">
              <w:t xml:space="preserve"> (10%)</w:t>
            </w:r>
          </w:p>
        </w:tc>
      </w:tr>
      <w:tr w:rsidR="00AA74EF" w14:paraId="09EF6235" w14:textId="77777777">
        <w:tc>
          <w:tcPr>
            <w:tcW w:w="4814" w:type="dxa"/>
            <w:tcBorders>
              <w:top w:val="single" w:sz="4" w:space="0" w:color="000000"/>
              <w:bottom w:val="single" w:sz="4" w:space="0" w:color="000000"/>
            </w:tcBorders>
            <w:vAlign w:val="bottom"/>
          </w:tcPr>
          <w:p w14:paraId="486E361E" w14:textId="77777777" w:rsidR="00AA74EF" w:rsidRPr="00242835" w:rsidRDefault="00AA74EF" w:rsidP="00242835">
            <w:r w:rsidRPr="00242835">
              <w:t>Somewhat agree</w:t>
            </w:r>
          </w:p>
        </w:tc>
        <w:tc>
          <w:tcPr>
            <w:tcW w:w="4814" w:type="dxa"/>
            <w:tcBorders>
              <w:top w:val="single" w:sz="4" w:space="0" w:color="000000"/>
              <w:bottom w:val="single" w:sz="4" w:space="0" w:color="000000"/>
            </w:tcBorders>
            <w:vAlign w:val="bottom"/>
          </w:tcPr>
          <w:p w14:paraId="471EF6D0" w14:textId="4F3AF9DC" w:rsidR="00AA74EF" w:rsidRPr="00242835" w:rsidRDefault="00AA74EF" w:rsidP="00242835">
            <w:r w:rsidRPr="00242835">
              <w:t>14</w:t>
            </w:r>
            <w:r w:rsidR="00883ECD" w:rsidRPr="00242835">
              <w:t xml:space="preserve"> (23%)</w:t>
            </w:r>
          </w:p>
        </w:tc>
      </w:tr>
      <w:tr w:rsidR="00AA74EF" w14:paraId="1AA2A15F"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3F973A29" w14:textId="77777777" w:rsidR="00AA74EF" w:rsidRPr="00242835" w:rsidRDefault="00AA74EF" w:rsidP="00242835">
            <w:r w:rsidRPr="00242835">
              <w:t>Neither agree nor disagree</w:t>
            </w:r>
          </w:p>
        </w:tc>
        <w:tc>
          <w:tcPr>
            <w:tcW w:w="4814" w:type="dxa"/>
            <w:tcBorders>
              <w:top w:val="single" w:sz="4" w:space="0" w:color="000000"/>
              <w:bottom w:val="single" w:sz="4" w:space="0" w:color="000000"/>
            </w:tcBorders>
            <w:vAlign w:val="bottom"/>
          </w:tcPr>
          <w:p w14:paraId="279F057F" w14:textId="6A67BCDA" w:rsidR="00AA74EF" w:rsidRPr="00242835" w:rsidRDefault="00AA74EF" w:rsidP="00242835">
            <w:r w:rsidRPr="00242835">
              <w:t>16</w:t>
            </w:r>
            <w:r w:rsidR="00883ECD" w:rsidRPr="00242835">
              <w:t xml:space="preserve"> (27%)</w:t>
            </w:r>
          </w:p>
        </w:tc>
      </w:tr>
      <w:tr w:rsidR="00AA74EF" w14:paraId="2C2E6AFC" w14:textId="77777777">
        <w:tc>
          <w:tcPr>
            <w:tcW w:w="4814" w:type="dxa"/>
            <w:tcBorders>
              <w:top w:val="single" w:sz="4" w:space="0" w:color="000000"/>
              <w:bottom w:val="single" w:sz="4" w:space="0" w:color="000000"/>
            </w:tcBorders>
            <w:vAlign w:val="bottom"/>
          </w:tcPr>
          <w:p w14:paraId="6C1570E2" w14:textId="77777777" w:rsidR="00AA74EF" w:rsidRPr="00242835" w:rsidRDefault="00AA74EF" w:rsidP="00242835">
            <w:r w:rsidRPr="00242835">
              <w:t>Somewhat disagree</w:t>
            </w:r>
          </w:p>
        </w:tc>
        <w:tc>
          <w:tcPr>
            <w:tcW w:w="4814" w:type="dxa"/>
            <w:tcBorders>
              <w:top w:val="single" w:sz="4" w:space="0" w:color="000000"/>
              <w:bottom w:val="single" w:sz="4" w:space="0" w:color="000000"/>
            </w:tcBorders>
            <w:vAlign w:val="bottom"/>
          </w:tcPr>
          <w:p w14:paraId="0D9870DC" w14:textId="0205B867" w:rsidR="00AA74EF" w:rsidRPr="00242835" w:rsidRDefault="00AA74EF" w:rsidP="00242835">
            <w:r w:rsidRPr="00242835">
              <w:t>16</w:t>
            </w:r>
            <w:r w:rsidR="00883ECD" w:rsidRPr="00242835">
              <w:t xml:space="preserve"> (27%)</w:t>
            </w:r>
          </w:p>
        </w:tc>
      </w:tr>
      <w:tr w:rsidR="00AA74EF" w14:paraId="358FDEC5"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0BCB0ED5" w14:textId="77777777" w:rsidR="00AA74EF" w:rsidRPr="00242835" w:rsidRDefault="00AA74EF" w:rsidP="00242835">
            <w:r w:rsidRPr="00242835">
              <w:t>Strongly disagree</w:t>
            </w:r>
          </w:p>
        </w:tc>
        <w:tc>
          <w:tcPr>
            <w:tcW w:w="4814" w:type="dxa"/>
            <w:tcBorders>
              <w:top w:val="single" w:sz="4" w:space="0" w:color="000000"/>
              <w:bottom w:val="single" w:sz="4" w:space="0" w:color="000000"/>
            </w:tcBorders>
            <w:vAlign w:val="bottom"/>
          </w:tcPr>
          <w:p w14:paraId="0804A739" w14:textId="2A1BF86E" w:rsidR="00AA74EF" w:rsidRPr="00242835" w:rsidRDefault="00AA74EF" w:rsidP="00242835">
            <w:r w:rsidRPr="00242835">
              <w:t>8</w:t>
            </w:r>
            <w:r w:rsidR="00883ECD" w:rsidRPr="00242835">
              <w:t xml:space="preserve"> (13%)</w:t>
            </w:r>
          </w:p>
        </w:tc>
      </w:tr>
    </w:tbl>
    <w:p w14:paraId="05B218A8" w14:textId="2C5ACECE" w:rsidR="008334F3" w:rsidRPr="00BB3E42" w:rsidRDefault="004D5666" w:rsidP="00281D11">
      <w:pPr>
        <w:pStyle w:val="Footer"/>
      </w:pPr>
      <w:r>
        <w:t>Source: KPMG, 2024</w:t>
      </w:r>
      <w:r w:rsidR="00DD3E39">
        <w:t>.</w:t>
      </w:r>
    </w:p>
    <w:p w14:paraId="22526B18" w14:textId="0E2D5AB6" w:rsidR="00FF34A9" w:rsidRDefault="00FF34A9" w:rsidP="00FF34A9">
      <w:pPr>
        <w:pStyle w:val="Caption"/>
      </w:pPr>
      <w:r>
        <w:t xml:space="preserve">Table </w:t>
      </w:r>
      <w:r>
        <w:fldChar w:fldCharType="begin"/>
      </w:r>
      <w:r>
        <w:instrText xml:space="preserve"> SEQ Table \* ARABIC </w:instrText>
      </w:r>
      <w:r>
        <w:fldChar w:fldCharType="separate"/>
      </w:r>
      <w:r w:rsidR="005F7EBC">
        <w:rPr>
          <w:noProof/>
        </w:rPr>
        <w:t>39</w:t>
      </w:r>
      <w:r>
        <w:fldChar w:fldCharType="end"/>
      </w:r>
      <w:r>
        <w:t>: Supervisor survey results to the statement ‘</w:t>
      </w:r>
      <w:r w:rsidRPr="00FF34A9">
        <w:t>The program is positively impacting the quality of services provided by professionals in your discipline in your region/facility</w:t>
      </w:r>
      <w:r>
        <w:t>.’ (n=</w:t>
      </w:r>
      <w:r w:rsidR="000D32E3">
        <w:t>54</w:t>
      </w:r>
      <w:r>
        <w:t>)</w:t>
      </w:r>
    </w:p>
    <w:tbl>
      <w:tblPr>
        <w:tblStyle w:val="TableGrid"/>
        <w:tblW w:w="0" w:type="auto"/>
        <w:tblLook w:val="04A0" w:firstRow="1" w:lastRow="0" w:firstColumn="1" w:lastColumn="0" w:noHBand="0" w:noVBand="1"/>
      </w:tblPr>
      <w:tblGrid>
        <w:gridCol w:w="4814"/>
        <w:gridCol w:w="4814"/>
      </w:tblGrid>
      <w:tr w:rsidR="00FF34A9" w14:paraId="3EB39D94"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4EE33E13" w14:textId="520C737A" w:rsidR="00FF34A9" w:rsidRPr="00242835" w:rsidRDefault="00725A81"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7ED14E3E" w14:textId="7F8B8B02" w:rsidR="00FF34A9" w:rsidRPr="00242835" w:rsidRDefault="00FF34A9" w:rsidP="00242835">
            <w:r w:rsidRPr="00242835">
              <w:t>Responses</w:t>
            </w:r>
          </w:p>
        </w:tc>
      </w:tr>
      <w:tr w:rsidR="00B24F1B" w14:paraId="7A4FF09B"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0BB116C1" w14:textId="77777777" w:rsidR="00B24F1B" w:rsidRPr="00242835" w:rsidRDefault="00B24F1B" w:rsidP="00242835">
            <w:r w:rsidRPr="00242835">
              <w:t>Strongly agree</w:t>
            </w:r>
          </w:p>
        </w:tc>
        <w:tc>
          <w:tcPr>
            <w:tcW w:w="4814" w:type="dxa"/>
            <w:tcBorders>
              <w:bottom w:val="single" w:sz="4" w:space="0" w:color="000000"/>
            </w:tcBorders>
            <w:vAlign w:val="bottom"/>
          </w:tcPr>
          <w:p w14:paraId="23C29161" w14:textId="27CB5E4F" w:rsidR="00B24F1B" w:rsidRPr="00242835" w:rsidRDefault="00B24F1B" w:rsidP="00242835">
            <w:r w:rsidRPr="00242835">
              <w:t>22</w:t>
            </w:r>
            <w:r w:rsidR="00D0682F" w:rsidRPr="00242835">
              <w:t xml:space="preserve"> (41%)</w:t>
            </w:r>
          </w:p>
        </w:tc>
      </w:tr>
      <w:tr w:rsidR="00B24F1B" w14:paraId="0D9B5693" w14:textId="77777777">
        <w:tc>
          <w:tcPr>
            <w:tcW w:w="4814" w:type="dxa"/>
            <w:tcBorders>
              <w:top w:val="single" w:sz="4" w:space="0" w:color="000000"/>
              <w:bottom w:val="single" w:sz="4" w:space="0" w:color="000000"/>
            </w:tcBorders>
            <w:vAlign w:val="bottom"/>
          </w:tcPr>
          <w:p w14:paraId="67CE5741" w14:textId="77777777" w:rsidR="00B24F1B" w:rsidRPr="00242835" w:rsidRDefault="00B24F1B" w:rsidP="00242835">
            <w:r w:rsidRPr="00242835">
              <w:t>Somewhat agree</w:t>
            </w:r>
          </w:p>
        </w:tc>
        <w:tc>
          <w:tcPr>
            <w:tcW w:w="4814" w:type="dxa"/>
            <w:tcBorders>
              <w:top w:val="single" w:sz="4" w:space="0" w:color="000000"/>
              <w:bottom w:val="single" w:sz="4" w:space="0" w:color="000000"/>
            </w:tcBorders>
            <w:vAlign w:val="bottom"/>
          </w:tcPr>
          <w:p w14:paraId="71F636A5" w14:textId="5AEBABDE" w:rsidR="00B24F1B" w:rsidRPr="00242835" w:rsidRDefault="00B24F1B" w:rsidP="00242835">
            <w:r w:rsidRPr="00242835">
              <w:t>19</w:t>
            </w:r>
            <w:r w:rsidR="00D0682F" w:rsidRPr="00242835">
              <w:t xml:space="preserve"> (35%)</w:t>
            </w:r>
          </w:p>
        </w:tc>
      </w:tr>
      <w:tr w:rsidR="00B24F1B" w14:paraId="70DC1BD8"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1B54F7FB" w14:textId="77777777" w:rsidR="00B24F1B" w:rsidRPr="00242835" w:rsidRDefault="00B24F1B" w:rsidP="00242835">
            <w:r w:rsidRPr="00242835">
              <w:t>Neither agree nor disagree</w:t>
            </w:r>
          </w:p>
        </w:tc>
        <w:tc>
          <w:tcPr>
            <w:tcW w:w="4814" w:type="dxa"/>
            <w:tcBorders>
              <w:top w:val="single" w:sz="4" w:space="0" w:color="000000"/>
              <w:bottom w:val="single" w:sz="4" w:space="0" w:color="000000"/>
            </w:tcBorders>
            <w:vAlign w:val="bottom"/>
          </w:tcPr>
          <w:p w14:paraId="25BA22F7" w14:textId="0C8B2CAE" w:rsidR="00B24F1B" w:rsidRPr="00242835" w:rsidRDefault="00B24F1B" w:rsidP="00242835">
            <w:r w:rsidRPr="00242835">
              <w:t>6</w:t>
            </w:r>
            <w:r w:rsidR="00D0682F" w:rsidRPr="00242835">
              <w:t xml:space="preserve"> (11%)</w:t>
            </w:r>
          </w:p>
        </w:tc>
      </w:tr>
      <w:tr w:rsidR="00B24F1B" w14:paraId="76EE766D" w14:textId="77777777">
        <w:tc>
          <w:tcPr>
            <w:tcW w:w="4814" w:type="dxa"/>
            <w:tcBorders>
              <w:top w:val="single" w:sz="4" w:space="0" w:color="000000"/>
              <w:bottom w:val="single" w:sz="4" w:space="0" w:color="000000"/>
            </w:tcBorders>
            <w:vAlign w:val="bottom"/>
          </w:tcPr>
          <w:p w14:paraId="47251D90" w14:textId="77777777" w:rsidR="00B24F1B" w:rsidRPr="00242835" w:rsidRDefault="00B24F1B" w:rsidP="00242835">
            <w:r w:rsidRPr="00242835">
              <w:t>Somewhat disagree</w:t>
            </w:r>
          </w:p>
        </w:tc>
        <w:tc>
          <w:tcPr>
            <w:tcW w:w="4814" w:type="dxa"/>
            <w:tcBorders>
              <w:top w:val="single" w:sz="4" w:space="0" w:color="000000"/>
              <w:bottom w:val="single" w:sz="4" w:space="0" w:color="000000"/>
            </w:tcBorders>
            <w:vAlign w:val="bottom"/>
          </w:tcPr>
          <w:p w14:paraId="75EBECF5" w14:textId="1963F70F" w:rsidR="00B24F1B" w:rsidRPr="00242835" w:rsidRDefault="00B24F1B" w:rsidP="00242835">
            <w:r w:rsidRPr="00242835">
              <w:t>6</w:t>
            </w:r>
            <w:r w:rsidR="00D0682F" w:rsidRPr="00242835">
              <w:t xml:space="preserve"> (11%)</w:t>
            </w:r>
          </w:p>
        </w:tc>
      </w:tr>
      <w:tr w:rsidR="00B24F1B" w14:paraId="4DE71001"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35422484" w14:textId="77777777" w:rsidR="00B24F1B" w:rsidRPr="00242835" w:rsidRDefault="00B24F1B" w:rsidP="00242835">
            <w:r w:rsidRPr="00242835">
              <w:t>Strongly disagree</w:t>
            </w:r>
          </w:p>
        </w:tc>
        <w:tc>
          <w:tcPr>
            <w:tcW w:w="4814" w:type="dxa"/>
            <w:tcBorders>
              <w:top w:val="single" w:sz="4" w:space="0" w:color="000000"/>
              <w:bottom w:val="single" w:sz="4" w:space="0" w:color="000000"/>
            </w:tcBorders>
            <w:vAlign w:val="bottom"/>
          </w:tcPr>
          <w:p w14:paraId="457FAB9A" w14:textId="5B9FB0A8" w:rsidR="00B24F1B" w:rsidRPr="00242835" w:rsidRDefault="00B24F1B" w:rsidP="00242835">
            <w:r w:rsidRPr="00242835">
              <w:t>1</w:t>
            </w:r>
            <w:r w:rsidR="00D0682F" w:rsidRPr="00242835">
              <w:t xml:space="preserve"> (2%)</w:t>
            </w:r>
          </w:p>
        </w:tc>
      </w:tr>
    </w:tbl>
    <w:p w14:paraId="3E983B4C" w14:textId="32BC9246" w:rsidR="00936623" w:rsidRPr="00BB3E42" w:rsidRDefault="004D5666" w:rsidP="00281D11">
      <w:pPr>
        <w:pStyle w:val="Footer"/>
      </w:pPr>
      <w:r>
        <w:t>Source: KPMG, 2024</w:t>
      </w:r>
      <w:r w:rsidR="00DD3E39">
        <w:t>.</w:t>
      </w:r>
    </w:p>
    <w:p w14:paraId="139C39CD" w14:textId="0E755D34" w:rsidR="00D0682F" w:rsidRDefault="00D0682F" w:rsidP="00D45910">
      <w:pPr>
        <w:pStyle w:val="Caption"/>
      </w:pPr>
      <w:r>
        <w:t xml:space="preserve">Table </w:t>
      </w:r>
      <w:r>
        <w:fldChar w:fldCharType="begin"/>
      </w:r>
      <w:r>
        <w:instrText xml:space="preserve"> SEQ Table \* ARABIC </w:instrText>
      </w:r>
      <w:r>
        <w:fldChar w:fldCharType="separate"/>
      </w:r>
      <w:r w:rsidR="005F7EBC">
        <w:rPr>
          <w:noProof/>
        </w:rPr>
        <w:t>40</w:t>
      </w:r>
      <w:r>
        <w:fldChar w:fldCharType="end"/>
      </w:r>
      <w:r>
        <w:t>: Supervisor survey results to the statement ‘</w:t>
      </w:r>
      <w:r w:rsidR="00D45910" w:rsidRPr="00D45910">
        <w:t>The program is positively impacting the number of certified professionals in your discipline in your region/facility</w:t>
      </w:r>
      <w:r>
        <w:t>.’ (n=54)</w:t>
      </w:r>
    </w:p>
    <w:tbl>
      <w:tblPr>
        <w:tblStyle w:val="TableGrid"/>
        <w:tblW w:w="0" w:type="auto"/>
        <w:tblLook w:val="04A0" w:firstRow="1" w:lastRow="0" w:firstColumn="1" w:lastColumn="0" w:noHBand="0" w:noVBand="1"/>
      </w:tblPr>
      <w:tblGrid>
        <w:gridCol w:w="4814"/>
        <w:gridCol w:w="4814"/>
      </w:tblGrid>
      <w:tr w:rsidR="00D0682F" w14:paraId="2704EA04" w14:textId="77777777" w:rsidTr="00281D11">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6B62376D" w14:textId="03C462C9" w:rsidR="00D0682F" w:rsidRPr="00242835" w:rsidRDefault="00725A81"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31F53527" w14:textId="63066596" w:rsidR="00D0682F" w:rsidRPr="00242835" w:rsidRDefault="00D0682F" w:rsidP="00242835">
            <w:r w:rsidRPr="00242835">
              <w:t>Responses</w:t>
            </w:r>
          </w:p>
        </w:tc>
      </w:tr>
      <w:tr w:rsidR="003E55BB" w14:paraId="4DFFF24F"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029274EC" w14:textId="77777777" w:rsidR="003E55BB" w:rsidRPr="00242835" w:rsidRDefault="003E55BB" w:rsidP="00242835">
            <w:r w:rsidRPr="00242835">
              <w:t>Strongly agree</w:t>
            </w:r>
          </w:p>
        </w:tc>
        <w:tc>
          <w:tcPr>
            <w:tcW w:w="4814" w:type="dxa"/>
            <w:tcBorders>
              <w:bottom w:val="single" w:sz="4" w:space="0" w:color="000000"/>
            </w:tcBorders>
            <w:vAlign w:val="bottom"/>
          </w:tcPr>
          <w:p w14:paraId="479C3090" w14:textId="418EA8B5" w:rsidR="003E55BB" w:rsidRPr="00242835" w:rsidRDefault="003E55BB" w:rsidP="00242835">
            <w:r w:rsidRPr="00242835">
              <w:t>24</w:t>
            </w:r>
            <w:r w:rsidR="00697868" w:rsidRPr="00242835">
              <w:t xml:space="preserve"> (44%)</w:t>
            </w:r>
          </w:p>
        </w:tc>
      </w:tr>
      <w:tr w:rsidR="003E55BB" w14:paraId="65814D6A" w14:textId="77777777">
        <w:tc>
          <w:tcPr>
            <w:tcW w:w="4814" w:type="dxa"/>
            <w:tcBorders>
              <w:top w:val="single" w:sz="4" w:space="0" w:color="000000"/>
              <w:bottom w:val="single" w:sz="4" w:space="0" w:color="000000"/>
            </w:tcBorders>
            <w:vAlign w:val="bottom"/>
          </w:tcPr>
          <w:p w14:paraId="6EFFA40D" w14:textId="77777777" w:rsidR="003E55BB" w:rsidRPr="00242835" w:rsidRDefault="003E55BB" w:rsidP="00242835">
            <w:r w:rsidRPr="00242835">
              <w:t>Somewhat agree</w:t>
            </w:r>
          </w:p>
        </w:tc>
        <w:tc>
          <w:tcPr>
            <w:tcW w:w="4814" w:type="dxa"/>
            <w:tcBorders>
              <w:top w:val="single" w:sz="4" w:space="0" w:color="000000"/>
              <w:bottom w:val="single" w:sz="4" w:space="0" w:color="000000"/>
            </w:tcBorders>
            <w:vAlign w:val="bottom"/>
          </w:tcPr>
          <w:p w14:paraId="60458161" w14:textId="69EA0C57" w:rsidR="003E55BB" w:rsidRPr="00242835" w:rsidRDefault="003E55BB" w:rsidP="00242835">
            <w:r w:rsidRPr="00242835">
              <w:t>15</w:t>
            </w:r>
            <w:r w:rsidR="00697868" w:rsidRPr="00242835">
              <w:t xml:space="preserve"> (28%)</w:t>
            </w:r>
          </w:p>
        </w:tc>
      </w:tr>
      <w:tr w:rsidR="003E55BB" w14:paraId="574EE015"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2C83B9EB" w14:textId="77777777" w:rsidR="003E55BB" w:rsidRPr="00242835" w:rsidRDefault="003E55BB" w:rsidP="00242835">
            <w:r w:rsidRPr="00242835">
              <w:t>Neither agree nor disagree</w:t>
            </w:r>
          </w:p>
        </w:tc>
        <w:tc>
          <w:tcPr>
            <w:tcW w:w="4814" w:type="dxa"/>
            <w:tcBorders>
              <w:top w:val="single" w:sz="4" w:space="0" w:color="000000"/>
              <w:bottom w:val="single" w:sz="4" w:space="0" w:color="000000"/>
            </w:tcBorders>
            <w:vAlign w:val="bottom"/>
          </w:tcPr>
          <w:p w14:paraId="5480411D" w14:textId="48E009F5" w:rsidR="003E55BB" w:rsidRPr="00242835" w:rsidRDefault="003E55BB" w:rsidP="00242835">
            <w:r w:rsidRPr="00242835">
              <w:t>5</w:t>
            </w:r>
            <w:r w:rsidR="00697868" w:rsidRPr="00242835">
              <w:t xml:space="preserve"> (9%)</w:t>
            </w:r>
          </w:p>
        </w:tc>
      </w:tr>
      <w:tr w:rsidR="003E55BB" w14:paraId="685425B1" w14:textId="77777777">
        <w:tc>
          <w:tcPr>
            <w:tcW w:w="4814" w:type="dxa"/>
            <w:tcBorders>
              <w:top w:val="single" w:sz="4" w:space="0" w:color="000000"/>
              <w:bottom w:val="single" w:sz="4" w:space="0" w:color="000000"/>
            </w:tcBorders>
            <w:vAlign w:val="bottom"/>
          </w:tcPr>
          <w:p w14:paraId="07F76AB6" w14:textId="77777777" w:rsidR="003E55BB" w:rsidRPr="00242835" w:rsidRDefault="003E55BB" w:rsidP="00242835">
            <w:r w:rsidRPr="00242835">
              <w:t>Somewhat disagree</w:t>
            </w:r>
          </w:p>
        </w:tc>
        <w:tc>
          <w:tcPr>
            <w:tcW w:w="4814" w:type="dxa"/>
            <w:tcBorders>
              <w:top w:val="single" w:sz="4" w:space="0" w:color="000000"/>
              <w:bottom w:val="single" w:sz="4" w:space="0" w:color="000000"/>
            </w:tcBorders>
            <w:vAlign w:val="bottom"/>
          </w:tcPr>
          <w:p w14:paraId="39C57CDE" w14:textId="14BE9F11" w:rsidR="003E55BB" w:rsidRPr="00242835" w:rsidRDefault="003E55BB" w:rsidP="00242835">
            <w:r w:rsidRPr="00242835">
              <w:t>7</w:t>
            </w:r>
            <w:r w:rsidR="00697868" w:rsidRPr="00242835">
              <w:t xml:space="preserve"> (13%)</w:t>
            </w:r>
          </w:p>
        </w:tc>
      </w:tr>
      <w:tr w:rsidR="003E55BB" w14:paraId="2EF6AB24"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7F36D75B" w14:textId="77777777" w:rsidR="003E55BB" w:rsidRPr="00242835" w:rsidRDefault="003E55BB" w:rsidP="00242835">
            <w:r w:rsidRPr="00242835">
              <w:t>Strongly disagree</w:t>
            </w:r>
          </w:p>
        </w:tc>
        <w:tc>
          <w:tcPr>
            <w:tcW w:w="4814" w:type="dxa"/>
            <w:tcBorders>
              <w:top w:val="single" w:sz="4" w:space="0" w:color="000000"/>
              <w:bottom w:val="single" w:sz="4" w:space="0" w:color="000000"/>
            </w:tcBorders>
            <w:vAlign w:val="bottom"/>
          </w:tcPr>
          <w:p w14:paraId="75F0B903" w14:textId="14CFB7D6" w:rsidR="003E55BB" w:rsidRPr="00242835" w:rsidRDefault="003E55BB" w:rsidP="00242835">
            <w:r w:rsidRPr="00242835">
              <w:t>3</w:t>
            </w:r>
            <w:r w:rsidR="00697868" w:rsidRPr="00242835">
              <w:t xml:space="preserve"> (6%)</w:t>
            </w:r>
          </w:p>
        </w:tc>
      </w:tr>
    </w:tbl>
    <w:p w14:paraId="060BF0AA" w14:textId="07444E51" w:rsidR="00697868" w:rsidRPr="00BB3E42" w:rsidRDefault="004D5666" w:rsidP="00281D11">
      <w:pPr>
        <w:pStyle w:val="Footer"/>
      </w:pPr>
      <w:r>
        <w:t>Source: KPMG, 2024</w:t>
      </w:r>
      <w:r w:rsidR="00DD3E39">
        <w:t>.</w:t>
      </w:r>
    </w:p>
    <w:p w14:paraId="131C56CB" w14:textId="70F02DA2" w:rsidR="00697868" w:rsidRDefault="00697868" w:rsidP="009D6421">
      <w:pPr>
        <w:pStyle w:val="Caption"/>
      </w:pPr>
      <w:r>
        <w:t xml:space="preserve">Table </w:t>
      </w:r>
      <w:r>
        <w:fldChar w:fldCharType="begin"/>
      </w:r>
      <w:r>
        <w:instrText xml:space="preserve"> SEQ Table \* ARABIC </w:instrText>
      </w:r>
      <w:r>
        <w:fldChar w:fldCharType="separate"/>
      </w:r>
      <w:r w:rsidR="005F7EBC">
        <w:rPr>
          <w:noProof/>
        </w:rPr>
        <w:t>41</w:t>
      </w:r>
      <w:r>
        <w:fldChar w:fldCharType="end"/>
      </w:r>
      <w:r>
        <w:t>: Supervisor survey results to the statement ‘</w:t>
      </w:r>
      <w:r w:rsidR="009D6421" w:rsidRPr="009D6421">
        <w:t>The program is positively impacting the distribution of the medical physicist workforce and radiopharmaceutical scientists, particularly in regional, rural or remote communities</w:t>
      </w:r>
      <w:r>
        <w:t>.’ (n=54)</w:t>
      </w:r>
    </w:p>
    <w:tbl>
      <w:tblPr>
        <w:tblStyle w:val="TableGrid"/>
        <w:tblW w:w="0" w:type="auto"/>
        <w:tblLook w:val="04A0" w:firstRow="1" w:lastRow="0" w:firstColumn="1" w:lastColumn="0" w:noHBand="0" w:noVBand="1"/>
      </w:tblPr>
      <w:tblGrid>
        <w:gridCol w:w="4814"/>
        <w:gridCol w:w="4814"/>
      </w:tblGrid>
      <w:tr w:rsidR="00697868" w14:paraId="6B62FC55" w14:textId="77777777" w:rsidTr="00281D11">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413A6397" w14:textId="0A43673A" w:rsidR="00697868" w:rsidRPr="00242835" w:rsidRDefault="00725A81" w:rsidP="00242835">
            <w:r w:rsidRPr="00242835">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780B7A62" w14:textId="4BDB06D4" w:rsidR="00697868" w:rsidRPr="00242835" w:rsidRDefault="00697868" w:rsidP="00242835">
            <w:r w:rsidRPr="00242835">
              <w:t>Responses</w:t>
            </w:r>
          </w:p>
        </w:tc>
      </w:tr>
      <w:tr w:rsidR="00CE4FB6" w14:paraId="591C0979"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4F773719" w14:textId="77777777" w:rsidR="00CE4FB6" w:rsidRPr="00242835" w:rsidRDefault="00CE4FB6" w:rsidP="00242835">
            <w:r w:rsidRPr="00242835">
              <w:t>Strongly agree</w:t>
            </w:r>
          </w:p>
        </w:tc>
        <w:tc>
          <w:tcPr>
            <w:tcW w:w="4814" w:type="dxa"/>
            <w:tcBorders>
              <w:bottom w:val="single" w:sz="4" w:space="0" w:color="000000"/>
            </w:tcBorders>
            <w:vAlign w:val="bottom"/>
          </w:tcPr>
          <w:p w14:paraId="2B899B6A" w14:textId="1C7C302F" w:rsidR="00CE4FB6" w:rsidRPr="00242835" w:rsidRDefault="00CE4FB6" w:rsidP="00242835">
            <w:r w:rsidRPr="00242835">
              <w:t>9</w:t>
            </w:r>
            <w:r w:rsidR="00246514" w:rsidRPr="00242835">
              <w:t xml:space="preserve"> (17%)</w:t>
            </w:r>
          </w:p>
        </w:tc>
      </w:tr>
      <w:tr w:rsidR="00CE4FB6" w14:paraId="307E2745" w14:textId="77777777">
        <w:tc>
          <w:tcPr>
            <w:tcW w:w="4814" w:type="dxa"/>
            <w:tcBorders>
              <w:top w:val="single" w:sz="4" w:space="0" w:color="000000"/>
              <w:bottom w:val="single" w:sz="4" w:space="0" w:color="000000"/>
            </w:tcBorders>
            <w:vAlign w:val="bottom"/>
          </w:tcPr>
          <w:p w14:paraId="23A44A3D" w14:textId="77777777" w:rsidR="00CE4FB6" w:rsidRPr="00242835" w:rsidRDefault="00CE4FB6" w:rsidP="00242835">
            <w:r w:rsidRPr="00242835">
              <w:t>Somewhat agree</w:t>
            </w:r>
          </w:p>
        </w:tc>
        <w:tc>
          <w:tcPr>
            <w:tcW w:w="4814" w:type="dxa"/>
            <w:tcBorders>
              <w:top w:val="single" w:sz="4" w:space="0" w:color="000000"/>
              <w:bottom w:val="single" w:sz="4" w:space="0" w:color="000000"/>
            </w:tcBorders>
            <w:vAlign w:val="bottom"/>
          </w:tcPr>
          <w:p w14:paraId="70C0D37C" w14:textId="4FF0BB7C" w:rsidR="00CE4FB6" w:rsidRPr="00242835" w:rsidRDefault="00CE4FB6" w:rsidP="00242835">
            <w:r w:rsidRPr="00242835">
              <w:t>10</w:t>
            </w:r>
            <w:r w:rsidR="00246514" w:rsidRPr="00242835">
              <w:t xml:space="preserve"> (19%)</w:t>
            </w:r>
          </w:p>
        </w:tc>
      </w:tr>
      <w:tr w:rsidR="00CE4FB6" w14:paraId="63451A1D"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72B55935" w14:textId="77777777" w:rsidR="00CE4FB6" w:rsidRPr="00242835" w:rsidRDefault="00CE4FB6" w:rsidP="00242835">
            <w:r w:rsidRPr="00242835">
              <w:t>Neither agree nor disagree</w:t>
            </w:r>
          </w:p>
        </w:tc>
        <w:tc>
          <w:tcPr>
            <w:tcW w:w="4814" w:type="dxa"/>
            <w:tcBorders>
              <w:top w:val="single" w:sz="4" w:space="0" w:color="000000"/>
              <w:bottom w:val="single" w:sz="4" w:space="0" w:color="000000"/>
            </w:tcBorders>
            <w:vAlign w:val="bottom"/>
          </w:tcPr>
          <w:p w14:paraId="322C299C" w14:textId="64D6D437" w:rsidR="00CE4FB6" w:rsidRPr="00242835" w:rsidRDefault="00CE4FB6" w:rsidP="00242835">
            <w:r w:rsidRPr="00242835">
              <w:t>23</w:t>
            </w:r>
            <w:r w:rsidR="00246514" w:rsidRPr="00242835">
              <w:t xml:space="preserve"> (43%)</w:t>
            </w:r>
          </w:p>
        </w:tc>
      </w:tr>
      <w:tr w:rsidR="00CE4FB6" w14:paraId="76A7A2A2" w14:textId="77777777">
        <w:tc>
          <w:tcPr>
            <w:tcW w:w="4814" w:type="dxa"/>
            <w:tcBorders>
              <w:top w:val="single" w:sz="4" w:space="0" w:color="000000"/>
              <w:bottom w:val="single" w:sz="4" w:space="0" w:color="000000"/>
            </w:tcBorders>
            <w:vAlign w:val="bottom"/>
          </w:tcPr>
          <w:p w14:paraId="6D07BF92" w14:textId="77777777" w:rsidR="00CE4FB6" w:rsidRPr="00242835" w:rsidRDefault="00CE4FB6" w:rsidP="00242835">
            <w:r w:rsidRPr="00242835">
              <w:t>Somewhat disagree</w:t>
            </w:r>
          </w:p>
        </w:tc>
        <w:tc>
          <w:tcPr>
            <w:tcW w:w="4814" w:type="dxa"/>
            <w:tcBorders>
              <w:top w:val="single" w:sz="4" w:space="0" w:color="000000"/>
              <w:bottom w:val="single" w:sz="4" w:space="0" w:color="000000"/>
            </w:tcBorders>
            <w:vAlign w:val="bottom"/>
          </w:tcPr>
          <w:p w14:paraId="5D4D399A" w14:textId="4FB6912E" w:rsidR="00CE4FB6" w:rsidRPr="00242835" w:rsidRDefault="00CE4FB6" w:rsidP="00242835">
            <w:r w:rsidRPr="00242835">
              <w:t>8</w:t>
            </w:r>
            <w:r w:rsidR="00246514" w:rsidRPr="00242835">
              <w:t xml:space="preserve"> (15%)</w:t>
            </w:r>
          </w:p>
        </w:tc>
      </w:tr>
      <w:tr w:rsidR="00CE4FB6" w14:paraId="2FB2D11F"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18170AF4" w14:textId="77777777" w:rsidR="00CE4FB6" w:rsidRPr="00242835" w:rsidRDefault="00CE4FB6" w:rsidP="00242835">
            <w:r w:rsidRPr="00242835">
              <w:t>Strongly disagree</w:t>
            </w:r>
          </w:p>
        </w:tc>
        <w:tc>
          <w:tcPr>
            <w:tcW w:w="4814" w:type="dxa"/>
            <w:tcBorders>
              <w:top w:val="single" w:sz="4" w:space="0" w:color="000000"/>
              <w:bottom w:val="single" w:sz="4" w:space="0" w:color="000000"/>
            </w:tcBorders>
            <w:vAlign w:val="bottom"/>
          </w:tcPr>
          <w:p w14:paraId="470BEDE9" w14:textId="609F10EC" w:rsidR="00CE4FB6" w:rsidRPr="00242835" w:rsidRDefault="00CE4FB6" w:rsidP="00242835">
            <w:r w:rsidRPr="00242835">
              <w:t>4</w:t>
            </w:r>
            <w:r w:rsidR="00246514" w:rsidRPr="00242835">
              <w:t xml:space="preserve"> (7%)</w:t>
            </w:r>
          </w:p>
        </w:tc>
      </w:tr>
    </w:tbl>
    <w:p w14:paraId="6A2AC672" w14:textId="627D2675" w:rsidR="00697868" w:rsidRPr="00BB3E42" w:rsidRDefault="004D5666" w:rsidP="00281D11">
      <w:pPr>
        <w:pStyle w:val="Footer"/>
      </w:pPr>
      <w:r>
        <w:t>Source: KPMG, 2024</w:t>
      </w:r>
      <w:r w:rsidR="00DD3E39">
        <w:t>.</w:t>
      </w:r>
    </w:p>
    <w:p w14:paraId="6B18306B" w14:textId="77777777" w:rsidR="00D0682F" w:rsidRDefault="00D0682F" w:rsidP="00BB3E42"/>
    <w:p w14:paraId="2C16BEAE" w14:textId="19F346A2" w:rsidR="000030A0" w:rsidRPr="005A7B89" w:rsidRDefault="000030A0" w:rsidP="000030A0">
      <w:pPr>
        <w:spacing w:before="0" w:after="160" w:line="259" w:lineRule="auto"/>
        <w:sectPr w:rsidR="000030A0" w:rsidRPr="005A7B89" w:rsidSect="000030A0">
          <w:pgSz w:w="11906" w:h="16838"/>
          <w:pgMar w:top="1701" w:right="1134" w:bottom="1134" w:left="1134" w:header="709" w:footer="454" w:gutter="0"/>
          <w:cols w:space="708"/>
          <w:docGrid w:linePitch="360"/>
        </w:sectPr>
      </w:pPr>
    </w:p>
    <w:p w14:paraId="6187D435" w14:textId="6979E6B6" w:rsidR="00DD40C8" w:rsidRPr="00DD40C8" w:rsidRDefault="000030A0" w:rsidP="00273E1A">
      <w:pPr>
        <w:pStyle w:val="Heading2"/>
      </w:pPr>
      <w:bookmarkStart w:id="341" w:name="_Toc184396596"/>
      <w:bookmarkStart w:id="342" w:name="_Toc216711630"/>
      <w:bookmarkStart w:id="343" w:name="_Toc216792024"/>
      <w:r>
        <w:t>Registrar survey results</w:t>
      </w:r>
      <w:bookmarkEnd w:id="341"/>
      <w:bookmarkEnd w:id="342"/>
      <w:bookmarkEnd w:id="343"/>
    </w:p>
    <w:p w14:paraId="16D4B139" w14:textId="6C55B7EB" w:rsidR="00DD40C8" w:rsidRDefault="00DD40C8" w:rsidP="00DD40C8">
      <w:pPr>
        <w:pStyle w:val="BodyText"/>
      </w:pPr>
      <w:r>
        <w:t>The Registrar survey was open to responses from current or previous TEAP Registrars between Thursday 17</w:t>
      </w:r>
      <w:r w:rsidRPr="007F44FA">
        <w:rPr>
          <w:vertAlign w:val="superscript"/>
        </w:rPr>
        <w:t>th</w:t>
      </w:r>
      <w:r>
        <w:t xml:space="preserve"> of October and midnight Friday 1 November.</w:t>
      </w:r>
    </w:p>
    <w:p w14:paraId="789F9692" w14:textId="5871CABD" w:rsidR="00DD40C8" w:rsidRDefault="00DD40C8" w:rsidP="00DD40C8">
      <w:pPr>
        <w:pStyle w:val="BodyText"/>
      </w:pPr>
      <w:r>
        <w:t xml:space="preserve">There </w:t>
      </w:r>
      <w:proofErr w:type="gramStart"/>
      <w:r>
        <w:t>were</w:t>
      </w:r>
      <w:proofErr w:type="gramEnd"/>
      <w:r>
        <w:t xml:space="preserve"> a total of </w:t>
      </w:r>
      <w:r w:rsidR="003F348D">
        <w:t>86</w:t>
      </w:r>
      <w:r>
        <w:t xml:space="preserve"> respondents to the </w:t>
      </w:r>
      <w:r w:rsidR="00B60BCE">
        <w:t>Registrar</w:t>
      </w:r>
      <w:r>
        <w:t xml:space="preserve"> survey, of which </w:t>
      </w:r>
      <w:r w:rsidR="00F2616F">
        <w:t>61</w:t>
      </w:r>
      <w:r>
        <w:t xml:space="preserve"> completed the survey. </w:t>
      </w:r>
    </w:p>
    <w:p w14:paraId="2F8DD749" w14:textId="207B9924" w:rsidR="001A05F3" w:rsidRDefault="00CF1922" w:rsidP="00CF1922">
      <w:pPr>
        <w:pStyle w:val="BodyText"/>
      </w:pPr>
      <w:r>
        <w:t xml:space="preserve">Given this evaluation is focused on the MPS Program from 2018 onwards, responses from </w:t>
      </w:r>
      <w:r w:rsidR="00BF3883">
        <w:t>TEAP Registrars who graduated from the Program prior to 2018 were excluded (n=</w:t>
      </w:r>
      <w:r w:rsidR="00B67C1B">
        <w:t>6)</w:t>
      </w:r>
      <w:r w:rsidR="003356CC">
        <w:t>.</w:t>
      </w:r>
    </w:p>
    <w:p w14:paraId="2EE48C84" w14:textId="4C00F98E" w:rsidR="003678D8" w:rsidRDefault="00F14954" w:rsidP="00BB3E42">
      <w:pPr>
        <w:pStyle w:val="BodyText"/>
      </w:pPr>
      <w:r>
        <w:t>Results of the Registrar survey are detailed in the tables below.</w:t>
      </w:r>
    </w:p>
    <w:p w14:paraId="69C5D4F5" w14:textId="3CFCB8EF" w:rsidR="003678D8" w:rsidRDefault="003678D8" w:rsidP="003678D8">
      <w:pPr>
        <w:pStyle w:val="Caption"/>
      </w:pPr>
      <w:r>
        <w:t xml:space="preserve">Table </w:t>
      </w:r>
      <w:r>
        <w:fldChar w:fldCharType="begin"/>
      </w:r>
      <w:r>
        <w:instrText xml:space="preserve"> SEQ Table \* ARABIC </w:instrText>
      </w:r>
      <w:r>
        <w:fldChar w:fldCharType="separate"/>
      </w:r>
      <w:r w:rsidR="005F7EBC">
        <w:rPr>
          <w:noProof/>
        </w:rPr>
        <w:t>42</w:t>
      </w:r>
      <w:r>
        <w:fldChar w:fldCharType="end"/>
      </w:r>
      <w:r>
        <w:t>: Registrar survey results to the question ‘What is your age?’ (n=</w:t>
      </w:r>
      <w:r w:rsidR="00B67C1B">
        <w:t>79</w:t>
      </w:r>
      <w:r>
        <w:t>)</w:t>
      </w:r>
    </w:p>
    <w:tbl>
      <w:tblPr>
        <w:tblStyle w:val="TableGrid"/>
        <w:tblW w:w="0" w:type="auto"/>
        <w:tblLook w:val="04A0" w:firstRow="1" w:lastRow="0" w:firstColumn="1" w:lastColumn="0" w:noHBand="0" w:noVBand="1"/>
      </w:tblPr>
      <w:tblGrid>
        <w:gridCol w:w="4814"/>
        <w:gridCol w:w="4814"/>
      </w:tblGrid>
      <w:tr w:rsidR="003678D8" w14:paraId="0E3A9F85"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6587A09B" w14:textId="08112D16" w:rsidR="003678D8" w:rsidRPr="001B2509" w:rsidRDefault="00725A81"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1F294B4E" w14:textId="6666C64C" w:rsidR="003678D8" w:rsidRPr="001B2509" w:rsidRDefault="003678D8" w:rsidP="001B2509">
            <w:r w:rsidRPr="001B2509">
              <w:t>Responses</w:t>
            </w:r>
          </w:p>
        </w:tc>
      </w:tr>
      <w:tr w:rsidR="003678D8" w14:paraId="4CD720D1"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7A065CEC" w14:textId="2C4AA409" w:rsidR="003678D8" w:rsidRPr="00242835" w:rsidRDefault="00DE4861" w:rsidP="00242835">
            <w:r w:rsidRPr="00242835">
              <w:t xml:space="preserve">Under </w:t>
            </w:r>
            <w:r w:rsidR="003678D8" w:rsidRPr="00242835">
              <w:t>25 years old</w:t>
            </w:r>
          </w:p>
        </w:tc>
        <w:tc>
          <w:tcPr>
            <w:tcW w:w="4814" w:type="dxa"/>
            <w:tcBorders>
              <w:bottom w:val="single" w:sz="4" w:space="0" w:color="000000"/>
            </w:tcBorders>
            <w:vAlign w:val="bottom"/>
          </w:tcPr>
          <w:p w14:paraId="6127BEFF" w14:textId="53E9F856" w:rsidR="003678D8" w:rsidRPr="00242835" w:rsidRDefault="003356CC" w:rsidP="00242835">
            <w:r w:rsidRPr="00242835">
              <w:t>4</w:t>
            </w:r>
            <w:r w:rsidR="000462A9" w:rsidRPr="00242835">
              <w:t xml:space="preserve"> (5%)</w:t>
            </w:r>
          </w:p>
        </w:tc>
      </w:tr>
      <w:tr w:rsidR="00DE4861" w14:paraId="685C0AC5" w14:textId="77777777">
        <w:tc>
          <w:tcPr>
            <w:tcW w:w="4814" w:type="dxa"/>
            <w:tcBorders>
              <w:bottom w:val="single" w:sz="4" w:space="0" w:color="000000"/>
            </w:tcBorders>
            <w:vAlign w:val="bottom"/>
          </w:tcPr>
          <w:p w14:paraId="04A1F1B6" w14:textId="70BCF789" w:rsidR="00DE4861" w:rsidRPr="00242835" w:rsidRDefault="00DE4861" w:rsidP="00242835">
            <w:r w:rsidRPr="00242835">
              <w:t>25-34 years old</w:t>
            </w:r>
          </w:p>
        </w:tc>
        <w:tc>
          <w:tcPr>
            <w:tcW w:w="4814" w:type="dxa"/>
            <w:tcBorders>
              <w:bottom w:val="single" w:sz="4" w:space="0" w:color="000000"/>
            </w:tcBorders>
            <w:vAlign w:val="bottom"/>
          </w:tcPr>
          <w:p w14:paraId="53C28458" w14:textId="69311DF1" w:rsidR="00DE4861" w:rsidRPr="00242835" w:rsidRDefault="003356CC" w:rsidP="00242835">
            <w:r w:rsidRPr="00242835">
              <w:t>50</w:t>
            </w:r>
            <w:r w:rsidR="000462A9" w:rsidRPr="00242835">
              <w:t xml:space="preserve"> (63%)</w:t>
            </w:r>
          </w:p>
        </w:tc>
      </w:tr>
      <w:tr w:rsidR="003678D8" w14:paraId="65A1380A"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7412C624" w14:textId="77777777" w:rsidR="003678D8" w:rsidRPr="00242835" w:rsidRDefault="003678D8" w:rsidP="00242835">
            <w:r w:rsidRPr="00242835">
              <w:t>35-44 years old</w:t>
            </w:r>
          </w:p>
        </w:tc>
        <w:tc>
          <w:tcPr>
            <w:tcW w:w="4814" w:type="dxa"/>
            <w:tcBorders>
              <w:top w:val="single" w:sz="4" w:space="0" w:color="000000"/>
              <w:bottom w:val="single" w:sz="4" w:space="0" w:color="000000"/>
            </w:tcBorders>
            <w:vAlign w:val="bottom"/>
          </w:tcPr>
          <w:p w14:paraId="0F485994" w14:textId="5C569243" w:rsidR="003678D8" w:rsidRPr="00242835" w:rsidRDefault="003356CC" w:rsidP="00242835">
            <w:r w:rsidRPr="00242835">
              <w:t>18</w:t>
            </w:r>
            <w:r w:rsidR="000462A9" w:rsidRPr="00242835">
              <w:t xml:space="preserve"> (23%)</w:t>
            </w:r>
          </w:p>
        </w:tc>
      </w:tr>
      <w:tr w:rsidR="003678D8" w14:paraId="30F53FC1" w14:textId="77777777">
        <w:tc>
          <w:tcPr>
            <w:tcW w:w="4814" w:type="dxa"/>
            <w:tcBorders>
              <w:top w:val="single" w:sz="4" w:space="0" w:color="000000"/>
              <w:bottom w:val="single" w:sz="4" w:space="0" w:color="000000"/>
            </w:tcBorders>
            <w:vAlign w:val="bottom"/>
          </w:tcPr>
          <w:p w14:paraId="74EFB717" w14:textId="77777777" w:rsidR="003678D8" w:rsidRPr="00242835" w:rsidRDefault="003678D8" w:rsidP="00242835">
            <w:r w:rsidRPr="00242835">
              <w:t>45-54 years old</w:t>
            </w:r>
          </w:p>
        </w:tc>
        <w:tc>
          <w:tcPr>
            <w:tcW w:w="4814" w:type="dxa"/>
            <w:tcBorders>
              <w:top w:val="single" w:sz="4" w:space="0" w:color="000000"/>
              <w:bottom w:val="single" w:sz="4" w:space="0" w:color="000000"/>
            </w:tcBorders>
            <w:vAlign w:val="bottom"/>
          </w:tcPr>
          <w:p w14:paraId="2B4FD6EE" w14:textId="08164CD2" w:rsidR="003678D8" w:rsidRPr="00242835" w:rsidRDefault="003356CC" w:rsidP="00242835">
            <w:r w:rsidRPr="00242835">
              <w:t>2</w:t>
            </w:r>
            <w:r w:rsidR="000462A9" w:rsidRPr="00242835">
              <w:t xml:space="preserve"> (3%)</w:t>
            </w:r>
          </w:p>
        </w:tc>
      </w:tr>
      <w:tr w:rsidR="003678D8" w14:paraId="38180836"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4B9B9A0B" w14:textId="77777777" w:rsidR="003678D8" w:rsidRPr="00242835" w:rsidRDefault="003678D8" w:rsidP="00242835">
            <w:r w:rsidRPr="00242835">
              <w:t>55+ years old</w:t>
            </w:r>
          </w:p>
        </w:tc>
        <w:tc>
          <w:tcPr>
            <w:tcW w:w="4814" w:type="dxa"/>
            <w:tcBorders>
              <w:top w:val="single" w:sz="4" w:space="0" w:color="000000"/>
              <w:bottom w:val="single" w:sz="4" w:space="0" w:color="000000"/>
            </w:tcBorders>
            <w:vAlign w:val="bottom"/>
          </w:tcPr>
          <w:p w14:paraId="2B71640D" w14:textId="0397534F" w:rsidR="003678D8" w:rsidRPr="00242835" w:rsidRDefault="003356CC" w:rsidP="00242835">
            <w:r w:rsidRPr="00242835">
              <w:t>5</w:t>
            </w:r>
            <w:r w:rsidR="000462A9" w:rsidRPr="00242835">
              <w:t xml:space="preserve"> (6%)</w:t>
            </w:r>
          </w:p>
        </w:tc>
      </w:tr>
    </w:tbl>
    <w:p w14:paraId="6912A2C5" w14:textId="5C729659" w:rsidR="00DD40C8" w:rsidRPr="00BB3E42" w:rsidRDefault="003678D8" w:rsidP="00281D11">
      <w:pPr>
        <w:pStyle w:val="Footer"/>
        <w:rPr>
          <w:bCs/>
        </w:rPr>
      </w:pPr>
      <w:r>
        <w:t>Source: KPMG, 2024</w:t>
      </w:r>
      <w:r w:rsidR="00DD3E39">
        <w:t>.</w:t>
      </w:r>
    </w:p>
    <w:p w14:paraId="203A8909" w14:textId="30A6BBEE" w:rsidR="005E23DE" w:rsidRDefault="005E23DE" w:rsidP="005E23DE">
      <w:pPr>
        <w:pStyle w:val="Caption"/>
      </w:pPr>
      <w:r>
        <w:t xml:space="preserve">Table </w:t>
      </w:r>
      <w:r>
        <w:fldChar w:fldCharType="begin"/>
      </w:r>
      <w:r>
        <w:instrText xml:space="preserve"> SEQ Table \* ARABIC </w:instrText>
      </w:r>
      <w:r>
        <w:fldChar w:fldCharType="separate"/>
      </w:r>
      <w:r w:rsidR="005F7EBC">
        <w:rPr>
          <w:noProof/>
        </w:rPr>
        <w:t>43</w:t>
      </w:r>
      <w:r>
        <w:fldChar w:fldCharType="end"/>
      </w:r>
      <w:r>
        <w:t>: Registrar survey results to the question ‘What is your gender?’ (n=</w:t>
      </w:r>
      <w:r w:rsidR="008455F1">
        <w:t>79</w:t>
      </w:r>
      <w:r>
        <w:t>)</w:t>
      </w:r>
    </w:p>
    <w:tbl>
      <w:tblPr>
        <w:tblStyle w:val="TableGrid"/>
        <w:tblW w:w="0" w:type="auto"/>
        <w:tblLook w:val="04A0" w:firstRow="1" w:lastRow="0" w:firstColumn="1" w:lastColumn="0" w:noHBand="0" w:noVBand="1"/>
      </w:tblPr>
      <w:tblGrid>
        <w:gridCol w:w="4814"/>
        <w:gridCol w:w="4814"/>
      </w:tblGrid>
      <w:tr w:rsidR="005E23DE" w14:paraId="5A34BED0"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00A7D9FE" w14:textId="42729C07" w:rsidR="005E23DE" w:rsidRPr="001B2509" w:rsidRDefault="00725A81"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42628FD5" w14:textId="2AF07CBC" w:rsidR="005E23DE" w:rsidRPr="001B2509" w:rsidRDefault="005E23DE" w:rsidP="001B2509">
            <w:r w:rsidRPr="001B2509">
              <w:t>Responses</w:t>
            </w:r>
          </w:p>
        </w:tc>
      </w:tr>
      <w:tr w:rsidR="005E23DE" w14:paraId="49996FCF" w14:textId="77777777">
        <w:trPr>
          <w:cnfStyle w:val="000000100000" w:firstRow="0" w:lastRow="0" w:firstColumn="0" w:lastColumn="0" w:oddVBand="0" w:evenVBand="0" w:oddHBand="1" w:evenHBand="0" w:firstRowFirstColumn="0" w:firstRowLastColumn="0" w:lastRowFirstColumn="0" w:lastRowLastColumn="0"/>
        </w:trPr>
        <w:tc>
          <w:tcPr>
            <w:tcW w:w="4814" w:type="dxa"/>
            <w:tcBorders>
              <w:bottom w:val="single" w:sz="4" w:space="0" w:color="000000"/>
            </w:tcBorders>
            <w:vAlign w:val="bottom"/>
          </w:tcPr>
          <w:p w14:paraId="34890E1A" w14:textId="77777777" w:rsidR="005E23DE" w:rsidRPr="00242835" w:rsidRDefault="005E23DE" w:rsidP="00242835">
            <w:r w:rsidRPr="00242835">
              <w:t>Male</w:t>
            </w:r>
          </w:p>
        </w:tc>
        <w:tc>
          <w:tcPr>
            <w:tcW w:w="4814" w:type="dxa"/>
            <w:tcBorders>
              <w:bottom w:val="single" w:sz="4" w:space="0" w:color="000000"/>
            </w:tcBorders>
            <w:vAlign w:val="bottom"/>
          </w:tcPr>
          <w:p w14:paraId="08EEBB70" w14:textId="5EC79B84" w:rsidR="005E23DE" w:rsidRPr="00242835" w:rsidRDefault="00AA56D6" w:rsidP="00242835">
            <w:r w:rsidRPr="00242835">
              <w:t>4</w:t>
            </w:r>
            <w:r w:rsidR="007148DC" w:rsidRPr="00242835">
              <w:t>4</w:t>
            </w:r>
            <w:r w:rsidR="008D0246" w:rsidRPr="00242835">
              <w:t xml:space="preserve"> (39%)</w:t>
            </w:r>
          </w:p>
        </w:tc>
      </w:tr>
      <w:tr w:rsidR="005E23DE" w14:paraId="39FE8FFE" w14:textId="77777777">
        <w:tc>
          <w:tcPr>
            <w:tcW w:w="4814" w:type="dxa"/>
            <w:tcBorders>
              <w:top w:val="single" w:sz="4" w:space="0" w:color="000000"/>
              <w:bottom w:val="single" w:sz="4" w:space="0" w:color="000000"/>
            </w:tcBorders>
            <w:vAlign w:val="bottom"/>
          </w:tcPr>
          <w:p w14:paraId="1E6333EA" w14:textId="77777777" w:rsidR="005E23DE" w:rsidRPr="00242835" w:rsidRDefault="005E23DE" w:rsidP="00242835">
            <w:r w:rsidRPr="00242835">
              <w:t>Female</w:t>
            </w:r>
          </w:p>
        </w:tc>
        <w:tc>
          <w:tcPr>
            <w:tcW w:w="4814" w:type="dxa"/>
            <w:tcBorders>
              <w:top w:val="single" w:sz="4" w:space="0" w:color="000000"/>
              <w:bottom w:val="single" w:sz="4" w:space="0" w:color="000000"/>
            </w:tcBorders>
            <w:vAlign w:val="bottom"/>
          </w:tcPr>
          <w:p w14:paraId="5ECB5812" w14:textId="1F347383" w:rsidR="005E23DE" w:rsidRPr="00242835" w:rsidRDefault="00AA56D6" w:rsidP="00242835">
            <w:r w:rsidRPr="00242835">
              <w:t>3</w:t>
            </w:r>
            <w:r w:rsidR="007148DC" w:rsidRPr="00242835">
              <w:t>1</w:t>
            </w:r>
            <w:r w:rsidR="008D0246" w:rsidRPr="00242835">
              <w:t xml:space="preserve"> (5</w:t>
            </w:r>
            <w:r w:rsidR="008455F1" w:rsidRPr="00242835">
              <w:t>6</w:t>
            </w:r>
            <w:r w:rsidR="008D0246" w:rsidRPr="00242835">
              <w:t>%)</w:t>
            </w:r>
          </w:p>
        </w:tc>
      </w:tr>
      <w:tr w:rsidR="005E23DE" w14:paraId="76B928EC" w14:textId="77777777">
        <w:trPr>
          <w:cnfStyle w:val="000000100000" w:firstRow="0" w:lastRow="0" w:firstColumn="0" w:lastColumn="0" w:oddVBand="0" w:evenVBand="0" w:oddHBand="1" w:evenHBand="0" w:firstRowFirstColumn="0" w:firstRowLastColumn="0" w:lastRowFirstColumn="0" w:lastRowLastColumn="0"/>
        </w:trPr>
        <w:tc>
          <w:tcPr>
            <w:tcW w:w="4814" w:type="dxa"/>
            <w:tcBorders>
              <w:top w:val="single" w:sz="4" w:space="0" w:color="000000"/>
              <w:bottom w:val="single" w:sz="4" w:space="0" w:color="000000"/>
            </w:tcBorders>
            <w:vAlign w:val="bottom"/>
          </w:tcPr>
          <w:p w14:paraId="75E6DADD" w14:textId="77777777" w:rsidR="005E23DE" w:rsidRPr="00242835" w:rsidRDefault="005E23DE" w:rsidP="00242835">
            <w:r w:rsidRPr="00242835">
              <w:t>Prefer not to say</w:t>
            </w:r>
          </w:p>
        </w:tc>
        <w:tc>
          <w:tcPr>
            <w:tcW w:w="4814" w:type="dxa"/>
            <w:tcBorders>
              <w:top w:val="single" w:sz="4" w:space="0" w:color="000000"/>
              <w:bottom w:val="single" w:sz="4" w:space="0" w:color="000000"/>
            </w:tcBorders>
            <w:vAlign w:val="bottom"/>
          </w:tcPr>
          <w:p w14:paraId="34673716" w14:textId="4B0E0C7E" w:rsidR="005E23DE" w:rsidRPr="00242835" w:rsidRDefault="007148DC" w:rsidP="00242835">
            <w:r w:rsidRPr="00242835">
              <w:t>4</w:t>
            </w:r>
            <w:r w:rsidR="008D0246" w:rsidRPr="00242835">
              <w:t xml:space="preserve"> (</w:t>
            </w:r>
            <w:r w:rsidR="008455F1" w:rsidRPr="00242835">
              <w:t>5</w:t>
            </w:r>
            <w:r w:rsidR="008D0246" w:rsidRPr="00242835">
              <w:t>%)</w:t>
            </w:r>
          </w:p>
        </w:tc>
      </w:tr>
    </w:tbl>
    <w:p w14:paraId="3D2598C9" w14:textId="32FEC566" w:rsidR="00535528" w:rsidRPr="00BB3E42" w:rsidRDefault="005E23DE" w:rsidP="00281D11">
      <w:pPr>
        <w:pStyle w:val="Footer"/>
      </w:pPr>
      <w:r>
        <w:t>Source: KPMG, 2024</w:t>
      </w:r>
      <w:r w:rsidR="00DD3E39">
        <w:t>.</w:t>
      </w:r>
    </w:p>
    <w:p w14:paraId="7E9E8983" w14:textId="08BBDBF1" w:rsidR="00E27351" w:rsidRDefault="00E27351" w:rsidP="00E27351">
      <w:pPr>
        <w:pStyle w:val="Caption"/>
      </w:pPr>
      <w:r>
        <w:t xml:space="preserve">Table </w:t>
      </w:r>
      <w:r>
        <w:fldChar w:fldCharType="begin"/>
      </w:r>
      <w:r>
        <w:instrText xml:space="preserve"> SEQ Table \* ARABIC </w:instrText>
      </w:r>
      <w:r>
        <w:fldChar w:fldCharType="separate"/>
      </w:r>
      <w:r w:rsidR="005F7EBC">
        <w:rPr>
          <w:noProof/>
        </w:rPr>
        <w:t>44</w:t>
      </w:r>
      <w:r>
        <w:fldChar w:fldCharType="end"/>
      </w:r>
      <w:r>
        <w:t>: Registrar survey results to the question ‘</w:t>
      </w:r>
      <w:r w:rsidR="00C94679">
        <w:t>Which program are/</w:t>
      </w:r>
      <w:proofErr w:type="gramStart"/>
      <w:r w:rsidR="00C94679">
        <w:t>were</w:t>
      </w:r>
      <w:proofErr w:type="gramEnd"/>
      <w:r w:rsidR="00C94679">
        <w:t xml:space="preserve"> you enrolled in</w:t>
      </w:r>
      <w:r>
        <w:t>?’ (n=</w:t>
      </w:r>
      <w:r w:rsidR="002E5605">
        <w:t>79</w:t>
      </w:r>
      <w:r>
        <w:t>)</w:t>
      </w:r>
    </w:p>
    <w:tbl>
      <w:tblPr>
        <w:tblStyle w:val="TableGrid"/>
        <w:tblW w:w="0" w:type="auto"/>
        <w:tblLook w:val="04A0" w:firstRow="1" w:lastRow="0" w:firstColumn="1" w:lastColumn="0" w:noHBand="0" w:noVBand="1"/>
      </w:tblPr>
      <w:tblGrid>
        <w:gridCol w:w="4814"/>
        <w:gridCol w:w="4814"/>
      </w:tblGrid>
      <w:tr w:rsidR="00E27351" w14:paraId="57A2A0FD"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230E6AEA" w14:textId="0CB9D2AD" w:rsidR="00E27351" w:rsidRPr="001B2509" w:rsidRDefault="00725A81"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7B286474" w14:textId="101EE056" w:rsidR="00E27351" w:rsidRPr="001B2509" w:rsidRDefault="00E27351" w:rsidP="001B2509">
            <w:r w:rsidRPr="001B2509">
              <w:t>Responses</w:t>
            </w:r>
          </w:p>
        </w:tc>
      </w:tr>
      <w:tr w:rsidR="00E27351" w14:paraId="45EF1550"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1506E4A7" w14:textId="1A2C0E08" w:rsidR="00E27351" w:rsidRPr="00242835" w:rsidRDefault="0074176C" w:rsidP="00242835">
            <w:r w:rsidRPr="00242835">
              <w:t>DIMP – Nuclear Medicine</w:t>
            </w:r>
          </w:p>
        </w:tc>
        <w:tc>
          <w:tcPr>
            <w:tcW w:w="0" w:type="dxa"/>
            <w:tcBorders>
              <w:bottom w:val="single" w:sz="4" w:space="0" w:color="000000"/>
            </w:tcBorders>
            <w:vAlign w:val="center"/>
          </w:tcPr>
          <w:p w14:paraId="447E8CDF" w14:textId="727B0234" w:rsidR="00E27351" w:rsidRPr="00242835" w:rsidRDefault="0074176C" w:rsidP="00242835">
            <w:r w:rsidRPr="00242835">
              <w:t>5</w:t>
            </w:r>
            <w:r w:rsidR="00F404EA" w:rsidRPr="00242835">
              <w:t xml:space="preserve"> (6%)</w:t>
            </w:r>
          </w:p>
        </w:tc>
      </w:tr>
      <w:tr w:rsidR="00E27351" w14:paraId="5548F0A2" w14:textId="77777777" w:rsidTr="00DC27F5">
        <w:tc>
          <w:tcPr>
            <w:tcW w:w="0" w:type="dxa"/>
            <w:tcBorders>
              <w:top w:val="single" w:sz="4" w:space="0" w:color="000000"/>
              <w:bottom w:val="single" w:sz="4" w:space="0" w:color="000000"/>
            </w:tcBorders>
            <w:vAlign w:val="center"/>
          </w:tcPr>
          <w:p w14:paraId="001170CA" w14:textId="7EB1D9E9" w:rsidR="00E27351" w:rsidRPr="00242835" w:rsidRDefault="0074176C" w:rsidP="00242835">
            <w:r w:rsidRPr="00242835">
              <w:t>DIMP – Radiology</w:t>
            </w:r>
          </w:p>
        </w:tc>
        <w:tc>
          <w:tcPr>
            <w:tcW w:w="0" w:type="dxa"/>
            <w:tcBorders>
              <w:top w:val="single" w:sz="4" w:space="0" w:color="000000"/>
              <w:bottom w:val="single" w:sz="4" w:space="0" w:color="000000"/>
            </w:tcBorders>
            <w:vAlign w:val="center"/>
          </w:tcPr>
          <w:p w14:paraId="382096E0" w14:textId="1521A97E" w:rsidR="00E27351" w:rsidRPr="00242835" w:rsidRDefault="009432B6" w:rsidP="00242835">
            <w:r w:rsidRPr="00242835">
              <w:t>8</w:t>
            </w:r>
            <w:r w:rsidR="00F404EA" w:rsidRPr="00242835">
              <w:t xml:space="preserve"> (</w:t>
            </w:r>
            <w:r w:rsidR="0082262F" w:rsidRPr="00242835">
              <w:t>10</w:t>
            </w:r>
            <w:r w:rsidR="00F404EA" w:rsidRPr="00242835">
              <w:t>%)</w:t>
            </w:r>
          </w:p>
        </w:tc>
      </w:tr>
      <w:tr w:rsidR="00E27351" w14:paraId="6FB40DD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6A44557C" w14:textId="78A20B17" w:rsidR="00E27351" w:rsidRPr="00242835" w:rsidRDefault="009432B6" w:rsidP="00242835">
            <w:r w:rsidRPr="00242835">
              <w:t>DIMP – Radiology &amp; DIMP – Nuclear Medicine</w:t>
            </w:r>
          </w:p>
        </w:tc>
        <w:tc>
          <w:tcPr>
            <w:tcW w:w="0" w:type="dxa"/>
            <w:tcBorders>
              <w:top w:val="single" w:sz="4" w:space="0" w:color="000000"/>
              <w:bottom w:val="single" w:sz="4" w:space="0" w:color="000000"/>
            </w:tcBorders>
            <w:vAlign w:val="center"/>
          </w:tcPr>
          <w:p w14:paraId="5A905FB2" w14:textId="1F394582" w:rsidR="00E27351" w:rsidRPr="00242835" w:rsidRDefault="009432B6" w:rsidP="00242835">
            <w:r w:rsidRPr="00242835">
              <w:t>2</w:t>
            </w:r>
            <w:r w:rsidR="00F404EA" w:rsidRPr="00242835">
              <w:t xml:space="preserve"> (</w:t>
            </w:r>
            <w:r w:rsidR="0082262F" w:rsidRPr="00242835">
              <w:t>3</w:t>
            </w:r>
            <w:r w:rsidR="00F404EA" w:rsidRPr="00242835">
              <w:t>%)</w:t>
            </w:r>
          </w:p>
        </w:tc>
      </w:tr>
      <w:tr w:rsidR="009432B6" w14:paraId="573043B0" w14:textId="77777777" w:rsidTr="00DC27F5">
        <w:tc>
          <w:tcPr>
            <w:tcW w:w="0" w:type="dxa"/>
            <w:tcBorders>
              <w:top w:val="single" w:sz="4" w:space="0" w:color="000000"/>
              <w:bottom w:val="single" w:sz="4" w:space="0" w:color="000000"/>
            </w:tcBorders>
            <w:vAlign w:val="center"/>
          </w:tcPr>
          <w:p w14:paraId="18AB0A3F" w14:textId="5A3FFDCA" w:rsidR="009432B6" w:rsidRPr="00242835" w:rsidRDefault="009432B6" w:rsidP="00242835">
            <w:r w:rsidRPr="00242835">
              <w:t>ROMP</w:t>
            </w:r>
          </w:p>
        </w:tc>
        <w:tc>
          <w:tcPr>
            <w:tcW w:w="0" w:type="dxa"/>
            <w:tcBorders>
              <w:top w:val="single" w:sz="4" w:space="0" w:color="000000"/>
              <w:bottom w:val="single" w:sz="4" w:space="0" w:color="000000"/>
            </w:tcBorders>
            <w:vAlign w:val="center"/>
          </w:tcPr>
          <w:p w14:paraId="74B4CD2E" w14:textId="0D8B87C5" w:rsidR="009432B6" w:rsidRPr="00242835" w:rsidRDefault="002E5605" w:rsidP="00242835">
            <w:r w:rsidRPr="00242835">
              <w:t>56</w:t>
            </w:r>
            <w:r w:rsidR="0082262F" w:rsidRPr="00242835">
              <w:t xml:space="preserve"> (71%)</w:t>
            </w:r>
          </w:p>
        </w:tc>
      </w:tr>
      <w:tr w:rsidR="009432B6" w14:paraId="638CD022"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1CE87757" w14:textId="77A347AA" w:rsidR="009432B6" w:rsidRPr="00242835" w:rsidRDefault="009432B6" w:rsidP="00242835">
            <w:r w:rsidRPr="00242835">
              <w:t>ROMP &amp; DIMP – Nuclear Medicine</w:t>
            </w:r>
          </w:p>
        </w:tc>
        <w:tc>
          <w:tcPr>
            <w:tcW w:w="0" w:type="dxa"/>
            <w:tcBorders>
              <w:top w:val="single" w:sz="4" w:space="0" w:color="000000"/>
              <w:bottom w:val="single" w:sz="4" w:space="0" w:color="000000"/>
            </w:tcBorders>
            <w:vAlign w:val="center"/>
          </w:tcPr>
          <w:p w14:paraId="1D370A24" w14:textId="7057CB0A" w:rsidR="009432B6" w:rsidRPr="00242835" w:rsidRDefault="009432B6" w:rsidP="00242835">
            <w:r w:rsidRPr="00242835">
              <w:t>1</w:t>
            </w:r>
            <w:r w:rsidR="00F404EA" w:rsidRPr="00242835">
              <w:t xml:space="preserve"> (1%)</w:t>
            </w:r>
          </w:p>
        </w:tc>
      </w:tr>
      <w:tr w:rsidR="009432B6" w14:paraId="4EF488C2" w14:textId="77777777" w:rsidTr="00DC27F5">
        <w:tc>
          <w:tcPr>
            <w:tcW w:w="0" w:type="dxa"/>
            <w:tcBorders>
              <w:top w:val="single" w:sz="4" w:space="0" w:color="000000"/>
              <w:bottom w:val="single" w:sz="4" w:space="0" w:color="000000"/>
            </w:tcBorders>
            <w:vAlign w:val="center"/>
          </w:tcPr>
          <w:p w14:paraId="32E1C6A1" w14:textId="3D6FA6FD" w:rsidR="009432B6" w:rsidRPr="00242835" w:rsidRDefault="009432B6" w:rsidP="00242835">
            <w:r w:rsidRPr="00242835">
              <w:t>ROMP &amp; DIMP – Radiology</w:t>
            </w:r>
          </w:p>
        </w:tc>
        <w:tc>
          <w:tcPr>
            <w:tcW w:w="0" w:type="dxa"/>
            <w:tcBorders>
              <w:top w:val="single" w:sz="4" w:space="0" w:color="000000"/>
              <w:bottom w:val="single" w:sz="4" w:space="0" w:color="000000"/>
            </w:tcBorders>
            <w:vAlign w:val="center"/>
          </w:tcPr>
          <w:p w14:paraId="1A8DDA18" w14:textId="3340B4B4" w:rsidR="009432B6" w:rsidRPr="00242835" w:rsidRDefault="009432B6" w:rsidP="00242835">
            <w:r w:rsidRPr="00242835">
              <w:t>2</w:t>
            </w:r>
            <w:r w:rsidR="00F404EA" w:rsidRPr="00242835">
              <w:t xml:space="preserve"> (</w:t>
            </w:r>
            <w:r w:rsidR="0082262F" w:rsidRPr="00242835">
              <w:t>3</w:t>
            </w:r>
            <w:r w:rsidR="00F404EA" w:rsidRPr="00242835">
              <w:t>%)</w:t>
            </w:r>
          </w:p>
        </w:tc>
      </w:tr>
      <w:tr w:rsidR="009432B6" w14:paraId="5E5A795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2D4D94D4" w14:textId="5CE75D8F" w:rsidR="009432B6" w:rsidRPr="00242835" w:rsidRDefault="009432B6" w:rsidP="00242835">
            <w:r w:rsidRPr="00242835">
              <w:t>RPS</w:t>
            </w:r>
          </w:p>
        </w:tc>
        <w:tc>
          <w:tcPr>
            <w:tcW w:w="0" w:type="dxa"/>
            <w:tcBorders>
              <w:top w:val="single" w:sz="4" w:space="0" w:color="000000"/>
              <w:bottom w:val="single" w:sz="4" w:space="0" w:color="000000"/>
            </w:tcBorders>
            <w:vAlign w:val="center"/>
          </w:tcPr>
          <w:p w14:paraId="1453651B" w14:textId="4BD9C7F9" w:rsidR="009432B6" w:rsidRPr="00242835" w:rsidRDefault="009432B6" w:rsidP="00242835">
            <w:r w:rsidRPr="00242835">
              <w:t>5</w:t>
            </w:r>
            <w:r w:rsidR="00F404EA" w:rsidRPr="00242835">
              <w:t xml:space="preserve"> (6%)</w:t>
            </w:r>
          </w:p>
        </w:tc>
      </w:tr>
    </w:tbl>
    <w:p w14:paraId="69842408" w14:textId="58022186" w:rsidR="00E27351" w:rsidRDefault="00E27351" w:rsidP="00281D11">
      <w:pPr>
        <w:pStyle w:val="Footer"/>
      </w:pPr>
      <w:r>
        <w:t>Source: KPMG, 2024</w:t>
      </w:r>
      <w:r w:rsidR="00DD3E39">
        <w:t>.</w:t>
      </w:r>
    </w:p>
    <w:p w14:paraId="4DABE660" w14:textId="1AEC4A06" w:rsidR="00F404EA" w:rsidRDefault="00F404EA" w:rsidP="00F404EA">
      <w:pPr>
        <w:pStyle w:val="Caption"/>
      </w:pPr>
      <w:r>
        <w:t xml:space="preserve">Table </w:t>
      </w:r>
      <w:r>
        <w:fldChar w:fldCharType="begin"/>
      </w:r>
      <w:r>
        <w:instrText xml:space="preserve"> SEQ Table \* ARABIC </w:instrText>
      </w:r>
      <w:r>
        <w:fldChar w:fldCharType="separate"/>
      </w:r>
      <w:r w:rsidR="005F7EBC">
        <w:rPr>
          <w:noProof/>
        </w:rPr>
        <w:t>45</w:t>
      </w:r>
      <w:r>
        <w:fldChar w:fldCharType="end"/>
      </w:r>
      <w:r>
        <w:t>: Registrar survey results to the question ‘</w:t>
      </w:r>
      <w:r w:rsidR="00FC4122">
        <w:t>Why did</w:t>
      </w:r>
      <w:r>
        <w:t xml:space="preserve"> you </w:t>
      </w:r>
      <w:r w:rsidR="00FC4122">
        <w:t>choose to participate</w:t>
      </w:r>
      <w:r>
        <w:t>?’ (n=</w:t>
      </w:r>
      <w:r w:rsidR="0059576D">
        <w:t>79</w:t>
      </w:r>
      <w:r>
        <w:t>)</w:t>
      </w:r>
    </w:p>
    <w:tbl>
      <w:tblPr>
        <w:tblStyle w:val="TableGrid"/>
        <w:tblW w:w="0" w:type="auto"/>
        <w:tblLook w:val="04A0" w:firstRow="1" w:lastRow="0" w:firstColumn="1" w:lastColumn="0" w:noHBand="0" w:noVBand="1"/>
      </w:tblPr>
      <w:tblGrid>
        <w:gridCol w:w="4814"/>
        <w:gridCol w:w="4814"/>
      </w:tblGrid>
      <w:tr w:rsidR="00F404EA" w14:paraId="60056FCE" w14:textId="77777777" w:rsidTr="00281D11">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56B1CBE9" w14:textId="3E0165D4" w:rsidR="00F404EA" w:rsidRPr="001B2509" w:rsidRDefault="00725A81"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7DE89E14" w14:textId="282A9CA4" w:rsidR="00F404EA" w:rsidRPr="001B2509" w:rsidRDefault="00F404EA" w:rsidP="001B2509">
            <w:r w:rsidRPr="001B2509">
              <w:t>Responses</w:t>
            </w:r>
          </w:p>
        </w:tc>
      </w:tr>
      <w:tr w:rsidR="00F404EA" w14:paraId="64DF9CD0"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4B9F2C7E" w14:textId="3DB376B1" w:rsidR="00F404EA" w:rsidRPr="00DC27F5" w:rsidRDefault="007E6408" w:rsidP="006E5A4B">
            <w:pPr>
              <w:spacing w:before="0" w:after="0"/>
              <w:rPr>
                <w:rFonts w:cs="Arial"/>
                <w:szCs w:val="20"/>
              </w:rPr>
            </w:pPr>
            <w:r w:rsidRPr="00E5604D">
              <w:rPr>
                <w:rFonts w:cs="Arial"/>
                <w:szCs w:val="20"/>
              </w:rPr>
              <w:t>Improve knowledge, skills and expertise in your profession</w:t>
            </w:r>
          </w:p>
        </w:tc>
        <w:tc>
          <w:tcPr>
            <w:tcW w:w="0" w:type="dxa"/>
            <w:tcBorders>
              <w:bottom w:val="single" w:sz="4" w:space="0" w:color="000000"/>
            </w:tcBorders>
            <w:vAlign w:val="center"/>
          </w:tcPr>
          <w:p w14:paraId="347AC4E0" w14:textId="57F09ABF" w:rsidR="00F404EA" w:rsidRDefault="00FF3967" w:rsidP="006E5A4B">
            <w:pPr>
              <w:pStyle w:val="BodyText"/>
            </w:pPr>
            <w:r>
              <w:t>55</w:t>
            </w:r>
            <w:r w:rsidR="0059576D">
              <w:t xml:space="preserve"> (70%)</w:t>
            </w:r>
          </w:p>
        </w:tc>
      </w:tr>
      <w:tr w:rsidR="00F404EA" w14:paraId="67B94942" w14:textId="77777777" w:rsidTr="00DC27F5">
        <w:tc>
          <w:tcPr>
            <w:tcW w:w="0" w:type="dxa"/>
            <w:tcBorders>
              <w:top w:val="single" w:sz="4" w:space="0" w:color="000000"/>
              <w:bottom w:val="single" w:sz="4" w:space="0" w:color="000000"/>
            </w:tcBorders>
            <w:vAlign w:val="center"/>
          </w:tcPr>
          <w:p w14:paraId="718FD6CA" w14:textId="45080D4B" w:rsidR="00F404EA" w:rsidRPr="00DC27F5" w:rsidRDefault="00814F4C" w:rsidP="006E5A4B">
            <w:pPr>
              <w:spacing w:before="0" w:after="0"/>
              <w:rPr>
                <w:rFonts w:cs="Arial"/>
                <w:szCs w:val="20"/>
              </w:rPr>
            </w:pPr>
            <w:r w:rsidRPr="00E5604D">
              <w:rPr>
                <w:rFonts w:cs="Arial"/>
                <w:szCs w:val="20"/>
              </w:rPr>
              <w:t>Improve employment opportunities and career development</w:t>
            </w:r>
          </w:p>
        </w:tc>
        <w:tc>
          <w:tcPr>
            <w:tcW w:w="0" w:type="dxa"/>
            <w:tcBorders>
              <w:top w:val="single" w:sz="4" w:space="0" w:color="000000"/>
              <w:bottom w:val="single" w:sz="4" w:space="0" w:color="000000"/>
            </w:tcBorders>
            <w:vAlign w:val="center"/>
          </w:tcPr>
          <w:p w14:paraId="362FED8F" w14:textId="457B4B30" w:rsidR="00F404EA" w:rsidRDefault="00E447AA" w:rsidP="006E5A4B">
            <w:pPr>
              <w:pStyle w:val="BodyText"/>
            </w:pPr>
            <w:r>
              <w:t>68</w:t>
            </w:r>
            <w:r w:rsidR="006D1559">
              <w:t xml:space="preserve"> (86%)</w:t>
            </w:r>
          </w:p>
        </w:tc>
      </w:tr>
      <w:tr w:rsidR="00F404EA" w14:paraId="634D8FE0"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4A3C5FAA" w14:textId="4ED1F745" w:rsidR="00F404EA" w:rsidRPr="00E5604D" w:rsidRDefault="00CF1A95" w:rsidP="00E5604D">
            <w:pPr>
              <w:spacing w:before="0" w:after="0"/>
              <w:rPr>
                <w:rFonts w:cs="Arial"/>
                <w:szCs w:val="20"/>
              </w:rPr>
            </w:pPr>
            <w:r w:rsidRPr="00E5604D">
              <w:rPr>
                <w:rFonts w:cs="Arial"/>
                <w:szCs w:val="20"/>
              </w:rPr>
              <w:t>Other</w:t>
            </w:r>
          </w:p>
        </w:tc>
        <w:tc>
          <w:tcPr>
            <w:tcW w:w="0" w:type="dxa"/>
            <w:tcBorders>
              <w:top w:val="single" w:sz="4" w:space="0" w:color="000000"/>
              <w:bottom w:val="single" w:sz="4" w:space="0" w:color="000000"/>
            </w:tcBorders>
            <w:vAlign w:val="center"/>
          </w:tcPr>
          <w:p w14:paraId="092ECBD0" w14:textId="4EEA23BF" w:rsidR="00F404EA" w:rsidRDefault="006307E4" w:rsidP="006E5A4B">
            <w:pPr>
              <w:pStyle w:val="BodyText"/>
            </w:pPr>
            <w:r>
              <w:t>12</w:t>
            </w:r>
            <w:r w:rsidR="0059576D">
              <w:t xml:space="preserve"> (18%)</w:t>
            </w:r>
          </w:p>
        </w:tc>
      </w:tr>
    </w:tbl>
    <w:p w14:paraId="38D7B8C4" w14:textId="77FDD483" w:rsidR="007240E9" w:rsidRDefault="007240E9" w:rsidP="00281D11">
      <w:pPr>
        <w:pStyle w:val="Footer"/>
      </w:pPr>
      <w:r>
        <w:t>Source: KPMG, 2024</w:t>
      </w:r>
      <w:r w:rsidR="00DD3E39">
        <w:t>.</w:t>
      </w:r>
    </w:p>
    <w:p w14:paraId="5DF1B3B9" w14:textId="00C80779" w:rsidR="00C5792E" w:rsidRDefault="00C5792E" w:rsidP="00C5792E">
      <w:pPr>
        <w:pStyle w:val="Caption"/>
      </w:pPr>
      <w:r>
        <w:t xml:space="preserve">Table </w:t>
      </w:r>
      <w:r>
        <w:fldChar w:fldCharType="begin"/>
      </w:r>
      <w:r>
        <w:instrText xml:space="preserve"> SEQ Table \* ARABIC </w:instrText>
      </w:r>
      <w:r>
        <w:fldChar w:fldCharType="separate"/>
      </w:r>
      <w:r w:rsidR="005F7EBC">
        <w:rPr>
          <w:noProof/>
        </w:rPr>
        <w:t>46</w:t>
      </w:r>
      <w:r>
        <w:fldChar w:fldCharType="end"/>
      </w:r>
      <w:r>
        <w:t>: Registrar survey results to the question ‘How did you find out about TEAP?’ (n=</w:t>
      </w:r>
      <w:r w:rsidR="00A04430">
        <w:t>79</w:t>
      </w:r>
      <w:r>
        <w:t>)</w:t>
      </w:r>
    </w:p>
    <w:tbl>
      <w:tblPr>
        <w:tblStyle w:val="TableGrid"/>
        <w:tblW w:w="0" w:type="auto"/>
        <w:tblLook w:val="04A0" w:firstRow="1" w:lastRow="0" w:firstColumn="1" w:lastColumn="0" w:noHBand="0" w:noVBand="1"/>
      </w:tblPr>
      <w:tblGrid>
        <w:gridCol w:w="4814"/>
        <w:gridCol w:w="4814"/>
      </w:tblGrid>
      <w:tr w:rsidR="00C5792E" w14:paraId="5A9F15B9"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1C88A43E" w14:textId="119F2FC7" w:rsidR="00C5792E" w:rsidRPr="001B2509" w:rsidRDefault="00725A81"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41119572" w14:textId="36686AF9" w:rsidR="00C5792E" w:rsidRPr="001B2509" w:rsidRDefault="00C5792E" w:rsidP="001B2509">
            <w:r w:rsidRPr="001B2509">
              <w:t>Responses</w:t>
            </w:r>
          </w:p>
        </w:tc>
      </w:tr>
      <w:tr w:rsidR="00C5792E" w14:paraId="425133AC"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241135D9" w14:textId="63A804F2" w:rsidR="00C5792E" w:rsidRPr="00DC27F5" w:rsidRDefault="00E27802" w:rsidP="006E5A4B">
            <w:pPr>
              <w:spacing w:before="0" w:after="0"/>
              <w:rPr>
                <w:rFonts w:cs="Arial"/>
                <w:szCs w:val="20"/>
              </w:rPr>
            </w:pPr>
            <w:r w:rsidRPr="00E5604D">
              <w:rPr>
                <w:rFonts w:cs="Arial"/>
                <w:szCs w:val="20"/>
              </w:rPr>
              <w:t>ACPSEM communications</w:t>
            </w:r>
          </w:p>
        </w:tc>
        <w:tc>
          <w:tcPr>
            <w:tcW w:w="0" w:type="dxa"/>
            <w:tcBorders>
              <w:bottom w:val="single" w:sz="4" w:space="0" w:color="000000"/>
            </w:tcBorders>
            <w:vAlign w:val="center"/>
          </w:tcPr>
          <w:p w14:paraId="434B7EED" w14:textId="22508B90" w:rsidR="00C5792E" w:rsidRDefault="00E27802" w:rsidP="006E5A4B">
            <w:pPr>
              <w:pStyle w:val="BodyText"/>
            </w:pPr>
            <w:r w:rsidRPr="00DC27F5">
              <w:rPr>
                <w:rFonts w:cs="Arial"/>
                <w:szCs w:val="20"/>
              </w:rPr>
              <w:t>9</w:t>
            </w:r>
            <w:r w:rsidR="00544DDA" w:rsidRPr="00DC27F5">
              <w:rPr>
                <w:rFonts w:cs="Arial"/>
                <w:szCs w:val="20"/>
              </w:rPr>
              <w:t xml:space="preserve"> (11%)</w:t>
            </w:r>
          </w:p>
        </w:tc>
      </w:tr>
      <w:tr w:rsidR="00C5792E" w14:paraId="194039DF" w14:textId="77777777" w:rsidTr="00DC27F5">
        <w:tc>
          <w:tcPr>
            <w:tcW w:w="0" w:type="dxa"/>
            <w:tcBorders>
              <w:top w:val="single" w:sz="4" w:space="0" w:color="000000"/>
              <w:bottom w:val="single" w:sz="4" w:space="0" w:color="000000"/>
            </w:tcBorders>
            <w:vAlign w:val="center"/>
          </w:tcPr>
          <w:p w14:paraId="403824B4" w14:textId="3FD2949A" w:rsidR="00C5792E" w:rsidRPr="00DC27F5" w:rsidRDefault="00E27802" w:rsidP="006E5A4B">
            <w:pPr>
              <w:spacing w:before="0" w:after="0"/>
              <w:rPr>
                <w:rFonts w:cs="Arial"/>
                <w:szCs w:val="20"/>
              </w:rPr>
            </w:pPr>
            <w:r w:rsidRPr="00E5604D">
              <w:rPr>
                <w:rFonts w:cs="Arial"/>
                <w:szCs w:val="20"/>
              </w:rPr>
              <w:t>Personal research</w:t>
            </w:r>
          </w:p>
        </w:tc>
        <w:tc>
          <w:tcPr>
            <w:tcW w:w="0" w:type="dxa"/>
            <w:tcBorders>
              <w:top w:val="single" w:sz="4" w:space="0" w:color="000000"/>
              <w:bottom w:val="single" w:sz="4" w:space="0" w:color="000000"/>
            </w:tcBorders>
            <w:vAlign w:val="center"/>
          </w:tcPr>
          <w:p w14:paraId="44E4D15A" w14:textId="7A0574CF" w:rsidR="00C5792E" w:rsidRDefault="00E27802" w:rsidP="006E5A4B">
            <w:pPr>
              <w:pStyle w:val="BodyText"/>
            </w:pPr>
            <w:r w:rsidRPr="00DC27F5">
              <w:rPr>
                <w:rFonts w:cs="Arial"/>
                <w:szCs w:val="20"/>
              </w:rPr>
              <w:t>1</w:t>
            </w:r>
            <w:r w:rsidR="00785070" w:rsidRPr="00DC27F5">
              <w:rPr>
                <w:rFonts w:cs="Arial"/>
                <w:szCs w:val="20"/>
              </w:rPr>
              <w:t>5</w:t>
            </w:r>
            <w:r w:rsidR="00544DDA" w:rsidRPr="00DC27F5">
              <w:rPr>
                <w:rFonts w:cs="Arial"/>
                <w:szCs w:val="20"/>
              </w:rPr>
              <w:t xml:space="preserve"> (</w:t>
            </w:r>
            <w:r w:rsidR="003972A3" w:rsidRPr="00DC27F5">
              <w:rPr>
                <w:rFonts w:cs="Arial"/>
                <w:szCs w:val="20"/>
              </w:rPr>
              <w:t>19</w:t>
            </w:r>
            <w:r w:rsidR="00544DDA" w:rsidRPr="00DC27F5">
              <w:rPr>
                <w:rFonts w:cs="Arial"/>
                <w:szCs w:val="20"/>
              </w:rPr>
              <w:t>%)</w:t>
            </w:r>
          </w:p>
        </w:tc>
      </w:tr>
      <w:tr w:rsidR="00C5792E" w14:paraId="75A82B1E"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4FF8E120" w14:textId="0C9BA5E0" w:rsidR="00C5792E" w:rsidRPr="00DC27F5" w:rsidRDefault="00E27802" w:rsidP="006E5A4B">
            <w:pPr>
              <w:spacing w:before="0" w:after="0"/>
              <w:rPr>
                <w:rFonts w:cs="Arial"/>
                <w:szCs w:val="20"/>
              </w:rPr>
            </w:pPr>
            <w:r w:rsidRPr="00E5604D">
              <w:rPr>
                <w:rFonts w:cs="Arial"/>
                <w:szCs w:val="20"/>
              </w:rPr>
              <w:t>Professional association or industry body</w:t>
            </w:r>
          </w:p>
        </w:tc>
        <w:tc>
          <w:tcPr>
            <w:tcW w:w="0" w:type="dxa"/>
            <w:tcBorders>
              <w:top w:val="single" w:sz="4" w:space="0" w:color="000000"/>
              <w:bottom w:val="single" w:sz="4" w:space="0" w:color="000000"/>
            </w:tcBorders>
            <w:vAlign w:val="center"/>
          </w:tcPr>
          <w:p w14:paraId="19E15C8C" w14:textId="6484BD93" w:rsidR="00C5792E" w:rsidRDefault="00E27802" w:rsidP="006E5A4B">
            <w:pPr>
              <w:pStyle w:val="BodyText"/>
            </w:pPr>
            <w:r w:rsidRPr="00DC27F5">
              <w:rPr>
                <w:rFonts w:cs="Arial"/>
                <w:szCs w:val="20"/>
              </w:rPr>
              <w:t>13</w:t>
            </w:r>
            <w:r w:rsidR="00544DDA" w:rsidRPr="00DC27F5">
              <w:rPr>
                <w:rFonts w:cs="Arial"/>
                <w:szCs w:val="20"/>
              </w:rPr>
              <w:t xml:space="preserve"> (1</w:t>
            </w:r>
            <w:r w:rsidR="003972A3" w:rsidRPr="00DC27F5">
              <w:rPr>
                <w:rFonts w:cs="Arial"/>
                <w:szCs w:val="20"/>
              </w:rPr>
              <w:t>6</w:t>
            </w:r>
            <w:r w:rsidR="00544DDA" w:rsidRPr="00DC27F5">
              <w:rPr>
                <w:rFonts w:cs="Arial"/>
                <w:szCs w:val="20"/>
              </w:rPr>
              <w:t>%)</w:t>
            </w:r>
          </w:p>
        </w:tc>
      </w:tr>
      <w:tr w:rsidR="00011124" w14:paraId="220B61F3" w14:textId="77777777" w:rsidTr="00DC27F5">
        <w:tc>
          <w:tcPr>
            <w:tcW w:w="0" w:type="dxa"/>
            <w:tcBorders>
              <w:top w:val="single" w:sz="4" w:space="0" w:color="000000"/>
              <w:bottom w:val="single" w:sz="4" w:space="0" w:color="000000"/>
            </w:tcBorders>
            <w:vAlign w:val="center"/>
          </w:tcPr>
          <w:p w14:paraId="3BE39530" w14:textId="4A373241" w:rsidR="00011124" w:rsidRPr="00DC27F5" w:rsidRDefault="00E27802" w:rsidP="006E5A4B">
            <w:pPr>
              <w:spacing w:before="0" w:after="0"/>
              <w:rPr>
                <w:rFonts w:cs="Arial"/>
                <w:szCs w:val="20"/>
              </w:rPr>
            </w:pPr>
            <w:r w:rsidRPr="00E5604D">
              <w:rPr>
                <w:rFonts w:cs="Arial"/>
                <w:szCs w:val="20"/>
              </w:rPr>
              <w:t>Referral from a colleague</w:t>
            </w:r>
          </w:p>
        </w:tc>
        <w:tc>
          <w:tcPr>
            <w:tcW w:w="0" w:type="dxa"/>
            <w:tcBorders>
              <w:top w:val="single" w:sz="4" w:space="0" w:color="000000"/>
              <w:bottom w:val="single" w:sz="4" w:space="0" w:color="000000"/>
            </w:tcBorders>
            <w:vAlign w:val="center"/>
          </w:tcPr>
          <w:p w14:paraId="24DF3545" w14:textId="13CC53FB" w:rsidR="00011124" w:rsidRDefault="00E27802" w:rsidP="006E5A4B">
            <w:pPr>
              <w:pStyle w:val="BodyText"/>
            </w:pPr>
            <w:r w:rsidRPr="00DC27F5">
              <w:rPr>
                <w:rFonts w:cs="Arial"/>
                <w:szCs w:val="20"/>
              </w:rPr>
              <w:t>1</w:t>
            </w:r>
            <w:r w:rsidR="003972A3" w:rsidRPr="00DC27F5">
              <w:rPr>
                <w:rFonts w:cs="Arial"/>
                <w:szCs w:val="20"/>
              </w:rPr>
              <w:t>0</w:t>
            </w:r>
            <w:r w:rsidR="00544DDA" w:rsidRPr="00DC27F5">
              <w:rPr>
                <w:rFonts w:cs="Arial"/>
                <w:szCs w:val="20"/>
              </w:rPr>
              <w:t xml:space="preserve"> (13%)</w:t>
            </w:r>
          </w:p>
        </w:tc>
      </w:tr>
      <w:tr w:rsidR="0068707F" w14:paraId="7237B45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197B6A98" w14:textId="428FC413" w:rsidR="0068707F" w:rsidRPr="00DC27F5" w:rsidRDefault="00E27802" w:rsidP="006E5A4B">
            <w:pPr>
              <w:spacing w:before="0" w:after="0"/>
              <w:rPr>
                <w:rFonts w:cs="Arial"/>
                <w:szCs w:val="20"/>
              </w:rPr>
            </w:pPr>
            <w:r w:rsidRPr="00E5604D">
              <w:rPr>
                <w:rFonts w:cs="Arial"/>
                <w:szCs w:val="20"/>
              </w:rPr>
              <w:t>University</w:t>
            </w:r>
          </w:p>
        </w:tc>
        <w:tc>
          <w:tcPr>
            <w:tcW w:w="0" w:type="dxa"/>
            <w:tcBorders>
              <w:top w:val="single" w:sz="4" w:space="0" w:color="000000"/>
              <w:bottom w:val="single" w:sz="4" w:space="0" w:color="000000"/>
            </w:tcBorders>
            <w:vAlign w:val="center"/>
          </w:tcPr>
          <w:p w14:paraId="2EB5096F" w14:textId="23491E04" w:rsidR="0068707F" w:rsidRDefault="00E27802" w:rsidP="006E5A4B">
            <w:pPr>
              <w:pStyle w:val="BodyText"/>
            </w:pPr>
            <w:r w:rsidRPr="00DC27F5">
              <w:rPr>
                <w:rFonts w:cs="Arial"/>
                <w:szCs w:val="20"/>
              </w:rPr>
              <w:t>1</w:t>
            </w:r>
            <w:r w:rsidR="003972A3" w:rsidRPr="00DC27F5">
              <w:rPr>
                <w:rFonts w:cs="Arial"/>
                <w:szCs w:val="20"/>
              </w:rPr>
              <w:t>4</w:t>
            </w:r>
            <w:r w:rsidR="00544DDA" w:rsidRPr="00DC27F5">
              <w:rPr>
                <w:rFonts w:cs="Arial"/>
                <w:szCs w:val="20"/>
              </w:rPr>
              <w:t xml:space="preserve"> (18%)</w:t>
            </w:r>
          </w:p>
        </w:tc>
      </w:tr>
      <w:tr w:rsidR="0068707F" w14:paraId="2863FFD5" w14:textId="77777777" w:rsidTr="00DC27F5">
        <w:tc>
          <w:tcPr>
            <w:tcW w:w="0" w:type="dxa"/>
            <w:tcBorders>
              <w:top w:val="single" w:sz="4" w:space="0" w:color="000000"/>
              <w:bottom w:val="single" w:sz="4" w:space="0" w:color="000000"/>
            </w:tcBorders>
            <w:vAlign w:val="center"/>
          </w:tcPr>
          <w:p w14:paraId="19D41E9F" w14:textId="2061EC4A" w:rsidR="0068707F" w:rsidRPr="00DC27F5" w:rsidRDefault="00E27802" w:rsidP="006E5A4B">
            <w:pPr>
              <w:spacing w:before="0" w:after="0"/>
              <w:rPr>
                <w:rFonts w:cs="Arial"/>
                <w:szCs w:val="20"/>
              </w:rPr>
            </w:pPr>
            <w:r w:rsidRPr="00E5604D">
              <w:rPr>
                <w:rFonts w:cs="Arial"/>
                <w:szCs w:val="20"/>
              </w:rPr>
              <w:t>Advertisement</w:t>
            </w:r>
          </w:p>
        </w:tc>
        <w:tc>
          <w:tcPr>
            <w:tcW w:w="0" w:type="dxa"/>
            <w:tcBorders>
              <w:top w:val="single" w:sz="4" w:space="0" w:color="000000"/>
              <w:bottom w:val="single" w:sz="4" w:space="0" w:color="000000"/>
            </w:tcBorders>
            <w:vAlign w:val="center"/>
          </w:tcPr>
          <w:p w14:paraId="79A775ED" w14:textId="14060ECA" w:rsidR="0068707F" w:rsidRDefault="003972A3" w:rsidP="006E5A4B">
            <w:pPr>
              <w:pStyle w:val="BodyText"/>
            </w:pPr>
            <w:r w:rsidRPr="00DC27F5">
              <w:rPr>
                <w:rFonts w:cs="Arial"/>
                <w:szCs w:val="20"/>
              </w:rPr>
              <w:t>5</w:t>
            </w:r>
            <w:r w:rsidR="00544DDA" w:rsidRPr="00DC27F5">
              <w:rPr>
                <w:rFonts w:cs="Arial"/>
                <w:szCs w:val="20"/>
              </w:rPr>
              <w:t xml:space="preserve"> (</w:t>
            </w:r>
            <w:r w:rsidRPr="00DC27F5">
              <w:rPr>
                <w:rFonts w:cs="Arial"/>
                <w:szCs w:val="20"/>
              </w:rPr>
              <w:t>6</w:t>
            </w:r>
            <w:r w:rsidR="00544DDA" w:rsidRPr="00DC27F5">
              <w:rPr>
                <w:rFonts w:cs="Arial"/>
                <w:szCs w:val="20"/>
              </w:rPr>
              <w:t>%)</w:t>
            </w:r>
          </w:p>
        </w:tc>
      </w:tr>
      <w:tr w:rsidR="0068707F" w14:paraId="454803DC"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2A867316" w14:textId="67B28F20" w:rsidR="0068707F" w:rsidRPr="00DC27F5" w:rsidRDefault="00276C57" w:rsidP="006E5A4B">
            <w:pPr>
              <w:spacing w:before="0" w:after="0"/>
              <w:rPr>
                <w:rFonts w:cs="Arial"/>
                <w:szCs w:val="20"/>
              </w:rPr>
            </w:pPr>
            <w:r w:rsidRPr="00E5604D">
              <w:rPr>
                <w:rFonts w:cs="Arial"/>
                <w:szCs w:val="20"/>
              </w:rPr>
              <w:t>Other</w:t>
            </w:r>
          </w:p>
        </w:tc>
        <w:tc>
          <w:tcPr>
            <w:tcW w:w="0" w:type="dxa"/>
            <w:tcBorders>
              <w:top w:val="single" w:sz="4" w:space="0" w:color="000000"/>
              <w:bottom w:val="single" w:sz="4" w:space="0" w:color="000000"/>
            </w:tcBorders>
            <w:vAlign w:val="center"/>
          </w:tcPr>
          <w:p w14:paraId="02F9D409" w14:textId="7C85ED0A" w:rsidR="0068707F" w:rsidRDefault="006F3348" w:rsidP="006E5A4B">
            <w:pPr>
              <w:pStyle w:val="BodyText"/>
            </w:pPr>
            <w:r>
              <w:t>13</w:t>
            </w:r>
            <w:r w:rsidR="00544DDA">
              <w:t xml:space="preserve"> (1</w:t>
            </w:r>
            <w:r w:rsidR="003972A3">
              <w:t>6</w:t>
            </w:r>
            <w:r w:rsidR="00544DDA">
              <w:t>%)</w:t>
            </w:r>
          </w:p>
        </w:tc>
      </w:tr>
    </w:tbl>
    <w:p w14:paraId="4F8B09F2" w14:textId="0C085CCF" w:rsidR="00C5792E" w:rsidRDefault="00C5792E" w:rsidP="00281D11">
      <w:pPr>
        <w:pStyle w:val="Footer"/>
      </w:pPr>
      <w:r>
        <w:t>Source: KPMG, 2024</w:t>
      </w:r>
      <w:r w:rsidR="00DD3E39">
        <w:t>.</w:t>
      </w:r>
    </w:p>
    <w:p w14:paraId="56C48457" w14:textId="7B4FE140" w:rsidR="00F267FE" w:rsidRDefault="00F267FE" w:rsidP="00F267FE">
      <w:pPr>
        <w:pStyle w:val="Caption"/>
      </w:pPr>
      <w:r>
        <w:t xml:space="preserve">Table </w:t>
      </w:r>
      <w:r>
        <w:fldChar w:fldCharType="begin"/>
      </w:r>
      <w:r>
        <w:instrText xml:space="preserve"> SEQ Table \* ARABIC </w:instrText>
      </w:r>
      <w:r>
        <w:fldChar w:fldCharType="separate"/>
      </w:r>
      <w:r w:rsidR="005F7EBC">
        <w:rPr>
          <w:noProof/>
        </w:rPr>
        <w:t>47</w:t>
      </w:r>
      <w:r>
        <w:fldChar w:fldCharType="end"/>
      </w:r>
      <w:r>
        <w:t>: Registrar survey results to the question ‘Where is your facility located?’ (n=</w:t>
      </w:r>
      <w:r w:rsidR="0051477C">
        <w:t>74</w:t>
      </w:r>
      <w:r>
        <w:t>)</w:t>
      </w:r>
    </w:p>
    <w:tbl>
      <w:tblPr>
        <w:tblStyle w:val="TableGrid"/>
        <w:tblW w:w="0" w:type="auto"/>
        <w:tblLook w:val="04A0" w:firstRow="1" w:lastRow="0" w:firstColumn="1" w:lastColumn="0" w:noHBand="0" w:noVBand="1"/>
      </w:tblPr>
      <w:tblGrid>
        <w:gridCol w:w="4814"/>
        <w:gridCol w:w="4814"/>
      </w:tblGrid>
      <w:tr w:rsidR="00F267FE" w14:paraId="7B4271EC"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4C15EE5F" w14:textId="065CAA23" w:rsidR="00F267FE" w:rsidRPr="001B2509" w:rsidRDefault="00725A81"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00669A84" w14:textId="5B1E7292" w:rsidR="00F267FE" w:rsidRPr="001B2509" w:rsidRDefault="00F267FE" w:rsidP="001B2509">
            <w:r w:rsidRPr="001B2509">
              <w:t>Responses</w:t>
            </w:r>
          </w:p>
        </w:tc>
      </w:tr>
      <w:tr w:rsidR="00F267FE" w14:paraId="45AC0215"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3F195EE0" w14:textId="3265FBED" w:rsidR="00F267FE" w:rsidRPr="00DC27F5" w:rsidRDefault="00D60288" w:rsidP="006E5A4B">
            <w:pPr>
              <w:spacing w:before="0" w:after="0"/>
              <w:rPr>
                <w:rFonts w:cs="Arial"/>
                <w:szCs w:val="20"/>
              </w:rPr>
            </w:pPr>
            <w:r w:rsidRPr="00E5604D">
              <w:rPr>
                <w:rFonts w:cs="Arial"/>
                <w:szCs w:val="20"/>
              </w:rPr>
              <w:t>NSW</w:t>
            </w:r>
          </w:p>
        </w:tc>
        <w:tc>
          <w:tcPr>
            <w:tcW w:w="0" w:type="dxa"/>
            <w:tcBorders>
              <w:bottom w:val="single" w:sz="4" w:space="0" w:color="000000"/>
            </w:tcBorders>
            <w:vAlign w:val="center"/>
          </w:tcPr>
          <w:p w14:paraId="4B598E11" w14:textId="34EE93F9" w:rsidR="00F267FE" w:rsidRDefault="00D60288" w:rsidP="006E5A4B">
            <w:pPr>
              <w:pStyle w:val="BodyText"/>
            </w:pPr>
            <w:r w:rsidRPr="00DC27F5">
              <w:rPr>
                <w:rFonts w:cs="Arial"/>
                <w:szCs w:val="20"/>
              </w:rPr>
              <w:t>23</w:t>
            </w:r>
            <w:r w:rsidR="00E52972" w:rsidRPr="00DC27F5">
              <w:rPr>
                <w:rFonts w:cs="Arial"/>
                <w:szCs w:val="20"/>
              </w:rPr>
              <w:t xml:space="preserve"> (31%)</w:t>
            </w:r>
          </w:p>
        </w:tc>
      </w:tr>
      <w:tr w:rsidR="00F267FE" w14:paraId="01DDA842" w14:textId="77777777" w:rsidTr="00DC27F5">
        <w:tc>
          <w:tcPr>
            <w:tcW w:w="0" w:type="dxa"/>
            <w:tcBorders>
              <w:top w:val="single" w:sz="4" w:space="0" w:color="000000"/>
              <w:bottom w:val="single" w:sz="4" w:space="0" w:color="000000"/>
            </w:tcBorders>
            <w:vAlign w:val="center"/>
          </w:tcPr>
          <w:p w14:paraId="72D8CCA6" w14:textId="30B90128" w:rsidR="00F267FE" w:rsidRPr="00DC27F5" w:rsidRDefault="00D60288" w:rsidP="006E5A4B">
            <w:pPr>
              <w:spacing w:before="0" w:after="0"/>
              <w:rPr>
                <w:rFonts w:cs="Arial"/>
                <w:szCs w:val="20"/>
              </w:rPr>
            </w:pPr>
            <w:r w:rsidRPr="00E5604D">
              <w:rPr>
                <w:rFonts w:cs="Arial"/>
                <w:szCs w:val="20"/>
              </w:rPr>
              <w:t>Queensland</w:t>
            </w:r>
          </w:p>
        </w:tc>
        <w:tc>
          <w:tcPr>
            <w:tcW w:w="0" w:type="dxa"/>
            <w:tcBorders>
              <w:top w:val="single" w:sz="4" w:space="0" w:color="000000"/>
              <w:bottom w:val="single" w:sz="4" w:space="0" w:color="000000"/>
            </w:tcBorders>
            <w:vAlign w:val="center"/>
          </w:tcPr>
          <w:p w14:paraId="022FE12A" w14:textId="12735F9E" w:rsidR="00F267FE" w:rsidRDefault="00D60288" w:rsidP="006E5A4B">
            <w:pPr>
              <w:pStyle w:val="BodyText"/>
            </w:pPr>
            <w:r w:rsidRPr="00DC27F5">
              <w:rPr>
                <w:rFonts w:cs="Arial"/>
                <w:szCs w:val="20"/>
              </w:rPr>
              <w:t>10</w:t>
            </w:r>
            <w:r w:rsidR="00E52972" w:rsidRPr="00DC27F5">
              <w:rPr>
                <w:rFonts w:cs="Arial"/>
                <w:szCs w:val="20"/>
              </w:rPr>
              <w:t xml:space="preserve"> (14%)</w:t>
            </w:r>
          </w:p>
        </w:tc>
      </w:tr>
      <w:tr w:rsidR="00F267FE" w14:paraId="50119BD8"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2F8C8E99" w14:textId="7448033F" w:rsidR="00F267FE" w:rsidRPr="00DC27F5" w:rsidRDefault="00D60288" w:rsidP="006E5A4B">
            <w:pPr>
              <w:spacing w:before="0" w:after="0"/>
              <w:rPr>
                <w:rFonts w:cs="Arial"/>
                <w:szCs w:val="20"/>
              </w:rPr>
            </w:pPr>
            <w:r w:rsidRPr="00E5604D">
              <w:rPr>
                <w:rFonts w:cs="Arial"/>
                <w:szCs w:val="20"/>
              </w:rPr>
              <w:t>Victoria</w:t>
            </w:r>
          </w:p>
        </w:tc>
        <w:tc>
          <w:tcPr>
            <w:tcW w:w="0" w:type="dxa"/>
            <w:tcBorders>
              <w:top w:val="single" w:sz="4" w:space="0" w:color="000000"/>
              <w:bottom w:val="single" w:sz="4" w:space="0" w:color="000000"/>
            </w:tcBorders>
            <w:vAlign w:val="center"/>
          </w:tcPr>
          <w:p w14:paraId="3E474AE9" w14:textId="6699ABC3" w:rsidR="00F267FE" w:rsidRDefault="00D60288" w:rsidP="006E5A4B">
            <w:pPr>
              <w:pStyle w:val="BodyText"/>
            </w:pPr>
            <w:r w:rsidRPr="00DC27F5">
              <w:rPr>
                <w:rFonts w:cs="Arial"/>
                <w:szCs w:val="20"/>
              </w:rPr>
              <w:t>18</w:t>
            </w:r>
            <w:r w:rsidR="00E52972" w:rsidRPr="00DC27F5">
              <w:rPr>
                <w:rFonts w:cs="Arial"/>
                <w:szCs w:val="20"/>
              </w:rPr>
              <w:t xml:space="preserve"> (24%)</w:t>
            </w:r>
          </w:p>
        </w:tc>
      </w:tr>
      <w:tr w:rsidR="00F267FE" w14:paraId="6475DF3A" w14:textId="77777777" w:rsidTr="00DC27F5">
        <w:tc>
          <w:tcPr>
            <w:tcW w:w="0" w:type="dxa"/>
            <w:tcBorders>
              <w:top w:val="single" w:sz="4" w:space="0" w:color="000000"/>
              <w:bottom w:val="single" w:sz="4" w:space="0" w:color="000000"/>
            </w:tcBorders>
            <w:vAlign w:val="center"/>
          </w:tcPr>
          <w:p w14:paraId="4E948715" w14:textId="30580BB2" w:rsidR="00F267FE" w:rsidRPr="00DC27F5" w:rsidRDefault="00D60288" w:rsidP="006E5A4B">
            <w:pPr>
              <w:spacing w:before="0" w:after="0"/>
              <w:rPr>
                <w:rFonts w:cs="Arial"/>
                <w:szCs w:val="20"/>
              </w:rPr>
            </w:pPr>
            <w:r w:rsidRPr="00E5604D">
              <w:rPr>
                <w:rFonts w:cs="Arial"/>
                <w:szCs w:val="20"/>
              </w:rPr>
              <w:t>WA</w:t>
            </w:r>
          </w:p>
        </w:tc>
        <w:tc>
          <w:tcPr>
            <w:tcW w:w="0" w:type="dxa"/>
            <w:tcBorders>
              <w:top w:val="single" w:sz="4" w:space="0" w:color="000000"/>
              <w:bottom w:val="single" w:sz="4" w:space="0" w:color="000000"/>
            </w:tcBorders>
            <w:vAlign w:val="center"/>
          </w:tcPr>
          <w:p w14:paraId="330F13C3" w14:textId="40E26EB5" w:rsidR="00F267FE" w:rsidRDefault="00D60288" w:rsidP="006E5A4B">
            <w:pPr>
              <w:pStyle w:val="BodyText"/>
            </w:pPr>
            <w:r w:rsidRPr="00DC27F5">
              <w:rPr>
                <w:rFonts w:cs="Arial"/>
                <w:szCs w:val="20"/>
              </w:rPr>
              <w:t>8</w:t>
            </w:r>
            <w:r w:rsidR="00E52972" w:rsidRPr="00DC27F5">
              <w:rPr>
                <w:rFonts w:cs="Arial"/>
                <w:szCs w:val="20"/>
              </w:rPr>
              <w:t xml:space="preserve"> (11%)</w:t>
            </w:r>
          </w:p>
        </w:tc>
      </w:tr>
      <w:tr w:rsidR="00F267FE" w14:paraId="5DBA746C"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1901A78A" w14:textId="42FFA59C" w:rsidR="00F267FE" w:rsidRPr="00DC27F5" w:rsidRDefault="00D60288" w:rsidP="006E5A4B">
            <w:pPr>
              <w:spacing w:before="0" w:after="0"/>
              <w:rPr>
                <w:rFonts w:cs="Arial"/>
                <w:szCs w:val="20"/>
              </w:rPr>
            </w:pPr>
            <w:r w:rsidRPr="00E5604D">
              <w:rPr>
                <w:rFonts w:cs="Arial"/>
                <w:szCs w:val="20"/>
              </w:rPr>
              <w:t>SA</w:t>
            </w:r>
          </w:p>
        </w:tc>
        <w:tc>
          <w:tcPr>
            <w:tcW w:w="0" w:type="dxa"/>
            <w:tcBorders>
              <w:top w:val="single" w:sz="4" w:space="0" w:color="000000"/>
              <w:bottom w:val="single" w:sz="4" w:space="0" w:color="000000"/>
            </w:tcBorders>
            <w:vAlign w:val="center"/>
          </w:tcPr>
          <w:p w14:paraId="6F850916" w14:textId="1FB6E0F0" w:rsidR="00F267FE" w:rsidRDefault="00D60288" w:rsidP="006E5A4B">
            <w:pPr>
              <w:pStyle w:val="BodyText"/>
            </w:pPr>
            <w:r w:rsidRPr="00DC27F5">
              <w:rPr>
                <w:rFonts w:cs="Arial"/>
                <w:szCs w:val="20"/>
              </w:rPr>
              <w:t>6</w:t>
            </w:r>
            <w:r w:rsidR="00E52972" w:rsidRPr="00DC27F5">
              <w:rPr>
                <w:rFonts w:cs="Arial"/>
                <w:szCs w:val="20"/>
              </w:rPr>
              <w:t xml:space="preserve"> (8%)</w:t>
            </w:r>
          </w:p>
        </w:tc>
      </w:tr>
      <w:tr w:rsidR="00F267FE" w14:paraId="6C453D9A" w14:textId="77777777" w:rsidTr="00DC27F5">
        <w:tc>
          <w:tcPr>
            <w:tcW w:w="0" w:type="dxa"/>
            <w:tcBorders>
              <w:top w:val="single" w:sz="4" w:space="0" w:color="000000"/>
              <w:bottom w:val="single" w:sz="4" w:space="0" w:color="000000"/>
            </w:tcBorders>
            <w:vAlign w:val="center"/>
          </w:tcPr>
          <w:p w14:paraId="55112E92" w14:textId="7513F131" w:rsidR="00F267FE" w:rsidRPr="00DC27F5" w:rsidRDefault="00D60288" w:rsidP="006E5A4B">
            <w:pPr>
              <w:spacing w:before="0" w:after="0"/>
              <w:rPr>
                <w:rFonts w:cs="Arial"/>
                <w:szCs w:val="20"/>
              </w:rPr>
            </w:pPr>
            <w:r w:rsidRPr="00E5604D">
              <w:rPr>
                <w:rFonts w:cs="Arial"/>
                <w:szCs w:val="20"/>
              </w:rPr>
              <w:t>ACT</w:t>
            </w:r>
          </w:p>
        </w:tc>
        <w:tc>
          <w:tcPr>
            <w:tcW w:w="0" w:type="dxa"/>
            <w:tcBorders>
              <w:top w:val="single" w:sz="4" w:space="0" w:color="000000"/>
              <w:bottom w:val="single" w:sz="4" w:space="0" w:color="000000"/>
            </w:tcBorders>
            <w:vAlign w:val="center"/>
          </w:tcPr>
          <w:p w14:paraId="0F3480FE" w14:textId="75AC3DDA" w:rsidR="00F267FE" w:rsidRDefault="00D60288" w:rsidP="006E5A4B">
            <w:pPr>
              <w:pStyle w:val="BodyText"/>
            </w:pPr>
            <w:r w:rsidRPr="00DC27F5">
              <w:rPr>
                <w:rFonts w:cs="Arial"/>
                <w:szCs w:val="20"/>
              </w:rPr>
              <w:t>3</w:t>
            </w:r>
            <w:r w:rsidR="00E52972" w:rsidRPr="00DC27F5">
              <w:rPr>
                <w:rFonts w:cs="Arial"/>
                <w:szCs w:val="20"/>
              </w:rPr>
              <w:t xml:space="preserve"> (4%)</w:t>
            </w:r>
          </w:p>
        </w:tc>
      </w:tr>
      <w:tr w:rsidR="00F267FE" w14:paraId="5943DDB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37593907" w14:textId="64D951D6" w:rsidR="00F267FE" w:rsidRPr="00DC27F5" w:rsidRDefault="00F267FE" w:rsidP="006E5A4B">
            <w:pPr>
              <w:spacing w:before="0" w:after="0"/>
              <w:rPr>
                <w:rFonts w:cs="Arial"/>
                <w:szCs w:val="20"/>
              </w:rPr>
            </w:pPr>
            <w:r w:rsidRPr="00E5604D">
              <w:rPr>
                <w:rFonts w:cs="Arial"/>
                <w:szCs w:val="20"/>
              </w:rPr>
              <w:t>Other</w:t>
            </w:r>
          </w:p>
        </w:tc>
        <w:tc>
          <w:tcPr>
            <w:tcW w:w="0" w:type="dxa"/>
            <w:tcBorders>
              <w:top w:val="single" w:sz="4" w:space="0" w:color="000000"/>
              <w:bottom w:val="single" w:sz="4" w:space="0" w:color="000000"/>
            </w:tcBorders>
            <w:vAlign w:val="center"/>
          </w:tcPr>
          <w:p w14:paraId="74ED9396" w14:textId="33634C9C" w:rsidR="00F267FE" w:rsidRDefault="00D60288" w:rsidP="006E5A4B">
            <w:pPr>
              <w:pStyle w:val="BodyText"/>
            </w:pPr>
            <w:r w:rsidRPr="00DC27F5">
              <w:rPr>
                <w:rFonts w:cs="Arial"/>
                <w:szCs w:val="20"/>
              </w:rPr>
              <w:t>6</w:t>
            </w:r>
            <w:r w:rsidR="00E52972" w:rsidRPr="00DC27F5">
              <w:rPr>
                <w:rFonts w:cs="Arial"/>
                <w:szCs w:val="20"/>
              </w:rPr>
              <w:t xml:space="preserve"> (8%)</w:t>
            </w:r>
          </w:p>
        </w:tc>
      </w:tr>
    </w:tbl>
    <w:p w14:paraId="1B9DE258" w14:textId="1C057E79" w:rsidR="00F267FE" w:rsidRDefault="00F267FE" w:rsidP="00281D11">
      <w:pPr>
        <w:pStyle w:val="Footer"/>
      </w:pPr>
      <w:r>
        <w:t>Source: KPMG, 2024</w:t>
      </w:r>
      <w:r w:rsidR="00DD3E39">
        <w:t>.</w:t>
      </w:r>
    </w:p>
    <w:p w14:paraId="22C0B740" w14:textId="0314EA1A" w:rsidR="004A165A" w:rsidRDefault="004A165A" w:rsidP="004A165A">
      <w:pPr>
        <w:pStyle w:val="Caption"/>
      </w:pPr>
      <w:r>
        <w:t xml:space="preserve">Table </w:t>
      </w:r>
      <w:r>
        <w:fldChar w:fldCharType="begin"/>
      </w:r>
      <w:r>
        <w:instrText xml:space="preserve"> SEQ Table \* ARABIC </w:instrText>
      </w:r>
      <w:r>
        <w:fldChar w:fldCharType="separate"/>
      </w:r>
      <w:r w:rsidR="005F7EBC">
        <w:rPr>
          <w:noProof/>
        </w:rPr>
        <w:t>48</w:t>
      </w:r>
      <w:r>
        <w:fldChar w:fldCharType="end"/>
      </w:r>
      <w:r>
        <w:t>: Current Registrar survey results to the question ‘How long do you have left until the completion of your program?’ (n=</w:t>
      </w:r>
      <w:r w:rsidR="005E1AA9">
        <w:t>3</w:t>
      </w:r>
      <w:r w:rsidR="00E63A98">
        <w:t>4</w:t>
      </w:r>
      <w:r>
        <w:t>)</w:t>
      </w:r>
    </w:p>
    <w:tbl>
      <w:tblPr>
        <w:tblStyle w:val="TableGrid"/>
        <w:tblW w:w="0" w:type="auto"/>
        <w:tblLook w:val="04A0" w:firstRow="1" w:lastRow="0" w:firstColumn="1" w:lastColumn="0" w:noHBand="0" w:noVBand="1"/>
      </w:tblPr>
      <w:tblGrid>
        <w:gridCol w:w="4814"/>
        <w:gridCol w:w="4814"/>
      </w:tblGrid>
      <w:tr w:rsidR="00725A81" w14:paraId="70044C6B"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5642D1B7" w14:textId="0340E37C" w:rsidR="00725A81" w:rsidRPr="001B2509" w:rsidRDefault="00725A81"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5C742D8C" w14:textId="6CD6E7EE" w:rsidR="00725A81" w:rsidRPr="001B2509" w:rsidRDefault="00725A81" w:rsidP="001B2509">
            <w:r w:rsidRPr="001B2509">
              <w:t>Responses</w:t>
            </w:r>
          </w:p>
        </w:tc>
      </w:tr>
      <w:tr w:rsidR="004566A3" w14:paraId="20B76B4F"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6FF488AC" w14:textId="2B1BD136" w:rsidR="004566A3" w:rsidRPr="00DC27F5" w:rsidRDefault="004566A3" w:rsidP="006E5A4B">
            <w:pPr>
              <w:spacing w:before="0" w:after="0"/>
              <w:rPr>
                <w:rFonts w:cs="Arial"/>
                <w:szCs w:val="20"/>
              </w:rPr>
            </w:pPr>
            <w:r w:rsidRPr="00E5604D">
              <w:rPr>
                <w:rFonts w:cs="Arial"/>
                <w:szCs w:val="20"/>
              </w:rPr>
              <w:t>&lt; 6 months</w:t>
            </w:r>
          </w:p>
        </w:tc>
        <w:tc>
          <w:tcPr>
            <w:tcW w:w="0" w:type="dxa"/>
            <w:tcBorders>
              <w:bottom w:val="single" w:sz="4" w:space="0" w:color="000000"/>
            </w:tcBorders>
            <w:vAlign w:val="center"/>
          </w:tcPr>
          <w:p w14:paraId="132C2C97" w14:textId="199E3F2D" w:rsidR="004566A3" w:rsidRDefault="004566A3" w:rsidP="006E5A4B">
            <w:pPr>
              <w:pStyle w:val="BodyText"/>
            </w:pPr>
            <w:r w:rsidRPr="00DC27F5">
              <w:rPr>
                <w:rFonts w:cs="Arial"/>
                <w:szCs w:val="20"/>
              </w:rPr>
              <w:t>10</w:t>
            </w:r>
            <w:r w:rsidR="00E63A98" w:rsidRPr="00DC27F5">
              <w:rPr>
                <w:rFonts w:cs="Arial"/>
                <w:szCs w:val="20"/>
              </w:rPr>
              <w:t xml:space="preserve"> (29%)</w:t>
            </w:r>
          </w:p>
        </w:tc>
      </w:tr>
      <w:tr w:rsidR="004566A3" w14:paraId="05E3FE43" w14:textId="77777777" w:rsidTr="00DC27F5">
        <w:tc>
          <w:tcPr>
            <w:tcW w:w="0" w:type="dxa"/>
            <w:tcBorders>
              <w:top w:val="single" w:sz="4" w:space="0" w:color="000000"/>
              <w:bottom w:val="single" w:sz="4" w:space="0" w:color="000000"/>
            </w:tcBorders>
            <w:vAlign w:val="center"/>
          </w:tcPr>
          <w:p w14:paraId="379C6FFF" w14:textId="3FC14C17" w:rsidR="004566A3" w:rsidRPr="001B2509" w:rsidRDefault="004566A3" w:rsidP="001B2509">
            <w:r w:rsidRPr="001B2509">
              <w:t>&lt; 1 year</w:t>
            </w:r>
          </w:p>
        </w:tc>
        <w:tc>
          <w:tcPr>
            <w:tcW w:w="0" w:type="dxa"/>
            <w:tcBorders>
              <w:top w:val="single" w:sz="4" w:space="0" w:color="000000"/>
              <w:bottom w:val="single" w:sz="4" w:space="0" w:color="000000"/>
            </w:tcBorders>
            <w:vAlign w:val="center"/>
          </w:tcPr>
          <w:p w14:paraId="07814941" w14:textId="0C05C6BA" w:rsidR="004566A3" w:rsidRPr="001B2509" w:rsidRDefault="004566A3" w:rsidP="001B2509">
            <w:r w:rsidRPr="001B2509">
              <w:t>9</w:t>
            </w:r>
            <w:r w:rsidR="00E63A98" w:rsidRPr="001B2509">
              <w:t xml:space="preserve"> (26%)</w:t>
            </w:r>
          </w:p>
        </w:tc>
      </w:tr>
      <w:tr w:rsidR="004566A3" w14:paraId="5C562826"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169DF3EF" w14:textId="099414CD" w:rsidR="004566A3" w:rsidRPr="00DC27F5" w:rsidRDefault="004566A3" w:rsidP="006E5A4B">
            <w:pPr>
              <w:spacing w:before="0" w:after="0"/>
              <w:rPr>
                <w:rFonts w:cs="Arial"/>
                <w:szCs w:val="20"/>
              </w:rPr>
            </w:pPr>
            <w:r w:rsidRPr="00E5604D">
              <w:rPr>
                <w:rFonts w:cs="Arial"/>
                <w:szCs w:val="20"/>
              </w:rPr>
              <w:t>&lt;2 years</w:t>
            </w:r>
          </w:p>
        </w:tc>
        <w:tc>
          <w:tcPr>
            <w:tcW w:w="0" w:type="dxa"/>
            <w:tcBorders>
              <w:top w:val="single" w:sz="4" w:space="0" w:color="000000"/>
              <w:bottom w:val="single" w:sz="4" w:space="0" w:color="000000"/>
            </w:tcBorders>
            <w:vAlign w:val="center"/>
          </w:tcPr>
          <w:p w14:paraId="44A3D604" w14:textId="47976C15" w:rsidR="004566A3" w:rsidRDefault="004566A3" w:rsidP="006E5A4B">
            <w:pPr>
              <w:pStyle w:val="BodyText"/>
            </w:pPr>
            <w:r w:rsidRPr="00DC27F5">
              <w:rPr>
                <w:rFonts w:cs="Arial"/>
                <w:szCs w:val="20"/>
              </w:rPr>
              <w:t>13</w:t>
            </w:r>
            <w:r w:rsidR="00E63A98" w:rsidRPr="00DC27F5">
              <w:rPr>
                <w:rFonts w:cs="Arial"/>
                <w:szCs w:val="20"/>
              </w:rPr>
              <w:t xml:space="preserve"> (38%)</w:t>
            </w:r>
          </w:p>
        </w:tc>
      </w:tr>
      <w:tr w:rsidR="004566A3" w14:paraId="0CD19168" w14:textId="77777777" w:rsidTr="00DC27F5">
        <w:tc>
          <w:tcPr>
            <w:tcW w:w="0" w:type="dxa"/>
            <w:tcBorders>
              <w:top w:val="single" w:sz="4" w:space="0" w:color="000000"/>
              <w:bottom w:val="single" w:sz="4" w:space="0" w:color="000000"/>
            </w:tcBorders>
            <w:vAlign w:val="center"/>
          </w:tcPr>
          <w:p w14:paraId="704F2BB1" w14:textId="327D2D7C" w:rsidR="004566A3" w:rsidRPr="00DC27F5" w:rsidRDefault="004566A3" w:rsidP="006E5A4B">
            <w:pPr>
              <w:spacing w:before="0" w:after="0"/>
              <w:rPr>
                <w:rFonts w:cs="Arial"/>
                <w:szCs w:val="20"/>
              </w:rPr>
            </w:pPr>
            <w:r w:rsidRPr="00E5604D">
              <w:rPr>
                <w:rFonts w:cs="Arial"/>
                <w:szCs w:val="20"/>
              </w:rPr>
              <w:t>&lt;3 years</w:t>
            </w:r>
          </w:p>
        </w:tc>
        <w:tc>
          <w:tcPr>
            <w:tcW w:w="0" w:type="dxa"/>
            <w:tcBorders>
              <w:top w:val="single" w:sz="4" w:space="0" w:color="000000"/>
              <w:bottom w:val="single" w:sz="4" w:space="0" w:color="000000"/>
            </w:tcBorders>
            <w:vAlign w:val="center"/>
          </w:tcPr>
          <w:p w14:paraId="284C291A" w14:textId="6E4DAA83" w:rsidR="004566A3" w:rsidRDefault="004566A3" w:rsidP="006E5A4B">
            <w:pPr>
              <w:pStyle w:val="BodyText"/>
            </w:pPr>
            <w:r w:rsidRPr="00DC27F5">
              <w:rPr>
                <w:rFonts w:cs="Arial"/>
                <w:szCs w:val="20"/>
              </w:rPr>
              <w:t>1</w:t>
            </w:r>
            <w:r w:rsidR="00E63A98" w:rsidRPr="00DC27F5">
              <w:rPr>
                <w:rFonts w:cs="Arial"/>
                <w:szCs w:val="20"/>
              </w:rPr>
              <w:t xml:space="preserve"> (3%)</w:t>
            </w:r>
          </w:p>
        </w:tc>
      </w:tr>
      <w:tr w:rsidR="004566A3" w14:paraId="0AC9863F"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1EE31949" w14:textId="59642EB3" w:rsidR="004566A3" w:rsidRPr="00DC27F5" w:rsidRDefault="004566A3" w:rsidP="006E5A4B">
            <w:pPr>
              <w:spacing w:before="0" w:after="0"/>
              <w:rPr>
                <w:rFonts w:cs="Arial"/>
                <w:szCs w:val="20"/>
              </w:rPr>
            </w:pPr>
            <w:r w:rsidRPr="00E5604D">
              <w:rPr>
                <w:rFonts w:cs="Arial"/>
                <w:szCs w:val="20"/>
              </w:rPr>
              <w:t>3 years +</w:t>
            </w:r>
          </w:p>
        </w:tc>
        <w:tc>
          <w:tcPr>
            <w:tcW w:w="0" w:type="dxa"/>
            <w:tcBorders>
              <w:top w:val="single" w:sz="4" w:space="0" w:color="000000"/>
              <w:bottom w:val="single" w:sz="4" w:space="0" w:color="000000"/>
            </w:tcBorders>
            <w:vAlign w:val="center"/>
          </w:tcPr>
          <w:p w14:paraId="094DDAA4" w14:textId="54D699F4" w:rsidR="004566A3" w:rsidRPr="00DC27F5" w:rsidRDefault="004566A3" w:rsidP="006E5A4B">
            <w:pPr>
              <w:pStyle w:val="BodyText"/>
              <w:rPr>
                <w:rFonts w:cs="Arial"/>
                <w:szCs w:val="20"/>
              </w:rPr>
            </w:pPr>
            <w:r w:rsidRPr="00DC27F5">
              <w:rPr>
                <w:rFonts w:cs="Arial"/>
                <w:szCs w:val="20"/>
              </w:rPr>
              <w:t>1</w:t>
            </w:r>
            <w:r w:rsidR="00E63A98" w:rsidRPr="00DC27F5">
              <w:rPr>
                <w:rFonts w:cs="Arial"/>
                <w:szCs w:val="20"/>
              </w:rPr>
              <w:t xml:space="preserve"> (3%)</w:t>
            </w:r>
          </w:p>
        </w:tc>
      </w:tr>
    </w:tbl>
    <w:p w14:paraId="394723DF" w14:textId="2E3DAC21" w:rsidR="00583AA5" w:rsidRPr="00BB3E42" w:rsidRDefault="001E09FE" w:rsidP="00281D11">
      <w:pPr>
        <w:pStyle w:val="Footer"/>
        <w:rPr>
          <w:lang w:eastAsia="en-AU"/>
        </w:rPr>
      </w:pPr>
      <w:r>
        <w:t>Source: KPMG, 2024</w:t>
      </w:r>
      <w:r w:rsidR="00DD3E39">
        <w:t>.</w:t>
      </w:r>
    </w:p>
    <w:p w14:paraId="004A7966" w14:textId="57F8FE23" w:rsidR="004F72FC" w:rsidRDefault="004F72FC" w:rsidP="00DD50F0">
      <w:pPr>
        <w:pStyle w:val="Caption"/>
      </w:pPr>
      <w:r>
        <w:t xml:space="preserve">Table </w:t>
      </w:r>
      <w:r>
        <w:fldChar w:fldCharType="begin"/>
      </w:r>
      <w:r>
        <w:instrText xml:space="preserve"> SEQ Table \* ARABIC </w:instrText>
      </w:r>
      <w:r>
        <w:fldChar w:fldCharType="separate"/>
      </w:r>
      <w:r w:rsidR="005F7EBC">
        <w:rPr>
          <w:noProof/>
        </w:rPr>
        <w:t>49</w:t>
      </w:r>
      <w:r>
        <w:fldChar w:fldCharType="end"/>
      </w:r>
      <w:r>
        <w:t>: Registrar survey results to the question ‘</w:t>
      </w:r>
      <w:r w:rsidR="00DD50F0" w:rsidRPr="00DD50F0">
        <w:t>What is the Modified Monash Model (MMM) rating of the facility you are training / trained a</w:t>
      </w:r>
      <w:r w:rsidR="00DD50F0">
        <w:t>t</w:t>
      </w:r>
      <w:r>
        <w:t>?’ (n=74)</w:t>
      </w:r>
    </w:p>
    <w:tbl>
      <w:tblPr>
        <w:tblStyle w:val="TableGrid"/>
        <w:tblW w:w="0" w:type="auto"/>
        <w:tblLook w:val="04A0" w:firstRow="1" w:lastRow="0" w:firstColumn="1" w:lastColumn="0" w:noHBand="0" w:noVBand="1"/>
      </w:tblPr>
      <w:tblGrid>
        <w:gridCol w:w="4814"/>
        <w:gridCol w:w="4814"/>
      </w:tblGrid>
      <w:tr w:rsidR="00725A81" w14:paraId="4881E67C"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50E21FD9" w14:textId="0E6E9AD4" w:rsidR="00725A81" w:rsidRPr="001B2509" w:rsidRDefault="00725A81"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0DEC97A2" w14:textId="77E226F5" w:rsidR="00725A81" w:rsidRPr="001B2509" w:rsidRDefault="00725A81" w:rsidP="001B2509">
            <w:r w:rsidRPr="001B2509">
              <w:t>Responses</w:t>
            </w:r>
          </w:p>
        </w:tc>
      </w:tr>
      <w:tr w:rsidR="009B00E4" w14:paraId="66DFC4AC"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3A740B93" w14:textId="289E469A" w:rsidR="009B00E4" w:rsidRPr="00DC27F5" w:rsidRDefault="009B00E4" w:rsidP="006E5A4B">
            <w:pPr>
              <w:spacing w:before="0" w:after="0"/>
              <w:rPr>
                <w:rFonts w:cs="Arial"/>
                <w:szCs w:val="20"/>
              </w:rPr>
            </w:pPr>
            <w:r w:rsidRPr="00E5604D">
              <w:rPr>
                <w:rFonts w:cs="Arial"/>
                <w:szCs w:val="20"/>
              </w:rPr>
              <w:t>MM1: Metropolitan area</w:t>
            </w:r>
          </w:p>
        </w:tc>
        <w:tc>
          <w:tcPr>
            <w:tcW w:w="0" w:type="dxa"/>
            <w:tcBorders>
              <w:bottom w:val="single" w:sz="4" w:space="0" w:color="000000"/>
            </w:tcBorders>
            <w:vAlign w:val="center"/>
          </w:tcPr>
          <w:p w14:paraId="10ECC8CB" w14:textId="52156D22" w:rsidR="009B00E4" w:rsidRDefault="009B00E4" w:rsidP="006E5A4B">
            <w:pPr>
              <w:pStyle w:val="BodyText"/>
            </w:pPr>
            <w:r w:rsidRPr="00DC27F5">
              <w:rPr>
                <w:rFonts w:cs="Arial"/>
                <w:szCs w:val="20"/>
              </w:rPr>
              <w:t>58</w:t>
            </w:r>
            <w:r w:rsidR="00DD50F0" w:rsidRPr="00DC27F5">
              <w:rPr>
                <w:rFonts w:cs="Arial"/>
                <w:szCs w:val="20"/>
              </w:rPr>
              <w:t xml:space="preserve"> (81%)</w:t>
            </w:r>
          </w:p>
        </w:tc>
      </w:tr>
      <w:tr w:rsidR="009B00E4" w14:paraId="1C0900D2" w14:textId="77777777" w:rsidTr="00DC27F5">
        <w:tc>
          <w:tcPr>
            <w:tcW w:w="0" w:type="dxa"/>
            <w:tcBorders>
              <w:top w:val="single" w:sz="4" w:space="0" w:color="000000"/>
              <w:bottom w:val="single" w:sz="4" w:space="0" w:color="000000"/>
            </w:tcBorders>
            <w:vAlign w:val="center"/>
          </w:tcPr>
          <w:p w14:paraId="3188EBC7" w14:textId="40904B46" w:rsidR="009B00E4" w:rsidRPr="00DC27F5" w:rsidRDefault="009B00E4" w:rsidP="006E5A4B">
            <w:pPr>
              <w:spacing w:before="0" w:after="0"/>
              <w:rPr>
                <w:rFonts w:cs="Arial"/>
                <w:szCs w:val="20"/>
              </w:rPr>
            </w:pPr>
            <w:r w:rsidRPr="00E5604D">
              <w:rPr>
                <w:rFonts w:cs="Arial"/>
                <w:szCs w:val="20"/>
              </w:rPr>
              <w:t>MM2: Regional centre</w:t>
            </w:r>
          </w:p>
        </w:tc>
        <w:tc>
          <w:tcPr>
            <w:tcW w:w="0" w:type="dxa"/>
            <w:tcBorders>
              <w:top w:val="single" w:sz="4" w:space="0" w:color="000000"/>
              <w:bottom w:val="single" w:sz="4" w:space="0" w:color="000000"/>
            </w:tcBorders>
            <w:vAlign w:val="center"/>
          </w:tcPr>
          <w:p w14:paraId="6CC9FD58" w14:textId="18C1CA4A" w:rsidR="009B00E4" w:rsidRDefault="009B00E4" w:rsidP="006E5A4B">
            <w:pPr>
              <w:pStyle w:val="BodyText"/>
            </w:pPr>
            <w:r w:rsidRPr="00DC27F5">
              <w:rPr>
                <w:rFonts w:cs="Arial"/>
                <w:szCs w:val="20"/>
              </w:rPr>
              <w:t>7</w:t>
            </w:r>
            <w:r w:rsidR="00DD50F0" w:rsidRPr="00DC27F5">
              <w:rPr>
                <w:rFonts w:cs="Arial"/>
                <w:szCs w:val="20"/>
              </w:rPr>
              <w:t xml:space="preserve"> (10%)</w:t>
            </w:r>
          </w:p>
        </w:tc>
      </w:tr>
      <w:tr w:rsidR="009B00E4" w14:paraId="79F41B57"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207148D7" w14:textId="183C7A32" w:rsidR="009B00E4" w:rsidRPr="00DC27F5" w:rsidRDefault="009B00E4" w:rsidP="006E5A4B">
            <w:pPr>
              <w:spacing w:before="0" w:after="0"/>
              <w:rPr>
                <w:rFonts w:cs="Arial"/>
                <w:szCs w:val="20"/>
              </w:rPr>
            </w:pPr>
            <w:r w:rsidRPr="00E5604D">
              <w:rPr>
                <w:rFonts w:cs="Arial"/>
                <w:szCs w:val="20"/>
              </w:rPr>
              <w:t>MM</w:t>
            </w:r>
            <w:proofErr w:type="gramStart"/>
            <w:r w:rsidRPr="00E5604D">
              <w:rPr>
                <w:rFonts w:cs="Arial"/>
                <w:szCs w:val="20"/>
              </w:rPr>
              <w:t>3:Large</w:t>
            </w:r>
            <w:proofErr w:type="gramEnd"/>
            <w:r w:rsidRPr="00E5604D">
              <w:rPr>
                <w:rFonts w:cs="Arial"/>
                <w:szCs w:val="20"/>
              </w:rPr>
              <w:t xml:space="preserve"> rural town</w:t>
            </w:r>
          </w:p>
        </w:tc>
        <w:tc>
          <w:tcPr>
            <w:tcW w:w="0" w:type="dxa"/>
            <w:tcBorders>
              <w:top w:val="single" w:sz="4" w:space="0" w:color="000000"/>
              <w:bottom w:val="single" w:sz="4" w:space="0" w:color="000000"/>
            </w:tcBorders>
            <w:vAlign w:val="center"/>
          </w:tcPr>
          <w:p w14:paraId="35041DB3" w14:textId="2F657E56" w:rsidR="009B00E4" w:rsidRDefault="009B00E4" w:rsidP="006E5A4B">
            <w:pPr>
              <w:pStyle w:val="BodyText"/>
            </w:pPr>
            <w:r w:rsidRPr="00DC27F5">
              <w:rPr>
                <w:rFonts w:cs="Arial"/>
                <w:szCs w:val="20"/>
              </w:rPr>
              <w:t>5</w:t>
            </w:r>
            <w:r w:rsidR="00DD50F0" w:rsidRPr="00DC27F5">
              <w:rPr>
                <w:rFonts w:cs="Arial"/>
                <w:szCs w:val="20"/>
              </w:rPr>
              <w:t xml:space="preserve"> (7%)</w:t>
            </w:r>
          </w:p>
        </w:tc>
      </w:tr>
      <w:tr w:rsidR="009B00E4" w14:paraId="407AD128" w14:textId="77777777" w:rsidTr="00DC27F5">
        <w:tc>
          <w:tcPr>
            <w:tcW w:w="0" w:type="dxa"/>
            <w:tcBorders>
              <w:top w:val="single" w:sz="4" w:space="0" w:color="000000"/>
              <w:bottom w:val="single" w:sz="4" w:space="0" w:color="000000"/>
            </w:tcBorders>
            <w:vAlign w:val="center"/>
          </w:tcPr>
          <w:p w14:paraId="24C9C51B" w14:textId="2796567D" w:rsidR="009B00E4" w:rsidRPr="00DC27F5" w:rsidRDefault="009B00E4" w:rsidP="006E5A4B">
            <w:pPr>
              <w:spacing w:before="0" w:after="0"/>
              <w:rPr>
                <w:rFonts w:cs="Arial"/>
                <w:szCs w:val="20"/>
              </w:rPr>
            </w:pPr>
            <w:r w:rsidRPr="00DC27F5">
              <w:rPr>
                <w:rFonts w:cs="Arial"/>
                <w:szCs w:val="20"/>
              </w:rPr>
              <w:t xml:space="preserve"> </w:t>
            </w:r>
            <w:r w:rsidRPr="00E5604D">
              <w:rPr>
                <w:rFonts w:cs="Arial"/>
                <w:szCs w:val="20"/>
              </w:rPr>
              <w:t>MM 4: Medium rural town</w:t>
            </w:r>
          </w:p>
        </w:tc>
        <w:tc>
          <w:tcPr>
            <w:tcW w:w="0" w:type="dxa"/>
            <w:tcBorders>
              <w:top w:val="single" w:sz="4" w:space="0" w:color="000000"/>
              <w:bottom w:val="single" w:sz="4" w:space="0" w:color="000000"/>
            </w:tcBorders>
            <w:vAlign w:val="center"/>
          </w:tcPr>
          <w:p w14:paraId="6B9B50E2" w14:textId="282FC899" w:rsidR="009B00E4" w:rsidRDefault="009B00E4" w:rsidP="006E5A4B">
            <w:pPr>
              <w:pStyle w:val="BodyText"/>
            </w:pPr>
            <w:r w:rsidRPr="00DC27F5">
              <w:rPr>
                <w:rFonts w:cs="Arial"/>
                <w:szCs w:val="20"/>
              </w:rPr>
              <w:t>0</w:t>
            </w:r>
            <w:r w:rsidR="00DD50F0" w:rsidRPr="00DC27F5">
              <w:rPr>
                <w:rFonts w:cs="Arial"/>
                <w:szCs w:val="20"/>
              </w:rPr>
              <w:t xml:space="preserve"> (0%)</w:t>
            </w:r>
          </w:p>
        </w:tc>
      </w:tr>
      <w:tr w:rsidR="009B00E4" w14:paraId="0EA1C808"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42B6CA77" w14:textId="60076902" w:rsidR="009B00E4" w:rsidRPr="00DC27F5" w:rsidRDefault="009B00E4" w:rsidP="006E5A4B">
            <w:pPr>
              <w:spacing w:before="0" w:after="0"/>
              <w:rPr>
                <w:rFonts w:cs="Arial"/>
                <w:szCs w:val="20"/>
              </w:rPr>
            </w:pPr>
            <w:r w:rsidRPr="006E5A4B">
              <w:rPr>
                <w:rFonts w:cs="Arial"/>
                <w:color w:val="000000"/>
                <w:szCs w:val="20"/>
              </w:rPr>
              <w:t>MM 5: Small rural town</w:t>
            </w:r>
          </w:p>
        </w:tc>
        <w:tc>
          <w:tcPr>
            <w:tcW w:w="0" w:type="dxa"/>
            <w:tcBorders>
              <w:top w:val="single" w:sz="4" w:space="0" w:color="000000"/>
              <w:bottom w:val="single" w:sz="4" w:space="0" w:color="000000"/>
            </w:tcBorders>
            <w:vAlign w:val="center"/>
          </w:tcPr>
          <w:p w14:paraId="79821663" w14:textId="520AD1F7" w:rsidR="009B00E4" w:rsidRPr="00DC27F5" w:rsidRDefault="009B00E4" w:rsidP="006E5A4B">
            <w:pPr>
              <w:pStyle w:val="BodyText"/>
              <w:rPr>
                <w:rFonts w:cs="Arial"/>
                <w:szCs w:val="20"/>
              </w:rPr>
            </w:pPr>
            <w:r w:rsidRPr="00DC27F5">
              <w:rPr>
                <w:rFonts w:cs="Arial"/>
                <w:szCs w:val="20"/>
              </w:rPr>
              <w:t>1</w:t>
            </w:r>
            <w:r w:rsidR="00DD50F0" w:rsidRPr="00DC27F5">
              <w:rPr>
                <w:rFonts w:cs="Arial"/>
                <w:szCs w:val="20"/>
              </w:rPr>
              <w:t xml:space="preserve"> (1%)</w:t>
            </w:r>
          </w:p>
        </w:tc>
      </w:tr>
      <w:tr w:rsidR="009B00E4" w14:paraId="43E58319" w14:textId="77777777" w:rsidTr="00DC27F5">
        <w:tc>
          <w:tcPr>
            <w:tcW w:w="0" w:type="dxa"/>
            <w:tcBorders>
              <w:top w:val="single" w:sz="4" w:space="0" w:color="000000"/>
              <w:bottom w:val="single" w:sz="4" w:space="0" w:color="000000"/>
            </w:tcBorders>
            <w:vAlign w:val="center"/>
          </w:tcPr>
          <w:p w14:paraId="7C4B3DBE" w14:textId="1CA69484" w:rsidR="009B00E4" w:rsidRPr="00DC27F5" w:rsidRDefault="009B00E4" w:rsidP="006E5A4B">
            <w:pPr>
              <w:spacing w:before="0" w:after="0"/>
              <w:rPr>
                <w:rFonts w:cs="Arial"/>
                <w:szCs w:val="20"/>
              </w:rPr>
            </w:pPr>
            <w:r w:rsidRPr="006E5A4B">
              <w:rPr>
                <w:rFonts w:cs="Arial"/>
                <w:color w:val="000000"/>
                <w:szCs w:val="20"/>
              </w:rPr>
              <w:t>MM 6: Remote community</w:t>
            </w:r>
          </w:p>
        </w:tc>
        <w:tc>
          <w:tcPr>
            <w:tcW w:w="0" w:type="dxa"/>
            <w:tcBorders>
              <w:top w:val="single" w:sz="4" w:space="0" w:color="000000"/>
              <w:bottom w:val="single" w:sz="4" w:space="0" w:color="000000"/>
            </w:tcBorders>
            <w:vAlign w:val="center"/>
          </w:tcPr>
          <w:p w14:paraId="6D8C8C0B" w14:textId="3C86FC3A" w:rsidR="009B00E4" w:rsidRPr="00DC27F5" w:rsidRDefault="009B00E4" w:rsidP="006E5A4B">
            <w:pPr>
              <w:pStyle w:val="BodyText"/>
              <w:rPr>
                <w:rFonts w:cs="Arial"/>
                <w:szCs w:val="20"/>
              </w:rPr>
            </w:pPr>
            <w:r w:rsidRPr="00DC27F5">
              <w:rPr>
                <w:rFonts w:cs="Arial"/>
                <w:szCs w:val="20"/>
              </w:rPr>
              <w:t>0</w:t>
            </w:r>
            <w:r w:rsidR="00DD50F0" w:rsidRPr="00DC27F5">
              <w:rPr>
                <w:rFonts w:cs="Arial"/>
                <w:szCs w:val="20"/>
              </w:rPr>
              <w:t xml:space="preserve"> (0%)</w:t>
            </w:r>
          </w:p>
        </w:tc>
      </w:tr>
      <w:tr w:rsidR="009B00E4" w14:paraId="2188EC78"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4143CAEC" w14:textId="30C3D368" w:rsidR="009B00E4" w:rsidRPr="00DC27F5" w:rsidRDefault="009B00E4" w:rsidP="006E5A4B">
            <w:pPr>
              <w:spacing w:before="0" w:after="0"/>
              <w:rPr>
                <w:rFonts w:cs="Arial"/>
                <w:szCs w:val="20"/>
              </w:rPr>
            </w:pPr>
            <w:r w:rsidRPr="006E5A4B">
              <w:rPr>
                <w:rFonts w:cs="Arial"/>
                <w:color w:val="000000"/>
                <w:szCs w:val="20"/>
              </w:rPr>
              <w:t>MM 7: Very remote community</w:t>
            </w:r>
          </w:p>
        </w:tc>
        <w:tc>
          <w:tcPr>
            <w:tcW w:w="0" w:type="dxa"/>
            <w:tcBorders>
              <w:top w:val="single" w:sz="4" w:space="0" w:color="000000"/>
              <w:bottom w:val="single" w:sz="4" w:space="0" w:color="000000"/>
            </w:tcBorders>
            <w:vAlign w:val="center"/>
          </w:tcPr>
          <w:p w14:paraId="60CC87F7" w14:textId="34A94B47" w:rsidR="009B00E4" w:rsidRPr="00DC27F5" w:rsidRDefault="009B00E4" w:rsidP="006E5A4B">
            <w:pPr>
              <w:pStyle w:val="BodyText"/>
              <w:rPr>
                <w:rFonts w:cs="Arial"/>
                <w:szCs w:val="20"/>
              </w:rPr>
            </w:pPr>
            <w:r w:rsidRPr="00DC27F5">
              <w:rPr>
                <w:rFonts w:cs="Arial"/>
                <w:szCs w:val="20"/>
              </w:rPr>
              <w:t>1</w:t>
            </w:r>
            <w:r w:rsidR="00DD50F0" w:rsidRPr="00DC27F5">
              <w:rPr>
                <w:rFonts w:cs="Arial"/>
                <w:szCs w:val="20"/>
              </w:rPr>
              <w:t xml:space="preserve"> (1%)</w:t>
            </w:r>
          </w:p>
        </w:tc>
      </w:tr>
    </w:tbl>
    <w:p w14:paraId="6F839C51" w14:textId="3AB0A08B" w:rsidR="00D837C8" w:rsidRDefault="00D837C8" w:rsidP="00281D11">
      <w:pPr>
        <w:pStyle w:val="Footer"/>
      </w:pPr>
      <w:r>
        <w:t>Source: KPMG, 2024</w:t>
      </w:r>
      <w:r w:rsidR="00DD3E39">
        <w:t>.</w:t>
      </w:r>
    </w:p>
    <w:p w14:paraId="556D3193" w14:textId="52FABEBB" w:rsidR="008711E7" w:rsidRDefault="008711E7" w:rsidP="008711E7">
      <w:pPr>
        <w:pStyle w:val="Caption"/>
      </w:pPr>
      <w:r>
        <w:t xml:space="preserve">Table </w:t>
      </w:r>
      <w:r>
        <w:fldChar w:fldCharType="begin"/>
      </w:r>
      <w:r>
        <w:instrText xml:space="preserve"> SEQ Table \* ARABIC </w:instrText>
      </w:r>
      <w:r>
        <w:fldChar w:fldCharType="separate"/>
      </w:r>
      <w:r w:rsidR="005F7EBC">
        <w:rPr>
          <w:noProof/>
        </w:rPr>
        <w:t>50</w:t>
      </w:r>
      <w:r>
        <w:fldChar w:fldCharType="end"/>
      </w:r>
      <w:r>
        <w:t>: Registrar survey results to the question ‘Is your facility a public or private facility?’ (n=74)</w:t>
      </w:r>
    </w:p>
    <w:tbl>
      <w:tblPr>
        <w:tblStyle w:val="TableGrid"/>
        <w:tblW w:w="0" w:type="auto"/>
        <w:tblLook w:val="04A0" w:firstRow="1" w:lastRow="0" w:firstColumn="1" w:lastColumn="0" w:noHBand="0" w:noVBand="1"/>
      </w:tblPr>
      <w:tblGrid>
        <w:gridCol w:w="4814"/>
        <w:gridCol w:w="4814"/>
      </w:tblGrid>
      <w:tr w:rsidR="008711E7" w14:paraId="19582879"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5913C22C" w14:textId="77777777" w:rsidR="008711E7" w:rsidRPr="001B2509" w:rsidRDefault="008711E7"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660CEFCB" w14:textId="77777777" w:rsidR="008711E7" w:rsidRPr="001B2509" w:rsidRDefault="008711E7" w:rsidP="001B2509">
            <w:r w:rsidRPr="001B2509">
              <w:t>Responses</w:t>
            </w:r>
          </w:p>
        </w:tc>
      </w:tr>
      <w:tr w:rsidR="008711E7" w14:paraId="2EEF5185"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661568BF" w14:textId="7F67CCF9" w:rsidR="008711E7" w:rsidRPr="00DC27F5" w:rsidRDefault="008711E7" w:rsidP="006E5A4B">
            <w:pPr>
              <w:spacing w:before="0" w:after="0"/>
              <w:rPr>
                <w:rFonts w:cs="Arial"/>
                <w:szCs w:val="20"/>
              </w:rPr>
            </w:pPr>
            <w:r w:rsidRPr="00E5604D">
              <w:rPr>
                <w:rFonts w:cs="Arial"/>
                <w:szCs w:val="20"/>
              </w:rPr>
              <w:t>Public</w:t>
            </w:r>
          </w:p>
        </w:tc>
        <w:tc>
          <w:tcPr>
            <w:tcW w:w="0" w:type="dxa"/>
            <w:tcBorders>
              <w:bottom w:val="single" w:sz="4" w:space="0" w:color="000000"/>
            </w:tcBorders>
            <w:vAlign w:val="center"/>
          </w:tcPr>
          <w:p w14:paraId="5E604977" w14:textId="691A240F" w:rsidR="008711E7" w:rsidRDefault="00D93C69" w:rsidP="006E5A4B">
            <w:pPr>
              <w:pStyle w:val="BodyText"/>
            </w:pPr>
            <w:r>
              <w:t>63 (85%)</w:t>
            </w:r>
          </w:p>
        </w:tc>
      </w:tr>
      <w:tr w:rsidR="008711E7" w14:paraId="74846FA3" w14:textId="77777777" w:rsidTr="00DC27F5">
        <w:tc>
          <w:tcPr>
            <w:tcW w:w="0" w:type="dxa"/>
            <w:tcBorders>
              <w:top w:val="single" w:sz="4" w:space="0" w:color="000000"/>
              <w:bottom w:val="single" w:sz="4" w:space="0" w:color="000000"/>
            </w:tcBorders>
            <w:vAlign w:val="center"/>
          </w:tcPr>
          <w:p w14:paraId="2E171563" w14:textId="7A202F68" w:rsidR="008711E7" w:rsidRPr="00DC27F5" w:rsidRDefault="00D93C69" w:rsidP="006E5A4B">
            <w:pPr>
              <w:spacing w:before="0" w:after="0"/>
              <w:rPr>
                <w:rFonts w:cs="Arial"/>
                <w:szCs w:val="20"/>
              </w:rPr>
            </w:pPr>
            <w:r w:rsidRPr="00E5604D">
              <w:rPr>
                <w:rFonts w:cs="Arial"/>
                <w:szCs w:val="20"/>
              </w:rPr>
              <w:t>Private</w:t>
            </w:r>
          </w:p>
        </w:tc>
        <w:tc>
          <w:tcPr>
            <w:tcW w:w="0" w:type="dxa"/>
            <w:tcBorders>
              <w:top w:val="single" w:sz="4" w:space="0" w:color="000000"/>
              <w:bottom w:val="single" w:sz="4" w:space="0" w:color="000000"/>
            </w:tcBorders>
            <w:vAlign w:val="center"/>
          </w:tcPr>
          <w:p w14:paraId="469C480A" w14:textId="5B85CAE4" w:rsidR="008711E7" w:rsidRDefault="00D93C69" w:rsidP="006E5A4B">
            <w:pPr>
              <w:pStyle w:val="BodyText"/>
            </w:pPr>
            <w:r w:rsidRPr="00DC27F5">
              <w:rPr>
                <w:rFonts w:cs="Arial"/>
                <w:szCs w:val="20"/>
              </w:rPr>
              <w:t>11 (15%)</w:t>
            </w:r>
          </w:p>
        </w:tc>
      </w:tr>
    </w:tbl>
    <w:p w14:paraId="1E068FD0" w14:textId="0F012A02" w:rsidR="00EF14B2" w:rsidRPr="00BB3E42" w:rsidRDefault="00EF14B2" w:rsidP="00BB3E42">
      <w:pPr>
        <w:pStyle w:val="Caption"/>
        <w:rPr>
          <w:szCs w:val="24"/>
        </w:rPr>
      </w:pPr>
      <w:r>
        <w:rPr>
          <w:szCs w:val="24"/>
        </w:rPr>
        <w:t>Source: KPMG, 2024</w:t>
      </w:r>
      <w:r w:rsidR="00DD3E39">
        <w:rPr>
          <w:szCs w:val="24"/>
        </w:rPr>
        <w:t>.</w:t>
      </w:r>
    </w:p>
    <w:p w14:paraId="5642005F" w14:textId="02DD9110" w:rsidR="00EF14B2" w:rsidRDefault="00EF14B2" w:rsidP="00EF14B2">
      <w:pPr>
        <w:pStyle w:val="Caption"/>
      </w:pPr>
      <w:r>
        <w:t xml:space="preserve">Table </w:t>
      </w:r>
      <w:r>
        <w:fldChar w:fldCharType="begin"/>
      </w:r>
      <w:r>
        <w:instrText xml:space="preserve"> SEQ Table \* ARABIC </w:instrText>
      </w:r>
      <w:r>
        <w:fldChar w:fldCharType="separate"/>
      </w:r>
      <w:r w:rsidR="005F7EBC">
        <w:rPr>
          <w:noProof/>
        </w:rPr>
        <w:t>51</w:t>
      </w:r>
      <w:r>
        <w:fldChar w:fldCharType="end"/>
      </w:r>
      <w:r>
        <w:t>: Registrar survey results to the question ‘Have you received training under the previous or revised curriculum?’ (n=70)</w:t>
      </w:r>
    </w:p>
    <w:tbl>
      <w:tblPr>
        <w:tblStyle w:val="TableGrid"/>
        <w:tblW w:w="0" w:type="auto"/>
        <w:tblLook w:val="04A0" w:firstRow="1" w:lastRow="0" w:firstColumn="1" w:lastColumn="0" w:noHBand="0" w:noVBand="1"/>
      </w:tblPr>
      <w:tblGrid>
        <w:gridCol w:w="4814"/>
        <w:gridCol w:w="4814"/>
      </w:tblGrid>
      <w:tr w:rsidR="00EF14B2" w14:paraId="57920107"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3D1521AA" w14:textId="77777777" w:rsidR="00EF14B2" w:rsidRPr="001B2509" w:rsidRDefault="00EF14B2"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6EB958D6" w14:textId="77777777" w:rsidR="00EF14B2" w:rsidRPr="001B2509" w:rsidRDefault="00EF14B2" w:rsidP="001B2509">
            <w:r w:rsidRPr="001B2509">
              <w:t>Responses</w:t>
            </w:r>
          </w:p>
        </w:tc>
      </w:tr>
      <w:tr w:rsidR="00EF14B2" w14:paraId="25C93533"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173E49FA" w14:textId="7F7D1503" w:rsidR="00EF14B2" w:rsidRPr="00DC27F5" w:rsidRDefault="00EF14B2" w:rsidP="006E5A4B">
            <w:pPr>
              <w:spacing w:before="0" w:after="0"/>
              <w:rPr>
                <w:rFonts w:cs="Arial"/>
                <w:szCs w:val="20"/>
              </w:rPr>
            </w:pPr>
            <w:r w:rsidRPr="00E5604D">
              <w:rPr>
                <w:rFonts w:cs="Arial"/>
                <w:szCs w:val="20"/>
              </w:rPr>
              <w:t>Revised curriculum</w:t>
            </w:r>
          </w:p>
        </w:tc>
        <w:tc>
          <w:tcPr>
            <w:tcW w:w="0" w:type="dxa"/>
            <w:tcBorders>
              <w:bottom w:val="single" w:sz="4" w:space="0" w:color="000000"/>
            </w:tcBorders>
            <w:vAlign w:val="center"/>
          </w:tcPr>
          <w:p w14:paraId="4BA8CCE4" w14:textId="569B3DA7" w:rsidR="00EF14B2" w:rsidRDefault="00EF14B2" w:rsidP="006E5A4B">
            <w:pPr>
              <w:pStyle w:val="BodyText"/>
            </w:pPr>
            <w:r>
              <w:t>23 (33%)</w:t>
            </w:r>
          </w:p>
        </w:tc>
      </w:tr>
      <w:tr w:rsidR="00EF14B2" w14:paraId="2D3F4E80" w14:textId="77777777" w:rsidTr="00DC27F5">
        <w:tc>
          <w:tcPr>
            <w:tcW w:w="0" w:type="dxa"/>
            <w:tcBorders>
              <w:top w:val="single" w:sz="4" w:space="0" w:color="000000"/>
              <w:bottom w:val="single" w:sz="4" w:space="0" w:color="000000"/>
            </w:tcBorders>
            <w:vAlign w:val="center"/>
          </w:tcPr>
          <w:p w14:paraId="330AAE5C" w14:textId="3864DA9B" w:rsidR="00EF14B2" w:rsidRPr="00DC27F5" w:rsidRDefault="00EF14B2" w:rsidP="006E5A4B">
            <w:pPr>
              <w:spacing w:before="0" w:after="0"/>
              <w:rPr>
                <w:rFonts w:cs="Arial"/>
                <w:szCs w:val="20"/>
              </w:rPr>
            </w:pPr>
            <w:r w:rsidRPr="00E5604D">
              <w:rPr>
                <w:rFonts w:cs="Arial"/>
                <w:szCs w:val="20"/>
              </w:rPr>
              <w:t>Previous curriculum</w:t>
            </w:r>
          </w:p>
        </w:tc>
        <w:tc>
          <w:tcPr>
            <w:tcW w:w="0" w:type="dxa"/>
            <w:tcBorders>
              <w:top w:val="single" w:sz="4" w:space="0" w:color="000000"/>
              <w:bottom w:val="single" w:sz="4" w:space="0" w:color="000000"/>
            </w:tcBorders>
            <w:vAlign w:val="center"/>
          </w:tcPr>
          <w:p w14:paraId="3BCFC82E" w14:textId="2EDDB02B" w:rsidR="00EF14B2" w:rsidRDefault="00A264D2" w:rsidP="006E5A4B">
            <w:pPr>
              <w:pStyle w:val="BodyText"/>
            </w:pPr>
            <w:r w:rsidRPr="00DC27F5">
              <w:rPr>
                <w:rFonts w:cs="Arial"/>
                <w:szCs w:val="20"/>
              </w:rPr>
              <w:t>47 (67%)</w:t>
            </w:r>
          </w:p>
        </w:tc>
      </w:tr>
    </w:tbl>
    <w:p w14:paraId="1D43E818" w14:textId="3AB55529" w:rsidR="00EF14B2" w:rsidRPr="00BB3E42" w:rsidRDefault="00EF14B2" w:rsidP="00281D11">
      <w:pPr>
        <w:pStyle w:val="Footer"/>
        <w:rPr>
          <w:lang w:eastAsia="en-AU"/>
        </w:rPr>
      </w:pPr>
      <w:r>
        <w:t>Source: KPMG, 2024</w:t>
      </w:r>
      <w:r w:rsidR="00DD3E39">
        <w:t>.</w:t>
      </w:r>
    </w:p>
    <w:p w14:paraId="51520A16" w14:textId="1A50AFDA" w:rsidR="0070462F" w:rsidRDefault="0070462F" w:rsidP="0070462F">
      <w:pPr>
        <w:pStyle w:val="Caption"/>
      </w:pPr>
      <w:r>
        <w:t xml:space="preserve">Table </w:t>
      </w:r>
      <w:r>
        <w:fldChar w:fldCharType="begin"/>
      </w:r>
      <w:r>
        <w:instrText xml:space="preserve"> SEQ Table \* ARABIC </w:instrText>
      </w:r>
      <w:r>
        <w:fldChar w:fldCharType="separate"/>
      </w:r>
      <w:r w:rsidR="005F7EBC">
        <w:rPr>
          <w:noProof/>
        </w:rPr>
        <w:t>52</w:t>
      </w:r>
      <w:r>
        <w:fldChar w:fldCharType="end"/>
      </w:r>
      <w:r>
        <w:t>: Past Registrar survey results to the question ‘Are you currently working as a medical physicist or radiopharmaceutical scientist?’ (n=</w:t>
      </w:r>
      <w:r w:rsidR="003A1982">
        <w:t>40</w:t>
      </w:r>
      <w:r>
        <w:t>)</w:t>
      </w:r>
    </w:p>
    <w:tbl>
      <w:tblPr>
        <w:tblStyle w:val="TableGrid"/>
        <w:tblW w:w="0" w:type="auto"/>
        <w:tblLook w:val="04A0" w:firstRow="1" w:lastRow="0" w:firstColumn="1" w:lastColumn="0" w:noHBand="0" w:noVBand="1"/>
      </w:tblPr>
      <w:tblGrid>
        <w:gridCol w:w="4814"/>
        <w:gridCol w:w="4814"/>
      </w:tblGrid>
      <w:tr w:rsidR="0070462F" w14:paraId="6E45F9EC"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5359C954" w14:textId="77777777" w:rsidR="0070462F" w:rsidRPr="001B2509" w:rsidRDefault="0070462F"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368D8577" w14:textId="77777777" w:rsidR="0070462F" w:rsidRPr="001B2509" w:rsidRDefault="0070462F" w:rsidP="001B2509">
            <w:r w:rsidRPr="001B2509">
              <w:t>Responses</w:t>
            </w:r>
          </w:p>
        </w:tc>
      </w:tr>
      <w:tr w:rsidR="0070462F" w14:paraId="05FD9B54"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0D91CED2" w14:textId="15666452" w:rsidR="0070462F" w:rsidRPr="00DC27F5" w:rsidRDefault="00E874EE" w:rsidP="000C3C73">
            <w:pPr>
              <w:spacing w:before="0" w:after="0"/>
              <w:rPr>
                <w:rFonts w:cs="Arial"/>
                <w:szCs w:val="20"/>
              </w:rPr>
            </w:pPr>
            <w:r w:rsidRPr="00E5604D">
              <w:rPr>
                <w:rFonts w:cs="Arial"/>
                <w:szCs w:val="20"/>
              </w:rPr>
              <w:t>Yes</w:t>
            </w:r>
          </w:p>
        </w:tc>
        <w:tc>
          <w:tcPr>
            <w:tcW w:w="0" w:type="dxa"/>
            <w:tcBorders>
              <w:bottom w:val="single" w:sz="4" w:space="0" w:color="000000"/>
            </w:tcBorders>
            <w:vAlign w:val="center"/>
          </w:tcPr>
          <w:p w14:paraId="2DB7F9F9" w14:textId="0B4AB599" w:rsidR="0070462F" w:rsidRDefault="00A95CBF" w:rsidP="000C3C73">
            <w:pPr>
              <w:pStyle w:val="BodyText"/>
            </w:pPr>
            <w:r>
              <w:t>40</w:t>
            </w:r>
            <w:r w:rsidR="00E874EE">
              <w:t xml:space="preserve"> (100%)</w:t>
            </w:r>
          </w:p>
        </w:tc>
      </w:tr>
      <w:tr w:rsidR="0070462F" w14:paraId="456C1D56" w14:textId="77777777" w:rsidTr="00DC27F5">
        <w:tc>
          <w:tcPr>
            <w:tcW w:w="0" w:type="dxa"/>
            <w:tcBorders>
              <w:top w:val="single" w:sz="4" w:space="0" w:color="000000"/>
              <w:bottom w:val="single" w:sz="4" w:space="0" w:color="000000"/>
            </w:tcBorders>
            <w:vAlign w:val="center"/>
          </w:tcPr>
          <w:p w14:paraId="6D3C9F22" w14:textId="5B8B2BC4" w:rsidR="0070462F" w:rsidRPr="00DC27F5" w:rsidRDefault="00E874EE" w:rsidP="000C3C73">
            <w:pPr>
              <w:spacing w:before="0" w:after="0"/>
              <w:rPr>
                <w:rFonts w:cs="Arial"/>
                <w:szCs w:val="20"/>
              </w:rPr>
            </w:pPr>
            <w:r w:rsidRPr="00E5604D">
              <w:rPr>
                <w:rFonts w:cs="Arial"/>
                <w:szCs w:val="20"/>
              </w:rPr>
              <w:t>No</w:t>
            </w:r>
          </w:p>
        </w:tc>
        <w:tc>
          <w:tcPr>
            <w:tcW w:w="0" w:type="dxa"/>
            <w:tcBorders>
              <w:top w:val="single" w:sz="4" w:space="0" w:color="000000"/>
              <w:bottom w:val="single" w:sz="4" w:space="0" w:color="000000"/>
            </w:tcBorders>
            <w:vAlign w:val="center"/>
          </w:tcPr>
          <w:p w14:paraId="49B1CF57" w14:textId="5FD6B52A" w:rsidR="0070462F" w:rsidRDefault="00E874EE" w:rsidP="000C3C73">
            <w:pPr>
              <w:pStyle w:val="BodyText"/>
            </w:pPr>
            <w:r w:rsidRPr="00DC27F5">
              <w:rPr>
                <w:rFonts w:cs="Arial"/>
                <w:szCs w:val="20"/>
              </w:rPr>
              <w:t>0 (0%)</w:t>
            </w:r>
          </w:p>
        </w:tc>
      </w:tr>
    </w:tbl>
    <w:p w14:paraId="228597F9" w14:textId="5990D5D7" w:rsidR="00E874EE" w:rsidRPr="00281D11" w:rsidRDefault="0070462F" w:rsidP="00281D11">
      <w:pPr>
        <w:pStyle w:val="Footer"/>
      </w:pPr>
      <w:r w:rsidRPr="00281D11">
        <w:t>Source: KPMG, 2024</w:t>
      </w:r>
      <w:r w:rsidR="00DD3E39" w:rsidRPr="00281D11">
        <w:t>.</w:t>
      </w:r>
    </w:p>
    <w:p w14:paraId="7A23F7CE" w14:textId="28545322" w:rsidR="00E874EE" w:rsidRDefault="00E874EE" w:rsidP="00E874EE">
      <w:pPr>
        <w:pStyle w:val="Caption"/>
      </w:pPr>
      <w:r>
        <w:t xml:space="preserve">Table </w:t>
      </w:r>
      <w:r>
        <w:fldChar w:fldCharType="begin"/>
      </w:r>
      <w:r>
        <w:instrText xml:space="preserve"> SEQ Table \* ARABIC </w:instrText>
      </w:r>
      <w:r>
        <w:fldChar w:fldCharType="separate"/>
      </w:r>
      <w:r w:rsidR="005F7EBC">
        <w:rPr>
          <w:noProof/>
        </w:rPr>
        <w:t>53</w:t>
      </w:r>
      <w:r>
        <w:fldChar w:fldCharType="end"/>
      </w:r>
      <w:r>
        <w:t>: Past Registrar survey results to the question ‘</w:t>
      </w:r>
      <w:r w:rsidR="00CC31D0" w:rsidRPr="00CC31D0">
        <w:t>Are you currently working at the facility you completed TEAP at</w:t>
      </w:r>
      <w:r>
        <w:t>?’ (n=</w:t>
      </w:r>
      <w:r w:rsidR="00763EFA">
        <w:t>40</w:t>
      </w:r>
      <w:r>
        <w:t>)</w:t>
      </w:r>
    </w:p>
    <w:tbl>
      <w:tblPr>
        <w:tblStyle w:val="TableGrid"/>
        <w:tblW w:w="0" w:type="auto"/>
        <w:tblLook w:val="04A0" w:firstRow="1" w:lastRow="0" w:firstColumn="1" w:lastColumn="0" w:noHBand="0" w:noVBand="1"/>
      </w:tblPr>
      <w:tblGrid>
        <w:gridCol w:w="4814"/>
        <w:gridCol w:w="4814"/>
      </w:tblGrid>
      <w:tr w:rsidR="00E874EE" w14:paraId="79061153"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50E69D8F" w14:textId="77777777" w:rsidR="00E874EE" w:rsidRPr="001B2509" w:rsidRDefault="00E874EE"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3A375D60" w14:textId="77777777" w:rsidR="00E874EE" w:rsidRPr="001B2509" w:rsidRDefault="00E874EE" w:rsidP="001B2509">
            <w:r w:rsidRPr="001B2509">
              <w:t>Responses</w:t>
            </w:r>
          </w:p>
        </w:tc>
      </w:tr>
      <w:tr w:rsidR="00E874EE" w14:paraId="30CEBF8D"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78D39B1B" w14:textId="77777777" w:rsidR="00E874EE" w:rsidRPr="00DC27F5" w:rsidRDefault="00E874EE" w:rsidP="000C3C73">
            <w:pPr>
              <w:spacing w:before="0" w:after="0"/>
              <w:rPr>
                <w:rFonts w:cs="Arial"/>
                <w:szCs w:val="20"/>
              </w:rPr>
            </w:pPr>
            <w:r w:rsidRPr="00E5604D">
              <w:rPr>
                <w:rFonts w:cs="Arial"/>
                <w:szCs w:val="20"/>
              </w:rPr>
              <w:t>Yes</w:t>
            </w:r>
          </w:p>
        </w:tc>
        <w:tc>
          <w:tcPr>
            <w:tcW w:w="0" w:type="dxa"/>
            <w:tcBorders>
              <w:bottom w:val="single" w:sz="4" w:space="0" w:color="000000"/>
            </w:tcBorders>
            <w:vAlign w:val="center"/>
          </w:tcPr>
          <w:p w14:paraId="68F241AF" w14:textId="24B22268" w:rsidR="00E874EE" w:rsidRDefault="00CC31D0" w:rsidP="000C3C73">
            <w:pPr>
              <w:pStyle w:val="BodyText"/>
            </w:pPr>
            <w:r>
              <w:t>1</w:t>
            </w:r>
            <w:r w:rsidR="00763EFA">
              <w:t>5</w:t>
            </w:r>
            <w:r w:rsidR="00E874EE">
              <w:t xml:space="preserve"> (</w:t>
            </w:r>
            <w:r w:rsidR="00DA23AD">
              <w:t>38</w:t>
            </w:r>
            <w:r w:rsidR="00E874EE">
              <w:t>%)</w:t>
            </w:r>
          </w:p>
        </w:tc>
      </w:tr>
      <w:tr w:rsidR="00E874EE" w14:paraId="3D9EC6A1" w14:textId="77777777" w:rsidTr="00DC27F5">
        <w:tc>
          <w:tcPr>
            <w:tcW w:w="0" w:type="dxa"/>
            <w:tcBorders>
              <w:top w:val="single" w:sz="4" w:space="0" w:color="000000"/>
              <w:bottom w:val="single" w:sz="4" w:space="0" w:color="000000"/>
            </w:tcBorders>
            <w:vAlign w:val="center"/>
          </w:tcPr>
          <w:p w14:paraId="06974A0F" w14:textId="77777777" w:rsidR="00E874EE" w:rsidRPr="00DC27F5" w:rsidRDefault="00E874EE" w:rsidP="000C3C73">
            <w:pPr>
              <w:spacing w:before="0" w:after="0"/>
              <w:rPr>
                <w:rFonts w:cs="Arial"/>
                <w:szCs w:val="20"/>
              </w:rPr>
            </w:pPr>
            <w:r w:rsidRPr="00E5604D">
              <w:rPr>
                <w:rFonts w:cs="Arial"/>
                <w:szCs w:val="20"/>
              </w:rPr>
              <w:t>No</w:t>
            </w:r>
          </w:p>
        </w:tc>
        <w:tc>
          <w:tcPr>
            <w:tcW w:w="0" w:type="dxa"/>
            <w:tcBorders>
              <w:top w:val="single" w:sz="4" w:space="0" w:color="000000"/>
              <w:bottom w:val="single" w:sz="4" w:space="0" w:color="000000"/>
            </w:tcBorders>
            <w:vAlign w:val="center"/>
          </w:tcPr>
          <w:p w14:paraId="7500E003" w14:textId="01850675" w:rsidR="00E874EE" w:rsidRDefault="00763EFA" w:rsidP="000C3C73">
            <w:pPr>
              <w:pStyle w:val="BodyText"/>
            </w:pPr>
            <w:r w:rsidRPr="00DC27F5">
              <w:rPr>
                <w:rFonts w:cs="Arial"/>
                <w:szCs w:val="20"/>
              </w:rPr>
              <w:t>25</w:t>
            </w:r>
            <w:r w:rsidR="00E874EE" w:rsidRPr="00DC27F5">
              <w:rPr>
                <w:rFonts w:cs="Arial"/>
                <w:szCs w:val="20"/>
              </w:rPr>
              <w:t xml:space="preserve"> (</w:t>
            </w:r>
            <w:r w:rsidR="00DA23AD" w:rsidRPr="00DC27F5">
              <w:rPr>
                <w:rFonts w:cs="Arial"/>
                <w:szCs w:val="20"/>
              </w:rPr>
              <w:t>63</w:t>
            </w:r>
            <w:r w:rsidR="00E874EE" w:rsidRPr="00DC27F5">
              <w:rPr>
                <w:rFonts w:cs="Arial"/>
                <w:szCs w:val="20"/>
              </w:rPr>
              <w:t>%)</w:t>
            </w:r>
          </w:p>
        </w:tc>
      </w:tr>
    </w:tbl>
    <w:p w14:paraId="710B15D9" w14:textId="2468920B" w:rsidR="0070462F" w:rsidRPr="00BB3E42" w:rsidRDefault="00E874EE" w:rsidP="00BB3E42">
      <w:pPr>
        <w:pStyle w:val="Caption"/>
        <w:rPr>
          <w:szCs w:val="24"/>
        </w:rPr>
      </w:pPr>
      <w:r>
        <w:rPr>
          <w:szCs w:val="24"/>
        </w:rPr>
        <w:t>Source: KPMG, 2024</w:t>
      </w:r>
      <w:r w:rsidR="00DD3E39">
        <w:rPr>
          <w:szCs w:val="24"/>
        </w:rPr>
        <w:t>.</w:t>
      </w:r>
    </w:p>
    <w:p w14:paraId="641209EF" w14:textId="52748AF5" w:rsidR="00A67ADF" w:rsidRDefault="00A67ADF" w:rsidP="00A67ADF">
      <w:pPr>
        <w:pStyle w:val="Caption"/>
      </w:pPr>
      <w:r>
        <w:t xml:space="preserve">Table </w:t>
      </w:r>
      <w:r>
        <w:fldChar w:fldCharType="begin"/>
      </w:r>
      <w:r>
        <w:instrText xml:space="preserve"> SEQ Table \* ARABIC </w:instrText>
      </w:r>
      <w:r>
        <w:fldChar w:fldCharType="separate"/>
      </w:r>
      <w:r w:rsidR="005F7EBC">
        <w:rPr>
          <w:noProof/>
        </w:rPr>
        <w:t>54</w:t>
      </w:r>
      <w:r>
        <w:fldChar w:fldCharType="end"/>
      </w:r>
      <w:r>
        <w:t>: Past Registrar survey results to the question ‘</w:t>
      </w:r>
      <w:r w:rsidRPr="00CC31D0">
        <w:t>Are you currently working at the facility you completed TEAP at</w:t>
      </w:r>
      <w:r>
        <w:t>?’ (n=32)</w:t>
      </w:r>
    </w:p>
    <w:tbl>
      <w:tblPr>
        <w:tblStyle w:val="TableGrid"/>
        <w:tblW w:w="0" w:type="auto"/>
        <w:tblLook w:val="04A0" w:firstRow="1" w:lastRow="0" w:firstColumn="1" w:lastColumn="0" w:noHBand="0" w:noVBand="1"/>
      </w:tblPr>
      <w:tblGrid>
        <w:gridCol w:w="4814"/>
        <w:gridCol w:w="4814"/>
      </w:tblGrid>
      <w:tr w:rsidR="00A67ADF" w:rsidRPr="005D639B" w14:paraId="282B4DEC"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2313FE5A" w14:textId="77777777" w:rsidR="00A67ADF" w:rsidRPr="001B2509" w:rsidRDefault="00A67ADF"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51118515" w14:textId="77777777" w:rsidR="00A67ADF" w:rsidRPr="001B2509" w:rsidRDefault="00A67ADF" w:rsidP="001B2509">
            <w:r w:rsidRPr="001B2509">
              <w:t>Responses</w:t>
            </w:r>
          </w:p>
        </w:tc>
      </w:tr>
      <w:tr w:rsidR="00A67ADF" w:rsidRPr="005D639B" w14:paraId="78A8E70C"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205921AA" w14:textId="77777777" w:rsidR="00A67ADF" w:rsidRPr="00DC27F5" w:rsidRDefault="00A67ADF" w:rsidP="005D639B">
            <w:pPr>
              <w:spacing w:before="0" w:after="0"/>
              <w:rPr>
                <w:rFonts w:cs="Arial"/>
                <w:szCs w:val="20"/>
              </w:rPr>
            </w:pPr>
            <w:r w:rsidRPr="00E5604D">
              <w:rPr>
                <w:rFonts w:cs="Arial"/>
                <w:szCs w:val="20"/>
              </w:rPr>
              <w:t>Yes</w:t>
            </w:r>
          </w:p>
        </w:tc>
        <w:tc>
          <w:tcPr>
            <w:tcW w:w="0" w:type="dxa"/>
            <w:tcBorders>
              <w:bottom w:val="single" w:sz="4" w:space="0" w:color="000000"/>
            </w:tcBorders>
            <w:vAlign w:val="center"/>
          </w:tcPr>
          <w:p w14:paraId="166D42D0" w14:textId="77777777" w:rsidR="00A67ADF" w:rsidRDefault="00A67ADF" w:rsidP="005D639B">
            <w:pPr>
              <w:pStyle w:val="BodyText"/>
            </w:pPr>
            <w:r>
              <w:t>14 (44%)</w:t>
            </w:r>
          </w:p>
        </w:tc>
      </w:tr>
      <w:tr w:rsidR="00A67ADF" w:rsidRPr="005D639B" w14:paraId="5F08BE96" w14:textId="77777777" w:rsidTr="00DC27F5">
        <w:tc>
          <w:tcPr>
            <w:tcW w:w="0" w:type="dxa"/>
            <w:tcBorders>
              <w:top w:val="single" w:sz="4" w:space="0" w:color="000000"/>
              <w:bottom w:val="single" w:sz="4" w:space="0" w:color="000000"/>
            </w:tcBorders>
            <w:vAlign w:val="center"/>
          </w:tcPr>
          <w:p w14:paraId="02B4AE20" w14:textId="77777777" w:rsidR="00A67ADF" w:rsidRPr="00DC27F5" w:rsidRDefault="00A67ADF" w:rsidP="005D639B">
            <w:pPr>
              <w:spacing w:before="0" w:after="0"/>
              <w:rPr>
                <w:rFonts w:cs="Arial"/>
                <w:szCs w:val="20"/>
              </w:rPr>
            </w:pPr>
            <w:r w:rsidRPr="00E5604D">
              <w:rPr>
                <w:rFonts w:cs="Arial"/>
                <w:szCs w:val="20"/>
              </w:rPr>
              <w:t>No</w:t>
            </w:r>
          </w:p>
        </w:tc>
        <w:tc>
          <w:tcPr>
            <w:tcW w:w="0" w:type="dxa"/>
            <w:tcBorders>
              <w:top w:val="single" w:sz="4" w:space="0" w:color="000000"/>
              <w:bottom w:val="single" w:sz="4" w:space="0" w:color="000000"/>
            </w:tcBorders>
            <w:vAlign w:val="center"/>
          </w:tcPr>
          <w:p w14:paraId="6888B15A" w14:textId="77777777" w:rsidR="00A67ADF" w:rsidRDefault="00A67ADF" w:rsidP="005D639B">
            <w:pPr>
              <w:pStyle w:val="BodyText"/>
            </w:pPr>
            <w:r w:rsidRPr="00DC27F5">
              <w:rPr>
                <w:rFonts w:cs="Arial"/>
                <w:szCs w:val="20"/>
              </w:rPr>
              <w:t>18 (56%)</w:t>
            </w:r>
          </w:p>
        </w:tc>
      </w:tr>
    </w:tbl>
    <w:p w14:paraId="1D5E0AE5" w14:textId="5AB769EA" w:rsidR="004A165A" w:rsidRPr="00281D11" w:rsidRDefault="00A67ADF" w:rsidP="00281D11">
      <w:pPr>
        <w:pStyle w:val="Footer"/>
      </w:pPr>
      <w:r w:rsidRPr="00281D11">
        <w:t>Source: KPMG, 2024</w:t>
      </w:r>
      <w:r w:rsidR="00DD3E39" w:rsidRPr="00281D11">
        <w:t>.</w:t>
      </w:r>
    </w:p>
    <w:p w14:paraId="443BCD30" w14:textId="055BF908" w:rsidR="008572BC" w:rsidRDefault="008572BC" w:rsidP="008572BC">
      <w:pPr>
        <w:pStyle w:val="Caption"/>
      </w:pPr>
      <w:r>
        <w:t xml:space="preserve">Table </w:t>
      </w:r>
      <w:r>
        <w:fldChar w:fldCharType="begin"/>
      </w:r>
      <w:r>
        <w:instrText xml:space="preserve"> SEQ Table \* ARABIC </w:instrText>
      </w:r>
      <w:r>
        <w:fldChar w:fldCharType="separate"/>
      </w:r>
      <w:r w:rsidR="005F7EBC">
        <w:rPr>
          <w:noProof/>
        </w:rPr>
        <w:t>55</w:t>
      </w:r>
      <w:r>
        <w:fldChar w:fldCharType="end"/>
      </w:r>
      <w:r>
        <w:t>: Of the past Registrars who are not currently working at the facility they completed TEAP at, survey responses to the question ‘What is the MMM rating of the facility you are currently working at?’ (n=</w:t>
      </w:r>
      <w:r w:rsidR="00053838">
        <w:t>25</w:t>
      </w:r>
      <w:r>
        <w:t>)</w:t>
      </w:r>
    </w:p>
    <w:tbl>
      <w:tblPr>
        <w:tblStyle w:val="TableGrid"/>
        <w:tblW w:w="9634" w:type="dxa"/>
        <w:tblLook w:val="04A0" w:firstRow="1" w:lastRow="0" w:firstColumn="1" w:lastColumn="0" w:noHBand="0" w:noVBand="1"/>
      </w:tblPr>
      <w:tblGrid>
        <w:gridCol w:w="4817"/>
        <w:gridCol w:w="4817"/>
      </w:tblGrid>
      <w:tr w:rsidR="008572BC" w14:paraId="166C526D" w14:textId="77777777" w:rsidTr="00194457">
        <w:trPr>
          <w:cnfStyle w:val="100000000000" w:firstRow="1" w:lastRow="0" w:firstColumn="0" w:lastColumn="0" w:oddVBand="0" w:evenVBand="0" w:oddHBand="0" w:evenHBand="0" w:firstRowFirstColumn="0" w:firstRowLastColumn="0" w:lastRowFirstColumn="0" w:lastRowLastColumn="0"/>
        </w:trPr>
        <w:tc>
          <w:tcPr>
            <w:tcW w:w="4817" w:type="dxa"/>
            <w:tcBorders>
              <w:top w:val="single" w:sz="4" w:space="0" w:color="00338D" w:themeColor="accent1"/>
              <w:left w:val="single" w:sz="4" w:space="0" w:color="00338D" w:themeColor="accent1"/>
              <w:right w:val="single" w:sz="4" w:space="0" w:color="00338D" w:themeColor="accent1"/>
            </w:tcBorders>
            <w:vAlign w:val="center"/>
          </w:tcPr>
          <w:p w14:paraId="453B8EB1" w14:textId="77777777" w:rsidR="008572BC" w:rsidRPr="001B2509" w:rsidRDefault="008572BC" w:rsidP="001B2509">
            <w:r w:rsidRPr="001B2509">
              <w:t>Category</w:t>
            </w:r>
          </w:p>
        </w:tc>
        <w:tc>
          <w:tcPr>
            <w:tcW w:w="4817" w:type="dxa"/>
            <w:tcBorders>
              <w:top w:val="single" w:sz="4" w:space="0" w:color="00338D" w:themeColor="accent1"/>
              <w:left w:val="single" w:sz="4" w:space="0" w:color="00338D" w:themeColor="accent1"/>
              <w:right w:val="single" w:sz="4" w:space="0" w:color="00338D" w:themeColor="accent1"/>
            </w:tcBorders>
            <w:vAlign w:val="center"/>
          </w:tcPr>
          <w:p w14:paraId="18DDF77E" w14:textId="77777777" w:rsidR="008572BC" w:rsidRPr="001B2509" w:rsidRDefault="008572BC" w:rsidP="001B2509">
            <w:r w:rsidRPr="001B2509">
              <w:t>Responses</w:t>
            </w:r>
          </w:p>
        </w:tc>
      </w:tr>
      <w:tr w:rsidR="001F6469" w14:paraId="6961E2BA" w14:textId="77777777" w:rsidTr="00194457">
        <w:trPr>
          <w:cnfStyle w:val="000000100000" w:firstRow="0" w:lastRow="0" w:firstColumn="0" w:lastColumn="0" w:oddVBand="0" w:evenVBand="0" w:oddHBand="1" w:evenHBand="0" w:firstRowFirstColumn="0" w:firstRowLastColumn="0" w:lastRowFirstColumn="0" w:lastRowLastColumn="0"/>
        </w:trPr>
        <w:tc>
          <w:tcPr>
            <w:tcW w:w="4817" w:type="dxa"/>
            <w:tcBorders>
              <w:bottom w:val="single" w:sz="4" w:space="0" w:color="000000"/>
            </w:tcBorders>
            <w:vAlign w:val="center"/>
          </w:tcPr>
          <w:p w14:paraId="54A2D52C" w14:textId="550FFDE2" w:rsidR="001F6469" w:rsidRPr="00DC27F5" w:rsidRDefault="001F6469" w:rsidP="005D639B">
            <w:pPr>
              <w:spacing w:before="0" w:after="0"/>
              <w:rPr>
                <w:rFonts w:cs="Arial"/>
                <w:szCs w:val="20"/>
              </w:rPr>
            </w:pPr>
            <w:r w:rsidRPr="00E5604D">
              <w:rPr>
                <w:rFonts w:cs="Arial"/>
                <w:szCs w:val="20"/>
              </w:rPr>
              <w:t>MM1: Metropolitan area</w:t>
            </w:r>
          </w:p>
        </w:tc>
        <w:tc>
          <w:tcPr>
            <w:tcW w:w="4817" w:type="dxa"/>
            <w:tcBorders>
              <w:bottom w:val="single" w:sz="4" w:space="0" w:color="000000"/>
            </w:tcBorders>
            <w:vAlign w:val="center"/>
          </w:tcPr>
          <w:p w14:paraId="05D8CDF5" w14:textId="4F6ED6F6" w:rsidR="001F6469" w:rsidRDefault="001F6469" w:rsidP="005D639B">
            <w:pPr>
              <w:pStyle w:val="BodyText"/>
            </w:pPr>
            <w:r w:rsidRPr="00DC27F5">
              <w:rPr>
                <w:rFonts w:cs="Arial"/>
                <w:szCs w:val="20"/>
              </w:rPr>
              <w:t>15</w:t>
            </w:r>
            <w:r w:rsidR="00424349" w:rsidRPr="00DC27F5">
              <w:rPr>
                <w:rFonts w:cs="Arial"/>
                <w:szCs w:val="20"/>
              </w:rPr>
              <w:t xml:space="preserve"> (60%)</w:t>
            </w:r>
          </w:p>
        </w:tc>
      </w:tr>
      <w:tr w:rsidR="001F6469" w14:paraId="0034A30E" w14:textId="77777777" w:rsidTr="00194457">
        <w:tc>
          <w:tcPr>
            <w:tcW w:w="4817" w:type="dxa"/>
            <w:tcBorders>
              <w:top w:val="single" w:sz="4" w:space="0" w:color="000000"/>
              <w:bottom w:val="single" w:sz="4" w:space="0" w:color="000000"/>
            </w:tcBorders>
            <w:vAlign w:val="center"/>
          </w:tcPr>
          <w:p w14:paraId="6B43F8A5" w14:textId="2133C582" w:rsidR="001F6469" w:rsidRPr="00DC27F5" w:rsidRDefault="001F6469" w:rsidP="005D639B">
            <w:pPr>
              <w:spacing w:before="0" w:after="0"/>
              <w:rPr>
                <w:rFonts w:cs="Arial"/>
                <w:szCs w:val="20"/>
              </w:rPr>
            </w:pPr>
            <w:r w:rsidRPr="00E5604D">
              <w:rPr>
                <w:rFonts w:cs="Arial"/>
                <w:szCs w:val="20"/>
              </w:rPr>
              <w:t>MM2: Regional centre</w:t>
            </w:r>
          </w:p>
        </w:tc>
        <w:tc>
          <w:tcPr>
            <w:tcW w:w="4817" w:type="dxa"/>
            <w:tcBorders>
              <w:top w:val="single" w:sz="4" w:space="0" w:color="000000"/>
              <w:bottom w:val="single" w:sz="4" w:space="0" w:color="000000"/>
            </w:tcBorders>
            <w:vAlign w:val="center"/>
          </w:tcPr>
          <w:p w14:paraId="29A6D48B" w14:textId="18170C12" w:rsidR="001F6469" w:rsidRDefault="001F6469" w:rsidP="005D639B">
            <w:pPr>
              <w:pStyle w:val="BodyText"/>
            </w:pPr>
            <w:r w:rsidRPr="00DC27F5">
              <w:rPr>
                <w:rFonts w:cs="Arial"/>
                <w:szCs w:val="20"/>
              </w:rPr>
              <w:t>7</w:t>
            </w:r>
            <w:r w:rsidR="00424349" w:rsidRPr="00DC27F5">
              <w:rPr>
                <w:rFonts w:cs="Arial"/>
                <w:szCs w:val="20"/>
              </w:rPr>
              <w:t xml:space="preserve"> (28%)</w:t>
            </w:r>
          </w:p>
        </w:tc>
      </w:tr>
      <w:tr w:rsidR="001F6469" w14:paraId="31DAD513" w14:textId="77777777" w:rsidTr="00194457">
        <w:trPr>
          <w:cnfStyle w:val="000000100000" w:firstRow="0" w:lastRow="0" w:firstColumn="0" w:lastColumn="0" w:oddVBand="0" w:evenVBand="0" w:oddHBand="1" w:evenHBand="0" w:firstRowFirstColumn="0" w:firstRowLastColumn="0" w:lastRowFirstColumn="0" w:lastRowLastColumn="0"/>
        </w:trPr>
        <w:tc>
          <w:tcPr>
            <w:tcW w:w="4817" w:type="dxa"/>
            <w:tcBorders>
              <w:top w:val="single" w:sz="4" w:space="0" w:color="000000"/>
              <w:bottom w:val="single" w:sz="4" w:space="0" w:color="000000"/>
            </w:tcBorders>
            <w:vAlign w:val="center"/>
          </w:tcPr>
          <w:p w14:paraId="7B3626D4" w14:textId="0E8CCA3C" w:rsidR="001F6469" w:rsidRPr="00DC27F5" w:rsidRDefault="001F6469" w:rsidP="005D639B">
            <w:pPr>
              <w:spacing w:before="0" w:after="0"/>
              <w:rPr>
                <w:rFonts w:cs="Arial"/>
                <w:szCs w:val="20"/>
              </w:rPr>
            </w:pPr>
            <w:r w:rsidRPr="00E5604D">
              <w:rPr>
                <w:rFonts w:cs="Arial"/>
                <w:szCs w:val="20"/>
              </w:rPr>
              <w:t>MM</w:t>
            </w:r>
            <w:r w:rsidR="005D639B" w:rsidRPr="005D639B">
              <w:rPr>
                <w:rFonts w:cs="Arial"/>
                <w:szCs w:val="20"/>
              </w:rPr>
              <w:t>3: Large</w:t>
            </w:r>
            <w:r w:rsidRPr="00E5604D">
              <w:rPr>
                <w:rFonts w:cs="Arial"/>
                <w:szCs w:val="20"/>
              </w:rPr>
              <w:t xml:space="preserve"> rural town</w:t>
            </w:r>
          </w:p>
        </w:tc>
        <w:tc>
          <w:tcPr>
            <w:tcW w:w="4817" w:type="dxa"/>
            <w:tcBorders>
              <w:top w:val="single" w:sz="4" w:space="0" w:color="000000"/>
              <w:bottom w:val="single" w:sz="4" w:space="0" w:color="000000"/>
            </w:tcBorders>
            <w:vAlign w:val="center"/>
          </w:tcPr>
          <w:p w14:paraId="677C97DD" w14:textId="667C3506" w:rsidR="001F6469" w:rsidRPr="00DC27F5" w:rsidRDefault="001F6469" w:rsidP="005D639B">
            <w:pPr>
              <w:pStyle w:val="BodyText"/>
              <w:rPr>
                <w:rFonts w:cs="Arial"/>
                <w:szCs w:val="20"/>
              </w:rPr>
            </w:pPr>
            <w:r w:rsidRPr="00DC27F5">
              <w:rPr>
                <w:rFonts w:cs="Arial"/>
                <w:szCs w:val="20"/>
              </w:rPr>
              <w:t>2</w:t>
            </w:r>
            <w:r w:rsidR="00424349" w:rsidRPr="00DC27F5">
              <w:rPr>
                <w:rFonts w:cs="Arial"/>
                <w:szCs w:val="20"/>
              </w:rPr>
              <w:t xml:space="preserve"> (8%)</w:t>
            </w:r>
          </w:p>
        </w:tc>
      </w:tr>
      <w:tr w:rsidR="001F6469" w14:paraId="321FB533" w14:textId="77777777" w:rsidTr="00194457">
        <w:tc>
          <w:tcPr>
            <w:tcW w:w="4817" w:type="dxa"/>
            <w:tcBorders>
              <w:top w:val="single" w:sz="4" w:space="0" w:color="000000"/>
              <w:bottom w:val="single" w:sz="4" w:space="0" w:color="000000"/>
            </w:tcBorders>
            <w:vAlign w:val="center"/>
          </w:tcPr>
          <w:p w14:paraId="1D848080" w14:textId="6DB096E0" w:rsidR="001F6469" w:rsidRPr="00DC27F5" w:rsidRDefault="001F6469" w:rsidP="005D639B">
            <w:pPr>
              <w:spacing w:before="0" w:after="0"/>
              <w:rPr>
                <w:rFonts w:cs="Arial"/>
                <w:szCs w:val="20"/>
              </w:rPr>
            </w:pPr>
            <w:r w:rsidRPr="00E5604D">
              <w:rPr>
                <w:rFonts w:cs="Arial"/>
                <w:szCs w:val="20"/>
              </w:rPr>
              <w:t>MM7: Very remote community</w:t>
            </w:r>
          </w:p>
        </w:tc>
        <w:tc>
          <w:tcPr>
            <w:tcW w:w="4817" w:type="dxa"/>
            <w:tcBorders>
              <w:top w:val="single" w:sz="4" w:space="0" w:color="000000"/>
              <w:bottom w:val="single" w:sz="4" w:space="0" w:color="000000"/>
            </w:tcBorders>
            <w:vAlign w:val="center"/>
          </w:tcPr>
          <w:p w14:paraId="7F426B6A" w14:textId="21C7F3AA" w:rsidR="001F6469" w:rsidRPr="00DC27F5" w:rsidRDefault="001F6469" w:rsidP="005D639B">
            <w:pPr>
              <w:pStyle w:val="BodyText"/>
              <w:rPr>
                <w:rFonts w:cs="Arial"/>
                <w:szCs w:val="20"/>
              </w:rPr>
            </w:pPr>
            <w:r w:rsidRPr="00DC27F5">
              <w:rPr>
                <w:rFonts w:cs="Arial"/>
                <w:szCs w:val="20"/>
              </w:rPr>
              <w:t>1</w:t>
            </w:r>
            <w:r w:rsidR="00424349" w:rsidRPr="00DC27F5">
              <w:rPr>
                <w:rFonts w:cs="Arial"/>
                <w:szCs w:val="20"/>
              </w:rPr>
              <w:t xml:space="preserve"> (4%)</w:t>
            </w:r>
          </w:p>
        </w:tc>
      </w:tr>
    </w:tbl>
    <w:p w14:paraId="7657D12A" w14:textId="49671F82" w:rsidR="00642AE4" w:rsidRPr="00281D11" w:rsidRDefault="008572BC" w:rsidP="00281D11">
      <w:pPr>
        <w:pStyle w:val="Footer"/>
      </w:pPr>
      <w:r w:rsidRPr="00281D11">
        <w:t>Source: KPMG, 2024</w:t>
      </w:r>
      <w:r w:rsidR="00DD3E39" w:rsidRPr="00281D11">
        <w:t>.</w:t>
      </w:r>
    </w:p>
    <w:p w14:paraId="3E8D5D49" w14:textId="0C062A5C" w:rsidR="00DC1C61" w:rsidRDefault="00DC1C61" w:rsidP="00DC1C61">
      <w:pPr>
        <w:pStyle w:val="Caption"/>
      </w:pPr>
      <w:r>
        <w:t xml:space="preserve">Table </w:t>
      </w:r>
      <w:r>
        <w:fldChar w:fldCharType="begin"/>
      </w:r>
      <w:r>
        <w:instrText xml:space="preserve"> SEQ Table \* ARABIC </w:instrText>
      </w:r>
      <w:r>
        <w:fldChar w:fldCharType="separate"/>
      </w:r>
      <w:r w:rsidR="005F7EBC">
        <w:rPr>
          <w:noProof/>
        </w:rPr>
        <w:t>56</w:t>
      </w:r>
      <w:r>
        <w:fldChar w:fldCharType="end"/>
      </w:r>
      <w:r>
        <w:t>: Of the past Registrars who are not currently working at the facility they completed TEAP at, survey responses to the question ‘</w:t>
      </w:r>
      <w:r w:rsidR="00614287" w:rsidRPr="00614287">
        <w:t>What influenced your decision to move facilities after graduating from TEAP?</w:t>
      </w:r>
      <w:r>
        <w:t>’ (n=25)</w:t>
      </w:r>
    </w:p>
    <w:tbl>
      <w:tblPr>
        <w:tblStyle w:val="TableGrid"/>
        <w:tblW w:w="0" w:type="auto"/>
        <w:tblLook w:val="04A0" w:firstRow="1" w:lastRow="0" w:firstColumn="1" w:lastColumn="0" w:noHBand="0" w:noVBand="1"/>
      </w:tblPr>
      <w:tblGrid>
        <w:gridCol w:w="4814"/>
        <w:gridCol w:w="4814"/>
      </w:tblGrid>
      <w:tr w:rsidR="00DC1C61" w14:paraId="42B8F1E5"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50409D19" w14:textId="77777777" w:rsidR="00DC1C61" w:rsidRPr="001B2509" w:rsidRDefault="00DC1C61"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59D7B148" w14:textId="77777777" w:rsidR="00DC1C61" w:rsidRPr="001B2509" w:rsidRDefault="00DC1C61" w:rsidP="001B2509">
            <w:r w:rsidRPr="001B2509">
              <w:t>Responses</w:t>
            </w:r>
          </w:p>
        </w:tc>
      </w:tr>
      <w:tr w:rsidR="00DC1C61" w14:paraId="5DD1EB03"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4C24B6C2" w14:textId="726DC6C3" w:rsidR="00DC1C61" w:rsidRPr="00DC27F5" w:rsidRDefault="009E23F4" w:rsidP="000C3C73">
            <w:pPr>
              <w:spacing w:before="0" w:after="0"/>
              <w:rPr>
                <w:rFonts w:cs="Arial"/>
                <w:szCs w:val="20"/>
              </w:rPr>
            </w:pPr>
            <w:r w:rsidRPr="00E5604D">
              <w:rPr>
                <w:rFonts w:cs="Arial"/>
                <w:szCs w:val="20"/>
              </w:rPr>
              <w:t>Employment opportunities elsewhere</w:t>
            </w:r>
          </w:p>
        </w:tc>
        <w:tc>
          <w:tcPr>
            <w:tcW w:w="0" w:type="dxa"/>
            <w:tcBorders>
              <w:bottom w:val="single" w:sz="4" w:space="0" w:color="000000"/>
            </w:tcBorders>
            <w:vAlign w:val="center"/>
          </w:tcPr>
          <w:p w14:paraId="3783FEC7" w14:textId="5E10DA92" w:rsidR="00DC1C61" w:rsidRDefault="009E23F4" w:rsidP="000C3C73">
            <w:pPr>
              <w:pStyle w:val="BodyText"/>
            </w:pPr>
            <w:r>
              <w:t>11</w:t>
            </w:r>
            <w:r w:rsidR="00FE3B44">
              <w:t xml:space="preserve"> (</w:t>
            </w:r>
            <w:r w:rsidR="00D77548">
              <w:t>44</w:t>
            </w:r>
            <w:r w:rsidR="00FE3B44">
              <w:t>%)</w:t>
            </w:r>
          </w:p>
        </w:tc>
      </w:tr>
      <w:tr w:rsidR="00DC1C61" w14:paraId="2125C301" w14:textId="77777777" w:rsidTr="00DC27F5">
        <w:tc>
          <w:tcPr>
            <w:tcW w:w="0" w:type="dxa"/>
            <w:tcBorders>
              <w:top w:val="single" w:sz="4" w:space="0" w:color="000000"/>
              <w:bottom w:val="single" w:sz="4" w:space="0" w:color="000000"/>
            </w:tcBorders>
            <w:vAlign w:val="center"/>
          </w:tcPr>
          <w:p w14:paraId="5931C04F" w14:textId="7772631D" w:rsidR="00DC1C61" w:rsidRPr="00DC27F5" w:rsidRDefault="00BE31E0" w:rsidP="000C3C73">
            <w:pPr>
              <w:spacing w:before="0" w:after="0"/>
              <w:rPr>
                <w:rFonts w:cs="Arial"/>
                <w:szCs w:val="20"/>
              </w:rPr>
            </w:pPr>
            <w:r w:rsidRPr="00E5604D">
              <w:rPr>
                <w:rFonts w:cs="Arial"/>
                <w:szCs w:val="20"/>
              </w:rPr>
              <w:t>Lack of ongoing positions at the facility where I undertook training</w:t>
            </w:r>
          </w:p>
        </w:tc>
        <w:tc>
          <w:tcPr>
            <w:tcW w:w="0" w:type="dxa"/>
            <w:tcBorders>
              <w:top w:val="single" w:sz="4" w:space="0" w:color="000000"/>
              <w:bottom w:val="single" w:sz="4" w:space="0" w:color="000000"/>
            </w:tcBorders>
            <w:vAlign w:val="center"/>
          </w:tcPr>
          <w:p w14:paraId="64AB77F4" w14:textId="2B118F05" w:rsidR="00DC1C61" w:rsidRDefault="00BE31E0" w:rsidP="000C3C73">
            <w:pPr>
              <w:pStyle w:val="BodyText"/>
            </w:pPr>
            <w:r>
              <w:t>15</w:t>
            </w:r>
            <w:r w:rsidR="00FE3B44">
              <w:t xml:space="preserve"> (</w:t>
            </w:r>
            <w:r w:rsidR="00D77548">
              <w:t>60</w:t>
            </w:r>
            <w:r w:rsidR="00FE3B44">
              <w:t>%)</w:t>
            </w:r>
          </w:p>
        </w:tc>
      </w:tr>
      <w:tr w:rsidR="00DC1C61" w14:paraId="2105FEE5"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40B6BE67" w14:textId="2D60089B" w:rsidR="00DC1C61" w:rsidRPr="00DC27F5" w:rsidRDefault="0087213A" w:rsidP="000C3C73">
            <w:pPr>
              <w:spacing w:before="0" w:after="0"/>
              <w:rPr>
                <w:rFonts w:cs="Arial"/>
                <w:szCs w:val="20"/>
              </w:rPr>
            </w:pPr>
            <w:r w:rsidRPr="00E5604D">
              <w:rPr>
                <w:rFonts w:cs="Arial"/>
                <w:szCs w:val="20"/>
              </w:rPr>
              <w:t>More competitive remuneration elsewhere</w:t>
            </w:r>
          </w:p>
        </w:tc>
        <w:tc>
          <w:tcPr>
            <w:tcW w:w="0" w:type="dxa"/>
            <w:tcBorders>
              <w:top w:val="single" w:sz="4" w:space="0" w:color="000000"/>
              <w:bottom w:val="single" w:sz="4" w:space="0" w:color="000000"/>
            </w:tcBorders>
            <w:vAlign w:val="center"/>
          </w:tcPr>
          <w:p w14:paraId="3DB3425F" w14:textId="6C25F869" w:rsidR="00DC1C61" w:rsidRPr="00DC27F5" w:rsidRDefault="0087213A" w:rsidP="000C3C73">
            <w:pPr>
              <w:pStyle w:val="BodyText"/>
              <w:rPr>
                <w:rFonts w:cs="Arial"/>
                <w:szCs w:val="20"/>
              </w:rPr>
            </w:pPr>
            <w:r w:rsidRPr="00DC27F5">
              <w:rPr>
                <w:rFonts w:cs="Arial"/>
                <w:szCs w:val="20"/>
              </w:rPr>
              <w:t>4</w:t>
            </w:r>
            <w:r w:rsidR="00FE3B44" w:rsidRPr="00DC27F5">
              <w:rPr>
                <w:rFonts w:cs="Arial"/>
                <w:szCs w:val="20"/>
              </w:rPr>
              <w:t xml:space="preserve"> (</w:t>
            </w:r>
            <w:r w:rsidR="00D77548" w:rsidRPr="00DC27F5">
              <w:rPr>
                <w:rFonts w:cs="Arial"/>
                <w:szCs w:val="20"/>
              </w:rPr>
              <w:t>16</w:t>
            </w:r>
            <w:r w:rsidR="00FE3B44" w:rsidRPr="00DC27F5">
              <w:rPr>
                <w:rFonts w:cs="Arial"/>
                <w:szCs w:val="20"/>
              </w:rPr>
              <w:t>%)</w:t>
            </w:r>
          </w:p>
        </w:tc>
      </w:tr>
      <w:tr w:rsidR="00DC1C61" w14:paraId="69CADE1C" w14:textId="77777777" w:rsidTr="00DC27F5">
        <w:tc>
          <w:tcPr>
            <w:tcW w:w="0" w:type="dxa"/>
            <w:tcBorders>
              <w:top w:val="single" w:sz="4" w:space="0" w:color="000000"/>
              <w:bottom w:val="single" w:sz="4" w:space="0" w:color="000000"/>
            </w:tcBorders>
            <w:vAlign w:val="center"/>
          </w:tcPr>
          <w:p w14:paraId="7E105C7F" w14:textId="14357DD2" w:rsidR="00DC1C61" w:rsidRPr="00DC27F5" w:rsidRDefault="006F2A2F" w:rsidP="000C3C73">
            <w:pPr>
              <w:spacing w:before="0" w:after="0"/>
              <w:rPr>
                <w:rFonts w:cs="Arial"/>
                <w:szCs w:val="20"/>
              </w:rPr>
            </w:pPr>
            <w:r w:rsidRPr="00E5604D">
              <w:rPr>
                <w:rFonts w:cs="Arial"/>
                <w:szCs w:val="20"/>
              </w:rPr>
              <w:t>More attractive lifestyle/affordability/accessibility elsewhere</w:t>
            </w:r>
          </w:p>
        </w:tc>
        <w:tc>
          <w:tcPr>
            <w:tcW w:w="0" w:type="dxa"/>
            <w:tcBorders>
              <w:top w:val="single" w:sz="4" w:space="0" w:color="000000"/>
              <w:bottom w:val="single" w:sz="4" w:space="0" w:color="000000"/>
            </w:tcBorders>
            <w:vAlign w:val="center"/>
          </w:tcPr>
          <w:p w14:paraId="54B97503" w14:textId="34092427" w:rsidR="00DC1C61" w:rsidRPr="00DC27F5" w:rsidRDefault="006F2A2F" w:rsidP="000C3C73">
            <w:pPr>
              <w:pStyle w:val="BodyText"/>
              <w:rPr>
                <w:rFonts w:cs="Arial"/>
                <w:szCs w:val="20"/>
              </w:rPr>
            </w:pPr>
            <w:r w:rsidRPr="00DC27F5">
              <w:rPr>
                <w:rFonts w:cs="Arial"/>
                <w:szCs w:val="20"/>
              </w:rPr>
              <w:t>8</w:t>
            </w:r>
            <w:r w:rsidR="00FE3B44" w:rsidRPr="00DC27F5">
              <w:rPr>
                <w:rFonts w:cs="Arial"/>
                <w:szCs w:val="20"/>
              </w:rPr>
              <w:t xml:space="preserve"> (</w:t>
            </w:r>
            <w:r w:rsidR="00D77548" w:rsidRPr="00DC27F5">
              <w:rPr>
                <w:rFonts w:cs="Arial"/>
                <w:szCs w:val="20"/>
              </w:rPr>
              <w:t>32</w:t>
            </w:r>
            <w:r w:rsidR="00FE3B44" w:rsidRPr="00DC27F5">
              <w:rPr>
                <w:rFonts w:cs="Arial"/>
                <w:szCs w:val="20"/>
              </w:rPr>
              <w:t>%)</w:t>
            </w:r>
          </w:p>
        </w:tc>
      </w:tr>
      <w:tr w:rsidR="006F2A2F" w14:paraId="6726C246"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1BB6A353" w14:textId="2BA6176E" w:rsidR="006F2A2F" w:rsidRPr="00DC27F5" w:rsidRDefault="001A6591" w:rsidP="000C3C73">
            <w:pPr>
              <w:spacing w:before="0" w:after="0"/>
              <w:rPr>
                <w:rFonts w:cs="Arial"/>
                <w:szCs w:val="20"/>
              </w:rPr>
            </w:pPr>
            <w:r w:rsidRPr="00E5604D">
              <w:rPr>
                <w:rFonts w:cs="Arial"/>
                <w:szCs w:val="20"/>
              </w:rPr>
              <w:t>Family/personal reasons</w:t>
            </w:r>
          </w:p>
        </w:tc>
        <w:tc>
          <w:tcPr>
            <w:tcW w:w="0" w:type="dxa"/>
            <w:tcBorders>
              <w:top w:val="single" w:sz="4" w:space="0" w:color="000000"/>
              <w:bottom w:val="single" w:sz="4" w:space="0" w:color="000000"/>
            </w:tcBorders>
            <w:vAlign w:val="center"/>
          </w:tcPr>
          <w:p w14:paraId="48A46E42" w14:textId="4E559B9B" w:rsidR="006F2A2F" w:rsidRPr="00DC27F5" w:rsidRDefault="001A6591" w:rsidP="000C3C73">
            <w:pPr>
              <w:pStyle w:val="BodyText"/>
              <w:rPr>
                <w:rFonts w:cs="Arial"/>
                <w:szCs w:val="20"/>
              </w:rPr>
            </w:pPr>
            <w:r w:rsidRPr="00DC27F5">
              <w:rPr>
                <w:rFonts w:cs="Arial"/>
                <w:szCs w:val="20"/>
              </w:rPr>
              <w:t>5</w:t>
            </w:r>
            <w:r w:rsidR="00FE3B44" w:rsidRPr="00DC27F5">
              <w:rPr>
                <w:rFonts w:cs="Arial"/>
                <w:szCs w:val="20"/>
              </w:rPr>
              <w:t xml:space="preserve"> (</w:t>
            </w:r>
            <w:r w:rsidR="00D77548" w:rsidRPr="00DC27F5">
              <w:rPr>
                <w:rFonts w:cs="Arial"/>
                <w:szCs w:val="20"/>
              </w:rPr>
              <w:t>20</w:t>
            </w:r>
            <w:r w:rsidR="00FE3B44" w:rsidRPr="00DC27F5">
              <w:rPr>
                <w:rFonts w:cs="Arial"/>
                <w:szCs w:val="20"/>
              </w:rPr>
              <w:t>%)</w:t>
            </w:r>
          </w:p>
        </w:tc>
      </w:tr>
      <w:tr w:rsidR="001A6591" w14:paraId="33668C08" w14:textId="77777777" w:rsidTr="00DC27F5">
        <w:tc>
          <w:tcPr>
            <w:tcW w:w="0" w:type="dxa"/>
            <w:tcBorders>
              <w:top w:val="single" w:sz="4" w:space="0" w:color="000000"/>
              <w:bottom w:val="single" w:sz="4" w:space="0" w:color="000000"/>
            </w:tcBorders>
            <w:vAlign w:val="center"/>
          </w:tcPr>
          <w:p w14:paraId="39E74C40" w14:textId="30836E47" w:rsidR="001A6591" w:rsidRPr="00DC27F5" w:rsidRDefault="00331E55" w:rsidP="000C3C73">
            <w:pPr>
              <w:spacing w:before="0" w:after="0"/>
              <w:rPr>
                <w:rFonts w:cs="Arial"/>
                <w:szCs w:val="20"/>
              </w:rPr>
            </w:pPr>
            <w:r w:rsidRPr="00E5604D">
              <w:rPr>
                <w:rFonts w:cs="Arial"/>
                <w:szCs w:val="20"/>
              </w:rPr>
              <w:t>Other</w:t>
            </w:r>
          </w:p>
        </w:tc>
        <w:tc>
          <w:tcPr>
            <w:tcW w:w="0" w:type="dxa"/>
            <w:tcBorders>
              <w:top w:val="single" w:sz="4" w:space="0" w:color="000000"/>
              <w:bottom w:val="single" w:sz="4" w:space="0" w:color="000000"/>
            </w:tcBorders>
            <w:vAlign w:val="center"/>
          </w:tcPr>
          <w:p w14:paraId="79650465" w14:textId="52BC7BEE" w:rsidR="001A6591" w:rsidRPr="00DC27F5" w:rsidRDefault="00331E55" w:rsidP="000C3C73">
            <w:pPr>
              <w:pStyle w:val="BodyText"/>
              <w:rPr>
                <w:rFonts w:cs="Arial"/>
                <w:szCs w:val="20"/>
              </w:rPr>
            </w:pPr>
            <w:r w:rsidRPr="00DC27F5">
              <w:rPr>
                <w:rFonts w:cs="Arial"/>
                <w:szCs w:val="20"/>
              </w:rPr>
              <w:t>2</w:t>
            </w:r>
            <w:r w:rsidR="00FE3B44" w:rsidRPr="00DC27F5">
              <w:rPr>
                <w:rFonts w:cs="Arial"/>
                <w:szCs w:val="20"/>
              </w:rPr>
              <w:t xml:space="preserve"> (8%)</w:t>
            </w:r>
          </w:p>
        </w:tc>
      </w:tr>
    </w:tbl>
    <w:p w14:paraId="76144B1F" w14:textId="14308E7A" w:rsidR="00DC1C61" w:rsidRPr="00281D11" w:rsidRDefault="00DC1C61" w:rsidP="00281D11">
      <w:pPr>
        <w:pStyle w:val="Footer"/>
      </w:pPr>
      <w:r w:rsidRPr="00281D11">
        <w:t>Source: KPMG, 2024</w:t>
      </w:r>
      <w:r w:rsidR="00DD3E39" w:rsidRPr="00281D11">
        <w:t>.</w:t>
      </w:r>
    </w:p>
    <w:p w14:paraId="52507962" w14:textId="7635C75D" w:rsidR="00642AE4" w:rsidRDefault="00642AE4" w:rsidP="00642AE4">
      <w:pPr>
        <w:pStyle w:val="Caption"/>
      </w:pPr>
      <w:r>
        <w:t xml:space="preserve">Table </w:t>
      </w:r>
      <w:r>
        <w:fldChar w:fldCharType="begin"/>
      </w:r>
      <w:r>
        <w:instrText xml:space="preserve"> SEQ Table \* ARABIC </w:instrText>
      </w:r>
      <w:r>
        <w:fldChar w:fldCharType="separate"/>
      </w:r>
      <w:r w:rsidR="005F7EBC">
        <w:rPr>
          <w:noProof/>
        </w:rPr>
        <w:t>57</w:t>
      </w:r>
      <w:r>
        <w:fldChar w:fldCharType="end"/>
      </w:r>
      <w:r>
        <w:t xml:space="preserve">: Registrar survey responses to the </w:t>
      </w:r>
      <w:r w:rsidR="00C7289F">
        <w:t>statement</w:t>
      </w:r>
      <w:r>
        <w:t xml:space="preserve"> ‘</w:t>
      </w:r>
      <w:r w:rsidR="00C7289F" w:rsidRPr="00C7289F">
        <w:t>The TEAP curriculum is providing me with the required knowledge I will need in my profession</w:t>
      </w:r>
      <w:r>
        <w:t>’ (n=</w:t>
      </w:r>
      <w:r w:rsidR="00C7289F">
        <w:t>64</w:t>
      </w:r>
      <w:r>
        <w:t>)</w:t>
      </w:r>
    </w:p>
    <w:tbl>
      <w:tblPr>
        <w:tblStyle w:val="TableGrid"/>
        <w:tblW w:w="0" w:type="auto"/>
        <w:tblLook w:val="04A0" w:firstRow="1" w:lastRow="0" w:firstColumn="1" w:lastColumn="0" w:noHBand="0" w:noVBand="1"/>
      </w:tblPr>
      <w:tblGrid>
        <w:gridCol w:w="4814"/>
        <w:gridCol w:w="4814"/>
      </w:tblGrid>
      <w:tr w:rsidR="00642AE4" w14:paraId="4C9CC1D1"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744D8482" w14:textId="77777777" w:rsidR="00642AE4" w:rsidRPr="001B2509" w:rsidRDefault="00642AE4"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5CE15C3F" w14:textId="77777777" w:rsidR="00642AE4" w:rsidRPr="001B2509" w:rsidRDefault="00642AE4" w:rsidP="001B2509">
            <w:r w:rsidRPr="001B2509">
              <w:t>Responses</w:t>
            </w:r>
          </w:p>
        </w:tc>
      </w:tr>
      <w:tr w:rsidR="00074DE7" w14:paraId="7F6A7B3D"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34C43C1A" w14:textId="48D4D2B3" w:rsidR="00074DE7" w:rsidRPr="00DC27F5" w:rsidRDefault="00074DE7" w:rsidP="000C3C73">
            <w:pPr>
              <w:spacing w:before="0" w:after="0"/>
              <w:rPr>
                <w:rFonts w:cs="Arial"/>
                <w:szCs w:val="20"/>
              </w:rPr>
            </w:pPr>
            <w:r w:rsidRPr="00E5604D">
              <w:rPr>
                <w:rFonts w:cs="Arial"/>
                <w:szCs w:val="20"/>
              </w:rPr>
              <w:t>Strongly agree</w:t>
            </w:r>
          </w:p>
        </w:tc>
        <w:tc>
          <w:tcPr>
            <w:tcW w:w="0" w:type="dxa"/>
            <w:tcBorders>
              <w:bottom w:val="single" w:sz="4" w:space="0" w:color="000000"/>
            </w:tcBorders>
            <w:vAlign w:val="center"/>
          </w:tcPr>
          <w:p w14:paraId="67428EBB" w14:textId="087B59AC" w:rsidR="00074DE7" w:rsidRDefault="00074DE7" w:rsidP="000C3C73">
            <w:pPr>
              <w:pStyle w:val="BodyText"/>
            </w:pPr>
            <w:r w:rsidRPr="00DC27F5">
              <w:rPr>
                <w:rFonts w:cs="Arial"/>
                <w:szCs w:val="20"/>
              </w:rPr>
              <w:t>40 (63%)</w:t>
            </w:r>
          </w:p>
        </w:tc>
      </w:tr>
      <w:tr w:rsidR="00074DE7" w14:paraId="4A3BF724" w14:textId="77777777" w:rsidTr="00DC27F5">
        <w:tc>
          <w:tcPr>
            <w:tcW w:w="0" w:type="dxa"/>
            <w:tcBorders>
              <w:top w:val="single" w:sz="4" w:space="0" w:color="000000"/>
              <w:bottom w:val="single" w:sz="4" w:space="0" w:color="000000"/>
            </w:tcBorders>
            <w:vAlign w:val="center"/>
          </w:tcPr>
          <w:p w14:paraId="3306D529" w14:textId="5808F6E8" w:rsidR="00074DE7" w:rsidRPr="00DC27F5" w:rsidRDefault="00074DE7" w:rsidP="000C3C73">
            <w:pPr>
              <w:spacing w:before="0" w:after="0"/>
              <w:rPr>
                <w:rFonts w:cs="Arial"/>
                <w:szCs w:val="20"/>
              </w:rPr>
            </w:pPr>
            <w:r w:rsidRPr="00E5604D">
              <w:rPr>
                <w:rFonts w:cs="Arial"/>
                <w:szCs w:val="20"/>
              </w:rPr>
              <w:t>Somewhat agree</w:t>
            </w:r>
          </w:p>
        </w:tc>
        <w:tc>
          <w:tcPr>
            <w:tcW w:w="0" w:type="dxa"/>
            <w:tcBorders>
              <w:top w:val="single" w:sz="4" w:space="0" w:color="000000"/>
              <w:bottom w:val="single" w:sz="4" w:space="0" w:color="000000"/>
            </w:tcBorders>
            <w:vAlign w:val="center"/>
          </w:tcPr>
          <w:p w14:paraId="282C656E" w14:textId="3B0A284D" w:rsidR="00074DE7" w:rsidRDefault="00074DE7" w:rsidP="000C3C73">
            <w:pPr>
              <w:pStyle w:val="BodyText"/>
            </w:pPr>
            <w:r w:rsidRPr="00DC27F5">
              <w:rPr>
                <w:rFonts w:cs="Arial"/>
                <w:szCs w:val="20"/>
              </w:rPr>
              <w:t>17 (27%)</w:t>
            </w:r>
          </w:p>
        </w:tc>
      </w:tr>
      <w:tr w:rsidR="00074DE7" w14:paraId="34530B3A"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7984F32C" w14:textId="544239E1" w:rsidR="00074DE7" w:rsidRPr="00DC27F5" w:rsidRDefault="00074DE7" w:rsidP="000C3C73">
            <w:pPr>
              <w:spacing w:before="0" w:after="0"/>
              <w:rPr>
                <w:rFonts w:cs="Arial"/>
                <w:szCs w:val="20"/>
              </w:rPr>
            </w:pPr>
            <w:r w:rsidRPr="00E5604D">
              <w:rPr>
                <w:rFonts w:cs="Arial"/>
                <w:szCs w:val="20"/>
              </w:rPr>
              <w:t>Neither agree nor disagree</w:t>
            </w:r>
          </w:p>
        </w:tc>
        <w:tc>
          <w:tcPr>
            <w:tcW w:w="0" w:type="dxa"/>
            <w:tcBorders>
              <w:top w:val="single" w:sz="4" w:space="0" w:color="000000"/>
              <w:bottom w:val="single" w:sz="4" w:space="0" w:color="000000"/>
            </w:tcBorders>
            <w:vAlign w:val="center"/>
          </w:tcPr>
          <w:p w14:paraId="7C71C9AE" w14:textId="4B1CD00B" w:rsidR="00074DE7" w:rsidRPr="00DC27F5" w:rsidRDefault="00074DE7" w:rsidP="000C3C73">
            <w:pPr>
              <w:pStyle w:val="BodyText"/>
              <w:rPr>
                <w:rFonts w:cs="Arial"/>
                <w:szCs w:val="20"/>
              </w:rPr>
            </w:pPr>
            <w:r w:rsidRPr="00DC27F5">
              <w:rPr>
                <w:rFonts w:cs="Arial"/>
                <w:szCs w:val="20"/>
              </w:rPr>
              <w:t>2 (3%)</w:t>
            </w:r>
          </w:p>
        </w:tc>
      </w:tr>
      <w:tr w:rsidR="00074DE7" w14:paraId="080CCC07" w14:textId="77777777" w:rsidTr="00DC27F5">
        <w:tc>
          <w:tcPr>
            <w:tcW w:w="0" w:type="dxa"/>
            <w:tcBorders>
              <w:top w:val="single" w:sz="4" w:space="0" w:color="000000"/>
              <w:bottom w:val="single" w:sz="4" w:space="0" w:color="000000"/>
            </w:tcBorders>
            <w:vAlign w:val="center"/>
          </w:tcPr>
          <w:p w14:paraId="70E28303" w14:textId="7A594E65" w:rsidR="00074DE7" w:rsidRPr="00DC27F5" w:rsidRDefault="00074DE7" w:rsidP="000C3C73">
            <w:pPr>
              <w:spacing w:before="0" w:after="0"/>
              <w:rPr>
                <w:rFonts w:cs="Arial"/>
                <w:szCs w:val="20"/>
              </w:rPr>
            </w:pPr>
            <w:r w:rsidRPr="00E5604D">
              <w:rPr>
                <w:rFonts w:cs="Arial"/>
                <w:szCs w:val="20"/>
              </w:rPr>
              <w:t>Somewhat disagree</w:t>
            </w:r>
          </w:p>
        </w:tc>
        <w:tc>
          <w:tcPr>
            <w:tcW w:w="0" w:type="dxa"/>
            <w:tcBorders>
              <w:top w:val="single" w:sz="4" w:space="0" w:color="000000"/>
              <w:bottom w:val="single" w:sz="4" w:space="0" w:color="000000"/>
            </w:tcBorders>
            <w:vAlign w:val="center"/>
          </w:tcPr>
          <w:p w14:paraId="3CC90D37" w14:textId="5233C5B8" w:rsidR="00074DE7" w:rsidRPr="00DC27F5" w:rsidRDefault="00074DE7" w:rsidP="000C3C73">
            <w:pPr>
              <w:pStyle w:val="BodyText"/>
              <w:rPr>
                <w:rFonts w:cs="Arial"/>
                <w:szCs w:val="20"/>
              </w:rPr>
            </w:pPr>
            <w:r w:rsidRPr="00DC27F5">
              <w:rPr>
                <w:rFonts w:cs="Arial"/>
                <w:szCs w:val="20"/>
              </w:rPr>
              <w:t>3 (5%)</w:t>
            </w:r>
          </w:p>
        </w:tc>
      </w:tr>
      <w:tr w:rsidR="00074DE7" w14:paraId="239352CD"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6DFBE23C" w14:textId="53586D3B" w:rsidR="00074DE7" w:rsidRPr="00DC27F5" w:rsidRDefault="00074DE7" w:rsidP="000C3C73">
            <w:pPr>
              <w:spacing w:before="0" w:after="0"/>
              <w:rPr>
                <w:rFonts w:cs="Arial"/>
                <w:szCs w:val="20"/>
              </w:rPr>
            </w:pPr>
            <w:r w:rsidRPr="00E5604D">
              <w:rPr>
                <w:rFonts w:cs="Arial"/>
                <w:szCs w:val="20"/>
              </w:rPr>
              <w:t>Strongly disagree</w:t>
            </w:r>
          </w:p>
        </w:tc>
        <w:tc>
          <w:tcPr>
            <w:tcW w:w="0" w:type="dxa"/>
            <w:tcBorders>
              <w:top w:val="single" w:sz="4" w:space="0" w:color="000000"/>
              <w:bottom w:val="single" w:sz="4" w:space="0" w:color="000000"/>
            </w:tcBorders>
            <w:vAlign w:val="center"/>
          </w:tcPr>
          <w:p w14:paraId="732312C0" w14:textId="61C8C39C" w:rsidR="00074DE7" w:rsidRPr="00DC27F5" w:rsidRDefault="00074DE7" w:rsidP="000C3C73">
            <w:pPr>
              <w:pStyle w:val="BodyText"/>
              <w:rPr>
                <w:rFonts w:cs="Arial"/>
                <w:szCs w:val="20"/>
              </w:rPr>
            </w:pPr>
            <w:r w:rsidRPr="00DC27F5">
              <w:rPr>
                <w:rFonts w:cs="Arial"/>
                <w:szCs w:val="20"/>
              </w:rPr>
              <w:t>2 (3%)</w:t>
            </w:r>
          </w:p>
        </w:tc>
      </w:tr>
    </w:tbl>
    <w:p w14:paraId="58320A13" w14:textId="475EEE01" w:rsidR="00074DE7" w:rsidRPr="00281D11" w:rsidRDefault="00074DE7" w:rsidP="00281D11">
      <w:pPr>
        <w:pStyle w:val="Footer"/>
      </w:pPr>
      <w:r w:rsidRPr="00281D11">
        <w:t>Source: KPMG, 2024</w:t>
      </w:r>
      <w:r w:rsidR="00DD3E39" w:rsidRPr="00281D11">
        <w:t>.</w:t>
      </w:r>
    </w:p>
    <w:p w14:paraId="09C76B67" w14:textId="0265C886" w:rsidR="00074DE7" w:rsidRDefault="00074DE7" w:rsidP="00074DE7">
      <w:pPr>
        <w:pStyle w:val="Caption"/>
      </w:pPr>
      <w:r>
        <w:t xml:space="preserve">Table </w:t>
      </w:r>
      <w:r>
        <w:fldChar w:fldCharType="begin"/>
      </w:r>
      <w:r>
        <w:instrText xml:space="preserve"> SEQ Table \* ARABIC </w:instrText>
      </w:r>
      <w:r>
        <w:fldChar w:fldCharType="separate"/>
      </w:r>
      <w:r w:rsidR="005F7EBC">
        <w:rPr>
          <w:noProof/>
        </w:rPr>
        <w:t>58</w:t>
      </w:r>
      <w:r>
        <w:fldChar w:fldCharType="end"/>
      </w:r>
      <w:r>
        <w:t>: Registrar survey responses to the statement ‘</w:t>
      </w:r>
      <w:r w:rsidR="005456CA" w:rsidRPr="005456CA">
        <w:t>TEAP is providing me with the practical skills I will need in my profession</w:t>
      </w:r>
      <w:r>
        <w:t>’ (n=64)</w:t>
      </w:r>
    </w:p>
    <w:tbl>
      <w:tblPr>
        <w:tblStyle w:val="TableGrid"/>
        <w:tblW w:w="0" w:type="auto"/>
        <w:tblLook w:val="04A0" w:firstRow="1" w:lastRow="0" w:firstColumn="1" w:lastColumn="0" w:noHBand="0" w:noVBand="1"/>
      </w:tblPr>
      <w:tblGrid>
        <w:gridCol w:w="4814"/>
        <w:gridCol w:w="4814"/>
      </w:tblGrid>
      <w:tr w:rsidR="00074DE7" w14:paraId="70D228AB"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426FF84E" w14:textId="77777777" w:rsidR="00074DE7" w:rsidRPr="001B2509" w:rsidRDefault="00074DE7"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5C95906A" w14:textId="77777777" w:rsidR="00074DE7" w:rsidRPr="001B2509" w:rsidRDefault="00074DE7" w:rsidP="001B2509">
            <w:r w:rsidRPr="001B2509">
              <w:t>Responses</w:t>
            </w:r>
          </w:p>
        </w:tc>
      </w:tr>
      <w:tr w:rsidR="00074DE7" w14:paraId="5BF66DFC"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496F131E" w14:textId="77777777" w:rsidR="00074DE7" w:rsidRPr="00DC27F5" w:rsidRDefault="00074DE7" w:rsidP="000C3C73">
            <w:pPr>
              <w:spacing w:before="0" w:after="0"/>
              <w:rPr>
                <w:rFonts w:cs="Arial"/>
                <w:szCs w:val="20"/>
              </w:rPr>
            </w:pPr>
            <w:r w:rsidRPr="00E5604D">
              <w:rPr>
                <w:rFonts w:cs="Arial"/>
                <w:szCs w:val="20"/>
              </w:rPr>
              <w:t>Strongly agree</w:t>
            </w:r>
          </w:p>
        </w:tc>
        <w:tc>
          <w:tcPr>
            <w:tcW w:w="0" w:type="dxa"/>
            <w:tcBorders>
              <w:bottom w:val="single" w:sz="4" w:space="0" w:color="000000"/>
            </w:tcBorders>
            <w:vAlign w:val="center"/>
          </w:tcPr>
          <w:p w14:paraId="453D4E6C" w14:textId="4B0B9E61" w:rsidR="00074DE7" w:rsidRDefault="0055657D" w:rsidP="000C3C73">
            <w:pPr>
              <w:pStyle w:val="BodyText"/>
            </w:pPr>
            <w:r>
              <w:t>41 (64%)</w:t>
            </w:r>
          </w:p>
        </w:tc>
      </w:tr>
      <w:tr w:rsidR="00074DE7" w14:paraId="6D3F4752" w14:textId="77777777" w:rsidTr="00DC27F5">
        <w:tc>
          <w:tcPr>
            <w:tcW w:w="0" w:type="dxa"/>
            <w:tcBorders>
              <w:top w:val="single" w:sz="4" w:space="0" w:color="000000"/>
              <w:bottom w:val="single" w:sz="4" w:space="0" w:color="000000"/>
            </w:tcBorders>
            <w:vAlign w:val="center"/>
          </w:tcPr>
          <w:p w14:paraId="17E633D7" w14:textId="77777777" w:rsidR="00074DE7" w:rsidRPr="00DC27F5" w:rsidRDefault="00074DE7" w:rsidP="000C3C73">
            <w:pPr>
              <w:spacing w:before="0" w:after="0"/>
              <w:rPr>
                <w:rFonts w:cs="Arial"/>
                <w:szCs w:val="20"/>
              </w:rPr>
            </w:pPr>
            <w:r w:rsidRPr="00E5604D">
              <w:rPr>
                <w:rFonts w:cs="Arial"/>
                <w:szCs w:val="20"/>
              </w:rPr>
              <w:t>Somewhat agree</w:t>
            </w:r>
          </w:p>
        </w:tc>
        <w:tc>
          <w:tcPr>
            <w:tcW w:w="0" w:type="dxa"/>
            <w:tcBorders>
              <w:top w:val="single" w:sz="4" w:space="0" w:color="000000"/>
              <w:bottom w:val="single" w:sz="4" w:space="0" w:color="000000"/>
            </w:tcBorders>
            <w:vAlign w:val="center"/>
          </w:tcPr>
          <w:p w14:paraId="755F8A08" w14:textId="5F51900D" w:rsidR="00074DE7" w:rsidRDefault="0055657D" w:rsidP="000C3C73">
            <w:pPr>
              <w:pStyle w:val="BodyText"/>
            </w:pPr>
            <w:r>
              <w:t>12 (19%)</w:t>
            </w:r>
          </w:p>
        </w:tc>
      </w:tr>
      <w:tr w:rsidR="00074DE7" w14:paraId="786B699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2F9FFCB7" w14:textId="77777777" w:rsidR="00074DE7" w:rsidRPr="00DC27F5" w:rsidRDefault="00074DE7" w:rsidP="000C3C73">
            <w:pPr>
              <w:spacing w:before="0" w:after="0"/>
              <w:rPr>
                <w:rFonts w:cs="Arial"/>
                <w:szCs w:val="20"/>
              </w:rPr>
            </w:pPr>
            <w:r w:rsidRPr="00E5604D">
              <w:rPr>
                <w:rFonts w:cs="Arial"/>
                <w:szCs w:val="20"/>
              </w:rPr>
              <w:t>Neither agree nor disagree</w:t>
            </w:r>
          </w:p>
        </w:tc>
        <w:tc>
          <w:tcPr>
            <w:tcW w:w="0" w:type="dxa"/>
            <w:tcBorders>
              <w:top w:val="single" w:sz="4" w:space="0" w:color="000000"/>
              <w:bottom w:val="single" w:sz="4" w:space="0" w:color="000000"/>
            </w:tcBorders>
            <w:vAlign w:val="center"/>
          </w:tcPr>
          <w:p w14:paraId="27AECFEC" w14:textId="79AFE8E9" w:rsidR="00074DE7" w:rsidRPr="00DC27F5" w:rsidRDefault="0055657D" w:rsidP="000C3C73">
            <w:pPr>
              <w:pStyle w:val="BodyText"/>
              <w:rPr>
                <w:rFonts w:cs="Arial"/>
                <w:szCs w:val="20"/>
              </w:rPr>
            </w:pPr>
            <w:r w:rsidRPr="00DC27F5">
              <w:rPr>
                <w:rFonts w:cs="Arial"/>
                <w:szCs w:val="20"/>
              </w:rPr>
              <w:t>4 (6%)</w:t>
            </w:r>
          </w:p>
        </w:tc>
      </w:tr>
      <w:tr w:rsidR="00074DE7" w14:paraId="2BD4F5B5" w14:textId="77777777" w:rsidTr="00DC27F5">
        <w:tc>
          <w:tcPr>
            <w:tcW w:w="0" w:type="dxa"/>
            <w:tcBorders>
              <w:top w:val="single" w:sz="4" w:space="0" w:color="000000"/>
              <w:bottom w:val="single" w:sz="4" w:space="0" w:color="000000"/>
            </w:tcBorders>
            <w:vAlign w:val="center"/>
          </w:tcPr>
          <w:p w14:paraId="4BBEFCC1" w14:textId="77777777" w:rsidR="00074DE7" w:rsidRPr="00DC27F5" w:rsidRDefault="00074DE7" w:rsidP="000C3C73">
            <w:pPr>
              <w:spacing w:before="0" w:after="0"/>
              <w:rPr>
                <w:rFonts w:cs="Arial"/>
                <w:szCs w:val="20"/>
              </w:rPr>
            </w:pPr>
            <w:r w:rsidRPr="00E5604D">
              <w:rPr>
                <w:rFonts w:cs="Arial"/>
                <w:szCs w:val="20"/>
              </w:rPr>
              <w:t>Somewhat disagree</w:t>
            </w:r>
          </w:p>
        </w:tc>
        <w:tc>
          <w:tcPr>
            <w:tcW w:w="0" w:type="dxa"/>
            <w:tcBorders>
              <w:top w:val="single" w:sz="4" w:space="0" w:color="000000"/>
              <w:bottom w:val="single" w:sz="4" w:space="0" w:color="000000"/>
            </w:tcBorders>
            <w:vAlign w:val="center"/>
          </w:tcPr>
          <w:p w14:paraId="78F360C9" w14:textId="53ECAE95" w:rsidR="00074DE7" w:rsidRPr="00DC27F5" w:rsidRDefault="0055657D" w:rsidP="000C3C73">
            <w:pPr>
              <w:pStyle w:val="BodyText"/>
              <w:rPr>
                <w:rFonts w:cs="Arial"/>
                <w:szCs w:val="20"/>
              </w:rPr>
            </w:pPr>
            <w:r w:rsidRPr="00DC27F5">
              <w:rPr>
                <w:rFonts w:cs="Arial"/>
                <w:szCs w:val="20"/>
              </w:rPr>
              <w:t>3 (5%)</w:t>
            </w:r>
          </w:p>
        </w:tc>
      </w:tr>
      <w:tr w:rsidR="00074DE7" w14:paraId="7DD9F5F5"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23E2EFCE" w14:textId="77777777" w:rsidR="00074DE7" w:rsidRPr="00DC27F5" w:rsidRDefault="00074DE7" w:rsidP="000C3C73">
            <w:pPr>
              <w:spacing w:before="0" w:after="0"/>
              <w:rPr>
                <w:rFonts w:cs="Arial"/>
                <w:szCs w:val="20"/>
              </w:rPr>
            </w:pPr>
            <w:r w:rsidRPr="00E5604D">
              <w:rPr>
                <w:rFonts w:cs="Arial"/>
                <w:szCs w:val="20"/>
              </w:rPr>
              <w:t>Strongly disagree</w:t>
            </w:r>
          </w:p>
        </w:tc>
        <w:tc>
          <w:tcPr>
            <w:tcW w:w="0" w:type="dxa"/>
            <w:tcBorders>
              <w:top w:val="single" w:sz="4" w:space="0" w:color="000000"/>
              <w:bottom w:val="single" w:sz="4" w:space="0" w:color="000000"/>
            </w:tcBorders>
            <w:vAlign w:val="center"/>
          </w:tcPr>
          <w:p w14:paraId="54167D83" w14:textId="4EC7B915" w:rsidR="00074DE7" w:rsidRPr="00DC27F5" w:rsidRDefault="0055657D" w:rsidP="000C3C73">
            <w:pPr>
              <w:pStyle w:val="BodyText"/>
              <w:rPr>
                <w:rFonts w:cs="Arial"/>
                <w:szCs w:val="20"/>
              </w:rPr>
            </w:pPr>
            <w:r w:rsidRPr="00DC27F5">
              <w:rPr>
                <w:rFonts w:cs="Arial"/>
                <w:szCs w:val="20"/>
              </w:rPr>
              <w:t>4 (6%)</w:t>
            </w:r>
          </w:p>
        </w:tc>
      </w:tr>
    </w:tbl>
    <w:p w14:paraId="2DBDC35F" w14:textId="180F39A0" w:rsidR="00074DE7" w:rsidRPr="00281D11" w:rsidRDefault="00074DE7" w:rsidP="00281D11">
      <w:pPr>
        <w:pStyle w:val="Footer"/>
      </w:pPr>
      <w:r w:rsidRPr="00281D11">
        <w:t>Source: KPMG, 2024</w:t>
      </w:r>
      <w:r w:rsidR="00DD3E39" w:rsidRPr="00281D11">
        <w:t>.</w:t>
      </w:r>
    </w:p>
    <w:p w14:paraId="2DBCE6C4" w14:textId="2C2CB409" w:rsidR="0055657D" w:rsidRDefault="0055657D" w:rsidP="0055657D">
      <w:pPr>
        <w:pStyle w:val="Caption"/>
      </w:pPr>
      <w:r>
        <w:t xml:space="preserve">Table </w:t>
      </w:r>
      <w:r>
        <w:fldChar w:fldCharType="begin"/>
      </w:r>
      <w:r>
        <w:instrText xml:space="preserve"> SEQ Table \* ARABIC </w:instrText>
      </w:r>
      <w:r>
        <w:fldChar w:fldCharType="separate"/>
      </w:r>
      <w:r w:rsidR="005F7EBC">
        <w:rPr>
          <w:noProof/>
        </w:rPr>
        <w:t>59</w:t>
      </w:r>
      <w:r>
        <w:fldChar w:fldCharType="end"/>
      </w:r>
      <w:r>
        <w:t>: Registrar survey responses to the statement ‘</w:t>
      </w:r>
      <w:r w:rsidR="00427244" w:rsidRPr="00427244">
        <w:t>TEAP is providing me with the experience I will need in my profession</w:t>
      </w:r>
      <w:r>
        <w:t>’ (n=64)</w:t>
      </w:r>
    </w:p>
    <w:tbl>
      <w:tblPr>
        <w:tblStyle w:val="TableGrid"/>
        <w:tblW w:w="0" w:type="auto"/>
        <w:tblLook w:val="04A0" w:firstRow="1" w:lastRow="0" w:firstColumn="1" w:lastColumn="0" w:noHBand="0" w:noVBand="1"/>
      </w:tblPr>
      <w:tblGrid>
        <w:gridCol w:w="4814"/>
        <w:gridCol w:w="4814"/>
      </w:tblGrid>
      <w:tr w:rsidR="0055657D" w14:paraId="16DB4178"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42EDC9D1" w14:textId="77777777" w:rsidR="0055657D" w:rsidRPr="001B2509" w:rsidRDefault="0055657D"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37641DE2" w14:textId="77777777" w:rsidR="0055657D" w:rsidRPr="001B2509" w:rsidRDefault="0055657D" w:rsidP="001B2509">
            <w:r w:rsidRPr="001B2509">
              <w:t>Responses</w:t>
            </w:r>
          </w:p>
        </w:tc>
      </w:tr>
      <w:tr w:rsidR="0055657D" w14:paraId="7CEAF9B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746B4E51" w14:textId="77777777" w:rsidR="0055657D" w:rsidRPr="00DC27F5" w:rsidRDefault="0055657D" w:rsidP="000C3C73">
            <w:pPr>
              <w:spacing w:before="0" w:after="0"/>
              <w:rPr>
                <w:rFonts w:cs="Arial"/>
                <w:szCs w:val="20"/>
              </w:rPr>
            </w:pPr>
            <w:r w:rsidRPr="00E5604D">
              <w:rPr>
                <w:rFonts w:cs="Arial"/>
                <w:szCs w:val="20"/>
              </w:rPr>
              <w:t>Strongly agree</w:t>
            </w:r>
          </w:p>
        </w:tc>
        <w:tc>
          <w:tcPr>
            <w:tcW w:w="0" w:type="dxa"/>
            <w:tcBorders>
              <w:bottom w:val="single" w:sz="4" w:space="0" w:color="000000"/>
            </w:tcBorders>
            <w:vAlign w:val="center"/>
          </w:tcPr>
          <w:p w14:paraId="53A85C55" w14:textId="4AE3EA06" w:rsidR="0055657D" w:rsidRDefault="00644406" w:rsidP="000C3C73">
            <w:pPr>
              <w:pStyle w:val="BodyText"/>
            </w:pPr>
            <w:r>
              <w:t>32 (50%)</w:t>
            </w:r>
          </w:p>
        </w:tc>
      </w:tr>
      <w:tr w:rsidR="0055657D" w14:paraId="32CC309B" w14:textId="77777777" w:rsidTr="00DC27F5">
        <w:tc>
          <w:tcPr>
            <w:tcW w:w="0" w:type="dxa"/>
            <w:tcBorders>
              <w:top w:val="single" w:sz="4" w:space="0" w:color="000000"/>
              <w:bottom w:val="single" w:sz="4" w:space="0" w:color="000000"/>
            </w:tcBorders>
            <w:vAlign w:val="center"/>
          </w:tcPr>
          <w:p w14:paraId="5D7B2E09" w14:textId="77777777" w:rsidR="0055657D" w:rsidRPr="00DC27F5" w:rsidRDefault="0055657D" w:rsidP="000C3C73">
            <w:pPr>
              <w:spacing w:before="0" w:after="0"/>
              <w:rPr>
                <w:rFonts w:cs="Arial"/>
                <w:szCs w:val="20"/>
              </w:rPr>
            </w:pPr>
            <w:r w:rsidRPr="00E5604D">
              <w:rPr>
                <w:rFonts w:cs="Arial"/>
                <w:szCs w:val="20"/>
              </w:rPr>
              <w:t>Somewhat agree</w:t>
            </w:r>
          </w:p>
        </w:tc>
        <w:tc>
          <w:tcPr>
            <w:tcW w:w="0" w:type="dxa"/>
            <w:tcBorders>
              <w:top w:val="single" w:sz="4" w:space="0" w:color="000000"/>
              <w:bottom w:val="single" w:sz="4" w:space="0" w:color="000000"/>
            </w:tcBorders>
            <w:vAlign w:val="center"/>
          </w:tcPr>
          <w:p w14:paraId="59A1E49D" w14:textId="7D8EE75F" w:rsidR="0055657D" w:rsidRDefault="00644406" w:rsidP="000C3C73">
            <w:pPr>
              <w:pStyle w:val="BodyText"/>
            </w:pPr>
            <w:r>
              <w:t>19 (30%)</w:t>
            </w:r>
          </w:p>
        </w:tc>
      </w:tr>
      <w:tr w:rsidR="0055657D" w14:paraId="361B686B"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5E716E6B" w14:textId="77777777" w:rsidR="0055657D" w:rsidRPr="00DC27F5" w:rsidRDefault="0055657D" w:rsidP="000C3C73">
            <w:pPr>
              <w:spacing w:before="0" w:after="0"/>
              <w:rPr>
                <w:rFonts w:cs="Arial"/>
                <w:szCs w:val="20"/>
              </w:rPr>
            </w:pPr>
            <w:r w:rsidRPr="00E5604D">
              <w:rPr>
                <w:rFonts w:cs="Arial"/>
                <w:szCs w:val="20"/>
              </w:rPr>
              <w:t>Neither agree nor disagree</w:t>
            </w:r>
          </w:p>
        </w:tc>
        <w:tc>
          <w:tcPr>
            <w:tcW w:w="0" w:type="dxa"/>
            <w:tcBorders>
              <w:top w:val="single" w:sz="4" w:space="0" w:color="000000"/>
              <w:bottom w:val="single" w:sz="4" w:space="0" w:color="000000"/>
            </w:tcBorders>
            <w:vAlign w:val="center"/>
          </w:tcPr>
          <w:p w14:paraId="40A5DCFB" w14:textId="62BF80AC" w:rsidR="0055657D" w:rsidRPr="00DC27F5" w:rsidRDefault="00644406" w:rsidP="000C3C73">
            <w:pPr>
              <w:pStyle w:val="BodyText"/>
              <w:rPr>
                <w:rFonts w:cs="Arial"/>
                <w:szCs w:val="20"/>
              </w:rPr>
            </w:pPr>
            <w:r w:rsidRPr="00DC27F5">
              <w:rPr>
                <w:rFonts w:cs="Arial"/>
                <w:szCs w:val="20"/>
              </w:rPr>
              <w:t>6 (9%)</w:t>
            </w:r>
          </w:p>
        </w:tc>
      </w:tr>
      <w:tr w:rsidR="0055657D" w14:paraId="1D7B6952" w14:textId="77777777" w:rsidTr="00DC27F5">
        <w:tc>
          <w:tcPr>
            <w:tcW w:w="0" w:type="dxa"/>
            <w:tcBorders>
              <w:top w:val="single" w:sz="4" w:space="0" w:color="000000"/>
              <w:bottom w:val="single" w:sz="4" w:space="0" w:color="000000"/>
            </w:tcBorders>
            <w:vAlign w:val="center"/>
          </w:tcPr>
          <w:p w14:paraId="5481A58A" w14:textId="77777777" w:rsidR="0055657D" w:rsidRPr="00DC27F5" w:rsidRDefault="0055657D" w:rsidP="000C3C73">
            <w:pPr>
              <w:spacing w:before="0" w:after="0"/>
              <w:rPr>
                <w:rFonts w:cs="Arial"/>
                <w:szCs w:val="20"/>
              </w:rPr>
            </w:pPr>
            <w:r w:rsidRPr="00E5604D">
              <w:rPr>
                <w:rFonts w:cs="Arial"/>
                <w:szCs w:val="20"/>
              </w:rPr>
              <w:t>Somewhat disagree</w:t>
            </w:r>
          </w:p>
        </w:tc>
        <w:tc>
          <w:tcPr>
            <w:tcW w:w="0" w:type="dxa"/>
            <w:tcBorders>
              <w:top w:val="single" w:sz="4" w:space="0" w:color="000000"/>
              <w:bottom w:val="single" w:sz="4" w:space="0" w:color="000000"/>
            </w:tcBorders>
            <w:vAlign w:val="center"/>
          </w:tcPr>
          <w:p w14:paraId="0CB882B7" w14:textId="51D39A95" w:rsidR="0055657D" w:rsidRPr="00DC27F5" w:rsidRDefault="00644406" w:rsidP="000C3C73">
            <w:pPr>
              <w:pStyle w:val="BodyText"/>
              <w:rPr>
                <w:rFonts w:cs="Arial"/>
                <w:szCs w:val="20"/>
              </w:rPr>
            </w:pPr>
            <w:r w:rsidRPr="00DC27F5">
              <w:rPr>
                <w:rFonts w:cs="Arial"/>
                <w:szCs w:val="20"/>
              </w:rPr>
              <w:t>3 (5%)</w:t>
            </w:r>
          </w:p>
        </w:tc>
      </w:tr>
      <w:tr w:rsidR="0055657D" w14:paraId="0CE89EF5"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2284232B" w14:textId="77777777" w:rsidR="0055657D" w:rsidRPr="00DC27F5" w:rsidRDefault="0055657D" w:rsidP="000C3C73">
            <w:pPr>
              <w:spacing w:before="0" w:after="0"/>
              <w:rPr>
                <w:rFonts w:cs="Arial"/>
                <w:szCs w:val="20"/>
              </w:rPr>
            </w:pPr>
            <w:r w:rsidRPr="00E5604D">
              <w:rPr>
                <w:rFonts w:cs="Arial"/>
                <w:szCs w:val="20"/>
              </w:rPr>
              <w:t>Strongly disagree</w:t>
            </w:r>
          </w:p>
        </w:tc>
        <w:tc>
          <w:tcPr>
            <w:tcW w:w="0" w:type="dxa"/>
            <w:tcBorders>
              <w:top w:val="single" w:sz="4" w:space="0" w:color="000000"/>
              <w:bottom w:val="single" w:sz="4" w:space="0" w:color="000000"/>
            </w:tcBorders>
            <w:vAlign w:val="center"/>
          </w:tcPr>
          <w:p w14:paraId="4245DAD3" w14:textId="68945271" w:rsidR="0055657D" w:rsidRPr="00DC27F5" w:rsidRDefault="00644406" w:rsidP="000C3C73">
            <w:pPr>
              <w:pStyle w:val="BodyText"/>
              <w:rPr>
                <w:rFonts w:cs="Arial"/>
                <w:szCs w:val="20"/>
              </w:rPr>
            </w:pPr>
            <w:r w:rsidRPr="00DC27F5">
              <w:rPr>
                <w:rFonts w:cs="Arial"/>
                <w:szCs w:val="20"/>
              </w:rPr>
              <w:t>4 (6%)</w:t>
            </w:r>
          </w:p>
        </w:tc>
      </w:tr>
    </w:tbl>
    <w:p w14:paraId="7B350595" w14:textId="3876B684" w:rsidR="0055657D" w:rsidRPr="00281D11" w:rsidRDefault="0055657D" w:rsidP="00281D11">
      <w:pPr>
        <w:pStyle w:val="Footer"/>
      </w:pPr>
      <w:r w:rsidRPr="00281D11">
        <w:t>Source: KPMG, 2024</w:t>
      </w:r>
      <w:r w:rsidR="00DD3E39" w:rsidRPr="00281D11">
        <w:t>.</w:t>
      </w:r>
    </w:p>
    <w:p w14:paraId="27982E7E" w14:textId="745F30C7" w:rsidR="00644406" w:rsidRDefault="00644406" w:rsidP="00644406">
      <w:pPr>
        <w:pStyle w:val="Caption"/>
      </w:pPr>
      <w:r>
        <w:t xml:space="preserve">Table </w:t>
      </w:r>
      <w:r>
        <w:fldChar w:fldCharType="begin"/>
      </w:r>
      <w:r>
        <w:instrText xml:space="preserve"> SEQ Table \* ARABIC </w:instrText>
      </w:r>
      <w:r>
        <w:fldChar w:fldCharType="separate"/>
      </w:r>
      <w:r w:rsidR="005F7EBC">
        <w:rPr>
          <w:noProof/>
        </w:rPr>
        <w:t>60</w:t>
      </w:r>
      <w:r>
        <w:fldChar w:fldCharType="end"/>
      </w:r>
      <w:r>
        <w:t>: Registrar survey responses to the statement ‘</w:t>
      </w:r>
      <w:r w:rsidR="00A43028" w:rsidRPr="00A43028">
        <w:t>TEAP is preparing me for future changes/ advancements in my profession</w:t>
      </w:r>
      <w:r w:rsidR="00A43028">
        <w:t>’</w:t>
      </w:r>
      <w:r w:rsidR="00A43028" w:rsidRPr="00A43028">
        <w:t xml:space="preserve"> </w:t>
      </w:r>
      <w:r>
        <w:t>(n=64)</w:t>
      </w:r>
    </w:p>
    <w:tbl>
      <w:tblPr>
        <w:tblStyle w:val="TableGrid"/>
        <w:tblW w:w="0" w:type="auto"/>
        <w:tblLook w:val="04A0" w:firstRow="1" w:lastRow="0" w:firstColumn="1" w:lastColumn="0" w:noHBand="0" w:noVBand="1"/>
      </w:tblPr>
      <w:tblGrid>
        <w:gridCol w:w="4814"/>
        <w:gridCol w:w="4814"/>
      </w:tblGrid>
      <w:tr w:rsidR="00644406" w14:paraId="364691B8"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143C6DCB" w14:textId="77777777" w:rsidR="00644406" w:rsidRPr="001B2509" w:rsidRDefault="00644406"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6D4CCC4D" w14:textId="77777777" w:rsidR="00644406" w:rsidRPr="001B2509" w:rsidRDefault="00644406" w:rsidP="001B2509">
            <w:r w:rsidRPr="001B2509">
              <w:t>Responses</w:t>
            </w:r>
          </w:p>
        </w:tc>
      </w:tr>
      <w:tr w:rsidR="00644406" w14:paraId="02A3EEE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4C51217A" w14:textId="77777777" w:rsidR="00644406" w:rsidRPr="00DC27F5" w:rsidRDefault="00644406" w:rsidP="000C3C73">
            <w:pPr>
              <w:spacing w:before="0" w:after="0"/>
              <w:rPr>
                <w:rFonts w:cs="Arial"/>
                <w:szCs w:val="20"/>
              </w:rPr>
            </w:pPr>
            <w:r w:rsidRPr="00E5604D">
              <w:rPr>
                <w:rFonts w:cs="Arial"/>
                <w:szCs w:val="20"/>
              </w:rPr>
              <w:t>Strongly agree</w:t>
            </w:r>
          </w:p>
        </w:tc>
        <w:tc>
          <w:tcPr>
            <w:tcW w:w="0" w:type="dxa"/>
            <w:tcBorders>
              <w:bottom w:val="single" w:sz="4" w:space="0" w:color="000000"/>
            </w:tcBorders>
            <w:vAlign w:val="center"/>
          </w:tcPr>
          <w:p w14:paraId="5F7E12CB" w14:textId="74E5D8D7" w:rsidR="00644406" w:rsidRDefault="006659B1" w:rsidP="000C3C73">
            <w:pPr>
              <w:pStyle w:val="BodyText"/>
            </w:pPr>
            <w:r>
              <w:t>18 (28%)</w:t>
            </w:r>
          </w:p>
        </w:tc>
      </w:tr>
      <w:tr w:rsidR="00644406" w14:paraId="60CA854A" w14:textId="77777777" w:rsidTr="00DC27F5">
        <w:tc>
          <w:tcPr>
            <w:tcW w:w="0" w:type="dxa"/>
            <w:tcBorders>
              <w:top w:val="single" w:sz="4" w:space="0" w:color="000000"/>
              <w:bottom w:val="single" w:sz="4" w:space="0" w:color="000000"/>
            </w:tcBorders>
            <w:vAlign w:val="center"/>
          </w:tcPr>
          <w:p w14:paraId="6611091B" w14:textId="77777777" w:rsidR="00644406" w:rsidRPr="00DC27F5" w:rsidRDefault="00644406" w:rsidP="000C3C73">
            <w:pPr>
              <w:spacing w:before="0" w:after="0"/>
              <w:rPr>
                <w:rFonts w:cs="Arial"/>
                <w:szCs w:val="20"/>
              </w:rPr>
            </w:pPr>
            <w:r w:rsidRPr="00E5604D">
              <w:rPr>
                <w:rFonts w:cs="Arial"/>
                <w:szCs w:val="20"/>
              </w:rPr>
              <w:t>Somewhat agree</w:t>
            </w:r>
          </w:p>
        </w:tc>
        <w:tc>
          <w:tcPr>
            <w:tcW w:w="0" w:type="dxa"/>
            <w:tcBorders>
              <w:top w:val="single" w:sz="4" w:space="0" w:color="000000"/>
              <w:bottom w:val="single" w:sz="4" w:space="0" w:color="000000"/>
            </w:tcBorders>
            <w:vAlign w:val="center"/>
          </w:tcPr>
          <w:p w14:paraId="36972DF3" w14:textId="1252186B" w:rsidR="00644406" w:rsidRDefault="006659B1" w:rsidP="000C3C73">
            <w:pPr>
              <w:pStyle w:val="BodyText"/>
            </w:pPr>
            <w:r>
              <w:t>27 (42%)</w:t>
            </w:r>
          </w:p>
        </w:tc>
      </w:tr>
      <w:tr w:rsidR="00644406" w14:paraId="53D01CB5"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546842B2" w14:textId="77777777" w:rsidR="00644406" w:rsidRPr="00DC27F5" w:rsidRDefault="00644406" w:rsidP="000C3C73">
            <w:pPr>
              <w:spacing w:before="0" w:after="0"/>
              <w:rPr>
                <w:rFonts w:cs="Arial"/>
                <w:szCs w:val="20"/>
              </w:rPr>
            </w:pPr>
            <w:r w:rsidRPr="00E5604D">
              <w:rPr>
                <w:rFonts w:cs="Arial"/>
                <w:szCs w:val="20"/>
              </w:rPr>
              <w:t>Neither agree nor disagree</w:t>
            </w:r>
          </w:p>
        </w:tc>
        <w:tc>
          <w:tcPr>
            <w:tcW w:w="0" w:type="dxa"/>
            <w:tcBorders>
              <w:top w:val="single" w:sz="4" w:space="0" w:color="000000"/>
              <w:bottom w:val="single" w:sz="4" w:space="0" w:color="000000"/>
            </w:tcBorders>
            <w:vAlign w:val="center"/>
          </w:tcPr>
          <w:p w14:paraId="3ED38633" w14:textId="17710D27" w:rsidR="00644406" w:rsidRPr="00DC27F5" w:rsidRDefault="006659B1" w:rsidP="000C3C73">
            <w:pPr>
              <w:pStyle w:val="BodyText"/>
              <w:rPr>
                <w:rFonts w:cs="Arial"/>
                <w:szCs w:val="20"/>
              </w:rPr>
            </w:pPr>
            <w:r w:rsidRPr="00DC27F5">
              <w:rPr>
                <w:rFonts w:cs="Arial"/>
                <w:szCs w:val="20"/>
              </w:rPr>
              <w:t>11 (17%)</w:t>
            </w:r>
          </w:p>
        </w:tc>
      </w:tr>
      <w:tr w:rsidR="00644406" w14:paraId="64140F0E" w14:textId="77777777" w:rsidTr="00DC27F5">
        <w:tc>
          <w:tcPr>
            <w:tcW w:w="0" w:type="dxa"/>
            <w:tcBorders>
              <w:top w:val="single" w:sz="4" w:space="0" w:color="000000"/>
              <w:bottom w:val="single" w:sz="4" w:space="0" w:color="000000"/>
            </w:tcBorders>
            <w:vAlign w:val="center"/>
          </w:tcPr>
          <w:p w14:paraId="71EA1ED9" w14:textId="77777777" w:rsidR="00644406" w:rsidRPr="00DC27F5" w:rsidRDefault="00644406" w:rsidP="000C3C73">
            <w:pPr>
              <w:spacing w:before="0" w:after="0"/>
              <w:rPr>
                <w:rFonts w:cs="Arial"/>
                <w:szCs w:val="20"/>
              </w:rPr>
            </w:pPr>
            <w:r w:rsidRPr="00E5604D">
              <w:rPr>
                <w:rFonts w:cs="Arial"/>
                <w:szCs w:val="20"/>
              </w:rPr>
              <w:t>Somewhat disagree</w:t>
            </w:r>
          </w:p>
        </w:tc>
        <w:tc>
          <w:tcPr>
            <w:tcW w:w="0" w:type="dxa"/>
            <w:tcBorders>
              <w:top w:val="single" w:sz="4" w:space="0" w:color="000000"/>
              <w:bottom w:val="single" w:sz="4" w:space="0" w:color="000000"/>
            </w:tcBorders>
            <w:vAlign w:val="center"/>
          </w:tcPr>
          <w:p w14:paraId="3DAE5588" w14:textId="7E78412E" w:rsidR="00644406" w:rsidRPr="00DC27F5" w:rsidRDefault="006659B1" w:rsidP="000C3C73">
            <w:pPr>
              <w:pStyle w:val="BodyText"/>
              <w:rPr>
                <w:rFonts w:cs="Arial"/>
                <w:szCs w:val="20"/>
              </w:rPr>
            </w:pPr>
            <w:r w:rsidRPr="00DC27F5">
              <w:rPr>
                <w:rFonts w:cs="Arial"/>
                <w:szCs w:val="20"/>
              </w:rPr>
              <w:t>4 (6%)</w:t>
            </w:r>
          </w:p>
        </w:tc>
      </w:tr>
      <w:tr w:rsidR="00644406" w14:paraId="7818DD37"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70928551" w14:textId="77777777" w:rsidR="00644406" w:rsidRPr="00DC27F5" w:rsidRDefault="00644406" w:rsidP="000C3C73">
            <w:pPr>
              <w:spacing w:before="0" w:after="0"/>
              <w:rPr>
                <w:rFonts w:cs="Arial"/>
                <w:szCs w:val="20"/>
              </w:rPr>
            </w:pPr>
            <w:r w:rsidRPr="00E5604D">
              <w:rPr>
                <w:rFonts w:cs="Arial"/>
                <w:szCs w:val="20"/>
              </w:rPr>
              <w:t>Strongly disagree</w:t>
            </w:r>
          </w:p>
        </w:tc>
        <w:tc>
          <w:tcPr>
            <w:tcW w:w="0" w:type="dxa"/>
            <w:tcBorders>
              <w:top w:val="single" w:sz="4" w:space="0" w:color="000000"/>
              <w:bottom w:val="single" w:sz="4" w:space="0" w:color="000000"/>
            </w:tcBorders>
            <w:vAlign w:val="center"/>
          </w:tcPr>
          <w:p w14:paraId="40117095" w14:textId="3B2CE362" w:rsidR="00644406" w:rsidRPr="00DC27F5" w:rsidRDefault="006659B1" w:rsidP="000C3C73">
            <w:pPr>
              <w:pStyle w:val="BodyText"/>
              <w:rPr>
                <w:rFonts w:cs="Arial"/>
                <w:szCs w:val="20"/>
              </w:rPr>
            </w:pPr>
            <w:r w:rsidRPr="00DC27F5">
              <w:rPr>
                <w:rFonts w:cs="Arial"/>
                <w:szCs w:val="20"/>
              </w:rPr>
              <w:t>4 (6%)</w:t>
            </w:r>
          </w:p>
        </w:tc>
      </w:tr>
    </w:tbl>
    <w:p w14:paraId="6CEB860E" w14:textId="24BD46E6" w:rsidR="00644406" w:rsidRPr="00281D11" w:rsidRDefault="00644406" w:rsidP="00281D11">
      <w:pPr>
        <w:pStyle w:val="Footer"/>
      </w:pPr>
      <w:r w:rsidRPr="00281D11">
        <w:t>Source: KPMG, 2024</w:t>
      </w:r>
      <w:r w:rsidR="00DD3E39" w:rsidRPr="00281D11">
        <w:t>.</w:t>
      </w:r>
    </w:p>
    <w:p w14:paraId="6E5F59CC" w14:textId="15909385" w:rsidR="006659B1" w:rsidRDefault="006659B1" w:rsidP="006659B1">
      <w:pPr>
        <w:pStyle w:val="Caption"/>
      </w:pPr>
      <w:r>
        <w:t xml:space="preserve">Table </w:t>
      </w:r>
      <w:r>
        <w:fldChar w:fldCharType="begin"/>
      </w:r>
      <w:r>
        <w:instrText xml:space="preserve"> SEQ Table \* ARABIC </w:instrText>
      </w:r>
      <w:r>
        <w:fldChar w:fldCharType="separate"/>
      </w:r>
      <w:r w:rsidR="005F7EBC">
        <w:rPr>
          <w:noProof/>
        </w:rPr>
        <w:t>61</w:t>
      </w:r>
      <w:r>
        <w:fldChar w:fldCharType="end"/>
      </w:r>
      <w:r>
        <w:t>: Registrar survey responses to the statement ‘</w:t>
      </w:r>
      <w:r w:rsidR="00677537" w:rsidRPr="00677537">
        <w:t>The clinical training I am receiving is high-quality</w:t>
      </w:r>
      <w:r>
        <w:t>’</w:t>
      </w:r>
      <w:r w:rsidRPr="00A43028">
        <w:t xml:space="preserve"> </w:t>
      </w:r>
      <w:r>
        <w:t>(n=6</w:t>
      </w:r>
      <w:r w:rsidR="00677537">
        <w:t>0</w:t>
      </w:r>
      <w:r>
        <w:t>)</w:t>
      </w:r>
    </w:p>
    <w:tbl>
      <w:tblPr>
        <w:tblStyle w:val="TableGrid"/>
        <w:tblW w:w="0" w:type="auto"/>
        <w:tblLook w:val="04A0" w:firstRow="1" w:lastRow="0" w:firstColumn="1" w:lastColumn="0" w:noHBand="0" w:noVBand="1"/>
      </w:tblPr>
      <w:tblGrid>
        <w:gridCol w:w="4814"/>
        <w:gridCol w:w="4814"/>
      </w:tblGrid>
      <w:tr w:rsidR="006659B1" w14:paraId="10E1C934"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5B04CA17" w14:textId="77777777" w:rsidR="006659B1" w:rsidRPr="001B2509" w:rsidRDefault="006659B1"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61C9AC3F" w14:textId="77777777" w:rsidR="006659B1" w:rsidRPr="001B2509" w:rsidRDefault="006659B1" w:rsidP="001B2509">
            <w:r w:rsidRPr="001B2509">
              <w:t>Responses</w:t>
            </w:r>
          </w:p>
        </w:tc>
      </w:tr>
      <w:tr w:rsidR="006659B1" w14:paraId="7DFBC3EC"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40F07AFA" w14:textId="77777777" w:rsidR="006659B1" w:rsidRPr="00DC27F5" w:rsidRDefault="006659B1" w:rsidP="000C3C73">
            <w:pPr>
              <w:spacing w:before="0" w:after="0"/>
              <w:rPr>
                <w:rFonts w:cs="Arial"/>
                <w:szCs w:val="20"/>
              </w:rPr>
            </w:pPr>
            <w:r w:rsidRPr="00E5604D">
              <w:rPr>
                <w:rFonts w:cs="Arial"/>
                <w:szCs w:val="20"/>
              </w:rPr>
              <w:t>Strongly agree</w:t>
            </w:r>
          </w:p>
        </w:tc>
        <w:tc>
          <w:tcPr>
            <w:tcW w:w="0" w:type="dxa"/>
            <w:tcBorders>
              <w:bottom w:val="single" w:sz="4" w:space="0" w:color="000000"/>
            </w:tcBorders>
            <w:vAlign w:val="center"/>
          </w:tcPr>
          <w:p w14:paraId="64AA8D4E" w14:textId="0FEB6E18" w:rsidR="006659B1" w:rsidRDefault="001417C0" w:rsidP="000C3C73">
            <w:pPr>
              <w:pStyle w:val="BodyText"/>
            </w:pPr>
            <w:r>
              <w:t>34 (57%)</w:t>
            </w:r>
          </w:p>
        </w:tc>
      </w:tr>
      <w:tr w:rsidR="006659B1" w14:paraId="17A55582" w14:textId="77777777" w:rsidTr="00DC27F5">
        <w:tc>
          <w:tcPr>
            <w:tcW w:w="0" w:type="dxa"/>
            <w:tcBorders>
              <w:top w:val="single" w:sz="4" w:space="0" w:color="000000"/>
              <w:bottom w:val="single" w:sz="4" w:space="0" w:color="000000"/>
            </w:tcBorders>
            <w:vAlign w:val="center"/>
          </w:tcPr>
          <w:p w14:paraId="3E9825BA" w14:textId="77777777" w:rsidR="006659B1" w:rsidRPr="00DC27F5" w:rsidRDefault="006659B1" w:rsidP="000C3C73">
            <w:pPr>
              <w:spacing w:before="0" w:after="0"/>
              <w:rPr>
                <w:rFonts w:cs="Arial"/>
                <w:szCs w:val="20"/>
              </w:rPr>
            </w:pPr>
            <w:r w:rsidRPr="00E5604D">
              <w:rPr>
                <w:rFonts w:cs="Arial"/>
                <w:szCs w:val="20"/>
              </w:rPr>
              <w:t>Somewhat agree</w:t>
            </w:r>
          </w:p>
        </w:tc>
        <w:tc>
          <w:tcPr>
            <w:tcW w:w="0" w:type="dxa"/>
            <w:tcBorders>
              <w:top w:val="single" w:sz="4" w:space="0" w:color="000000"/>
              <w:bottom w:val="single" w:sz="4" w:space="0" w:color="000000"/>
            </w:tcBorders>
            <w:vAlign w:val="center"/>
          </w:tcPr>
          <w:p w14:paraId="6DEC271C" w14:textId="3C80CB5D" w:rsidR="006659B1" w:rsidRDefault="001417C0" w:rsidP="000C3C73">
            <w:pPr>
              <w:pStyle w:val="BodyText"/>
            </w:pPr>
            <w:r>
              <w:t>15 (25%)</w:t>
            </w:r>
          </w:p>
        </w:tc>
      </w:tr>
      <w:tr w:rsidR="006659B1" w14:paraId="75BAFCF7"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3CCE2B47" w14:textId="77777777" w:rsidR="006659B1" w:rsidRPr="00DC27F5" w:rsidRDefault="006659B1" w:rsidP="000C3C73">
            <w:pPr>
              <w:spacing w:before="0" w:after="0"/>
              <w:rPr>
                <w:rFonts w:cs="Arial"/>
                <w:szCs w:val="20"/>
              </w:rPr>
            </w:pPr>
            <w:r w:rsidRPr="00E5604D">
              <w:rPr>
                <w:rFonts w:cs="Arial"/>
                <w:szCs w:val="20"/>
              </w:rPr>
              <w:t>Neither agree nor disagree</w:t>
            </w:r>
          </w:p>
        </w:tc>
        <w:tc>
          <w:tcPr>
            <w:tcW w:w="0" w:type="dxa"/>
            <w:tcBorders>
              <w:top w:val="single" w:sz="4" w:space="0" w:color="000000"/>
              <w:bottom w:val="single" w:sz="4" w:space="0" w:color="000000"/>
            </w:tcBorders>
            <w:vAlign w:val="center"/>
          </w:tcPr>
          <w:p w14:paraId="4C5F0E78" w14:textId="49406DAC" w:rsidR="006659B1" w:rsidRPr="00DC27F5" w:rsidRDefault="001417C0" w:rsidP="000C3C73">
            <w:pPr>
              <w:pStyle w:val="BodyText"/>
              <w:rPr>
                <w:rFonts w:cs="Arial"/>
                <w:szCs w:val="20"/>
              </w:rPr>
            </w:pPr>
            <w:r w:rsidRPr="00DC27F5">
              <w:rPr>
                <w:rFonts w:cs="Arial"/>
                <w:szCs w:val="20"/>
              </w:rPr>
              <w:t>6 (10%)</w:t>
            </w:r>
          </w:p>
        </w:tc>
      </w:tr>
      <w:tr w:rsidR="006659B1" w14:paraId="6F00DC37" w14:textId="77777777" w:rsidTr="00DC27F5">
        <w:tc>
          <w:tcPr>
            <w:tcW w:w="0" w:type="dxa"/>
            <w:tcBorders>
              <w:top w:val="single" w:sz="4" w:space="0" w:color="000000"/>
              <w:bottom w:val="single" w:sz="4" w:space="0" w:color="000000"/>
            </w:tcBorders>
            <w:vAlign w:val="center"/>
          </w:tcPr>
          <w:p w14:paraId="218774BC" w14:textId="77777777" w:rsidR="006659B1" w:rsidRPr="00DC27F5" w:rsidRDefault="006659B1" w:rsidP="000C3C73">
            <w:pPr>
              <w:spacing w:before="0" w:after="0"/>
              <w:rPr>
                <w:rFonts w:cs="Arial"/>
                <w:szCs w:val="20"/>
              </w:rPr>
            </w:pPr>
            <w:r w:rsidRPr="00E5604D">
              <w:rPr>
                <w:rFonts w:cs="Arial"/>
                <w:szCs w:val="20"/>
              </w:rPr>
              <w:t>Somewhat disagree</w:t>
            </w:r>
          </w:p>
        </w:tc>
        <w:tc>
          <w:tcPr>
            <w:tcW w:w="0" w:type="dxa"/>
            <w:tcBorders>
              <w:top w:val="single" w:sz="4" w:space="0" w:color="000000"/>
              <w:bottom w:val="single" w:sz="4" w:space="0" w:color="000000"/>
            </w:tcBorders>
            <w:vAlign w:val="center"/>
          </w:tcPr>
          <w:p w14:paraId="64962470" w14:textId="1084295A" w:rsidR="006659B1" w:rsidRPr="00DC27F5" w:rsidRDefault="001417C0" w:rsidP="000C3C73">
            <w:pPr>
              <w:pStyle w:val="BodyText"/>
              <w:rPr>
                <w:rFonts w:cs="Arial"/>
                <w:szCs w:val="20"/>
              </w:rPr>
            </w:pPr>
            <w:r w:rsidRPr="00DC27F5">
              <w:rPr>
                <w:rFonts w:cs="Arial"/>
                <w:szCs w:val="20"/>
              </w:rPr>
              <w:t>3 (5%)</w:t>
            </w:r>
          </w:p>
        </w:tc>
      </w:tr>
      <w:tr w:rsidR="006659B1" w14:paraId="5003BA1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0F0D09AB" w14:textId="77777777" w:rsidR="006659B1" w:rsidRPr="00DC27F5" w:rsidRDefault="006659B1" w:rsidP="000C3C73">
            <w:pPr>
              <w:spacing w:before="0" w:after="0"/>
              <w:rPr>
                <w:rFonts w:cs="Arial"/>
                <w:szCs w:val="20"/>
              </w:rPr>
            </w:pPr>
            <w:r w:rsidRPr="00E5604D">
              <w:rPr>
                <w:rFonts w:cs="Arial"/>
                <w:szCs w:val="20"/>
              </w:rPr>
              <w:t>Strongly disagree</w:t>
            </w:r>
          </w:p>
        </w:tc>
        <w:tc>
          <w:tcPr>
            <w:tcW w:w="0" w:type="dxa"/>
            <w:tcBorders>
              <w:top w:val="single" w:sz="4" w:space="0" w:color="000000"/>
              <w:bottom w:val="single" w:sz="4" w:space="0" w:color="000000"/>
            </w:tcBorders>
            <w:vAlign w:val="center"/>
          </w:tcPr>
          <w:p w14:paraId="023896F4" w14:textId="4CFD1A20" w:rsidR="006659B1" w:rsidRPr="00DC27F5" w:rsidRDefault="001417C0" w:rsidP="000C3C73">
            <w:pPr>
              <w:pStyle w:val="BodyText"/>
              <w:rPr>
                <w:rFonts w:cs="Arial"/>
                <w:szCs w:val="20"/>
              </w:rPr>
            </w:pPr>
            <w:r w:rsidRPr="00DC27F5">
              <w:rPr>
                <w:rFonts w:cs="Arial"/>
                <w:szCs w:val="20"/>
              </w:rPr>
              <w:t>2 (3%)</w:t>
            </w:r>
          </w:p>
        </w:tc>
      </w:tr>
    </w:tbl>
    <w:p w14:paraId="3A073869" w14:textId="3B97A86D" w:rsidR="006659B1" w:rsidRPr="00281D11" w:rsidRDefault="006659B1" w:rsidP="00281D11">
      <w:pPr>
        <w:pStyle w:val="Footer"/>
      </w:pPr>
      <w:r w:rsidRPr="00281D11">
        <w:t>Source: KPMG, 2024</w:t>
      </w:r>
      <w:r w:rsidR="00DD3E39" w:rsidRPr="00281D11">
        <w:t>.</w:t>
      </w:r>
    </w:p>
    <w:p w14:paraId="2FC6AADF" w14:textId="0571710B" w:rsidR="001417C0" w:rsidRDefault="001417C0" w:rsidP="001417C0">
      <w:pPr>
        <w:pStyle w:val="Caption"/>
      </w:pPr>
      <w:r>
        <w:t xml:space="preserve">Table </w:t>
      </w:r>
      <w:r>
        <w:fldChar w:fldCharType="begin"/>
      </w:r>
      <w:r>
        <w:instrText xml:space="preserve"> SEQ Table \* ARABIC </w:instrText>
      </w:r>
      <w:r>
        <w:fldChar w:fldCharType="separate"/>
      </w:r>
      <w:r w:rsidR="005F7EBC">
        <w:rPr>
          <w:noProof/>
        </w:rPr>
        <w:t>62</w:t>
      </w:r>
      <w:r>
        <w:fldChar w:fldCharType="end"/>
      </w:r>
      <w:r>
        <w:t>: Registrar survey responses to the statement ‘</w:t>
      </w:r>
      <w:r w:rsidR="008468F1" w:rsidRPr="008468F1">
        <w:t>My supervisor is making strong contributions to my training and professional development</w:t>
      </w:r>
      <w:r>
        <w:t>’</w:t>
      </w:r>
      <w:r w:rsidRPr="00A43028">
        <w:t xml:space="preserve"> </w:t>
      </w:r>
      <w:r>
        <w:t>(n=60)</w:t>
      </w:r>
    </w:p>
    <w:tbl>
      <w:tblPr>
        <w:tblStyle w:val="TableGrid"/>
        <w:tblW w:w="0" w:type="auto"/>
        <w:tblLook w:val="04A0" w:firstRow="1" w:lastRow="0" w:firstColumn="1" w:lastColumn="0" w:noHBand="0" w:noVBand="1"/>
      </w:tblPr>
      <w:tblGrid>
        <w:gridCol w:w="4814"/>
        <w:gridCol w:w="4814"/>
      </w:tblGrid>
      <w:tr w:rsidR="001417C0" w14:paraId="67ADD911"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73960367" w14:textId="77777777" w:rsidR="001417C0" w:rsidRPr="001B2509" w:rsidRDefault="001417C0"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5D0D70D1" w14:textId="77777777" w:rsidR="001417C0" w:rsidRPr="001B2509" w:rsidRDefault="001417C0" w:rsidP="001B2509">
            <w:r w:rsidRPr="001B2509">
              <w:t>Responses</w:t>
            </w:r>
          </w:p>
        </w:tc>
      </w:tr>
      <w:tr w:rsidR="001417C0" w14:paraId="0C145F22"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136D4489" w14:textId="77777777" w:rsidR="001417C0" w:rsidRPr="00DC27F5" w:rsidRDefault="001417C0" w:rsidP="000C3C73">
            <w:pPr>
              <w:spacing w:before="0" w:after="0"/>
              <w:rPr>
                <w:rFonts w:cs="Arial"/>
                <w:szCs w:val="20"/>
              </w:rPr>
            </w:pPr>
            <w:r w:rsidRPr="00E5604D">
              <w:rPr>
                <w:rFonts w:cs="Arial"/>
                <w:szCs w:val="20"/>
              </w:rPr>
              <w:t>Strongly agree</w:t>
            </w:r>
          </w:p>
        </w:tc>
        <w:tc>
          <w:tcPr>
            <w:tcW w:w="0" w:type="dxa"/>
            <w:tcBorders>
              <w:bottom w:val="single" w:sz="4" w:space="0" w:color="000000"/>
            </w:tcBorders>
            <w:vAlign w:val="center"/>
          </w:tcPr>
          <w:p w14:paraId="61EAE9B3" w14:textId="5AFC60C9" w:rsidR="001417C0" w:rsidRDefault="00EE0B03" w:rsidP="000C3C73">
            <w:pPr>
              <w:pStyle w:val="BodyText"/>
            </w:pPr>
            <w:r>
              <w:t>33 (55%)</w:t>
            </w:r>
          </w:p>
        </w:tc>
      </w:tr>
      <w:tr w:rsidR="001417C0" w14:paraId="1C45B8D4" w14:textId="77777777" w:rsidTr="00DC27F5">
        <w:tc>
          <w:tcPr>
            <w:tcW w:w="0" w:type="dxa"/>
            <w:tcBorders>
              <w:top w:val="single" w:sz="4" w:space="0" w:color="000000"/>
              <w:bottom w:val="single" w:sz="4" w:space="0" w:color="000000"/>
            </w:tcBorders>
            <w:vAlign w:val="center"/>
          </w:tcPr>
          <w:p w14:paraId="04924C6F" w14:textId="77777777" w:rsidR="001417C0" w:rsidRPr="00DC27F5" w:rsidRDefault="001417C0" w:rsidP="000C3C73">
            <w:pPr>
              <w:spacing w:before="0" w:after="0"/>
              <w:rPr>
                <w:rFonts w:cs="Arial"/>
                <w:szCs w:val="20"/>
              </w:rPr>
            </w:pPr>
            <w:r w:rsidRPr="00E5604D">
              <w:rPr>
                <w:rFonts w:cs="Arial"/>
                <w:szCs w:val="20"/>
              </w:rPr>
              <w:t>Somewhat agree</w:t>
            </w:r>
          </w:p>
        </w:tc>
        <w:tc>
          <w:tcPr>
            <w:tcW w:w="0" w:type="dxa"/>
            <w:tcBorders>
              <w:top w:val="single" w:sz="4" w:space="0" w:color="000000"/>
              <w:bottom w:val="single" w:sz="4" w:space="0" w:color="000000"/>
            </w:tcBorders>
            <w:vAlign w:val="center"/>
          </w:tcPr>
          <w:p w14:paraId="7B8AF0D3" w14:textId="6C44A815" w:rsidR="001417C0" w:rsidRDefault="00EE0B03" w:rsidP="000C3C73">
            <w:pPr>
              <w:pStyle w:val="BodyText"/>
            </w:pPr>
            <w:r>
              <w:t>8 (13%)</w:t>
            </w:r>
          </w:p>
        </w:tc>
      </w:tr>
      <w:tr w:rsidR="001417C0" w14:paraId="5448AC27"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39D05F54" w14:textId="77777777" w:rsidR="001417C0" w:rsidRPr="00DC27F5" w:rsidRDefault="001417C0" w:rsidP="000C3C73">
            <w:pPr>
              <w:spacing w:before="0" w:after="0"/>
              <w:rPr>
                <w:rFonts w:cs="Arial"/>
                <w:szCs w:val="20"/>
              </w:rPr>
            </w:pPr>
            <w:r w:rsidRPr="00E5604D">
              <w:rPr>
                <w:rFonts w:cs="Arial"/>
                <w:szCs w:val="20"/>
              </w:rPr>
              <w:t>Neither agree nor disagree</w:t>
            </w:r>
          </w:p>
        </w:tc>
        <w:tc>
          <w:tcPr>
            <w:tcW w:w="0" w:type="dxa"/>
            <w:tcBorders>
              <w:top w:val="single" w:sz="4" w:space="0" w:color="000000"/>
              <w:bottom w:val="single" w:sz="4" w:space="0" w:color="000000"/>
            </w:tcBorders>
            <w:vAlign w:val="center"/>
          </w:tcPr>
          <w:p w14:paraId="09E5E9D8" w14:textId="63F07D3C" w:rsidR="001417C0" w:rsidRPr="00DC27F5" w:rsidRDefault="00EE0B03" w:rsidP="000C3C73">
            <w:pPr>
              <w:pStyle w:val="BodyText"/>
              <w:rPr>
                <w:rFonts w:cs="Arial"/>
                <w:szCs w:val="20"/>
              </w:rPr>
            </w:pPr>
            <w:r w:rsidRPr="00DC27F5">
              <w:rPr>
                <w:rFonts w:cs="Arial"/>
                <w:szCs w:val="20"/>
              </w:rPr>
              <w:t>5 (</w:t>
            </w:r>
            <w:r w:rsidR="00E90393" w:rsidRPr="00DC27F5">
              <w:rPr>
                <w:rFonts w:cs="Arial"/>
                <w:szCs w:val="20"/>
              </w:rPr>
              <w:t>8%)</w:t>
            </w:r>
          </w:p>
        </w:tc>
      </w:tr>
      <w:tr w:rsidR="001417C0" w14:paraId="110EC122" w14:textId="77777777" w:rsidTr="00DC27F5">
        <w:tc>
          <w:tcPr>
            <w:tcW w:w="0" w:type="dxa"/>
            <w:tcBorders>
              <w:top w:val="single" w:sz="4" w:space="0" w:color="000000"/>
              <w:bottom w:val="single" w:sz="4" w:space="0" w:color="000000"/>
            </w:tcBorders>
            <w:vAlign w:val="center"/>
          </w:tcPr>
          <w:p w14:paraId="03014636" w14:textId="77777777" w:rsidR="001417C0" w:rsidRPr="00DC27F5" w:rsidRDefault="001417C0" w:rsidP="000C3C73">
            <w:pPr>
              <w:spacing w:before="0" w:after="0"/>
              <w:rPr>
                <w:rFonts w:cs="Arial"/>
                <w:szCs w:val="20"/>
              </w:rPr>
            </w:pPr>
            <w:r w:rsidRPr="00E5604D">
              <w:rPr>
                <w:rFonts w:cs="Arial"/>
                <w:szCs w:val="20"/>
              </w:rPr>
              <w:t>Somewhat disagree</w:t>
            </w:r>
          </w:p>
        </w:tc>
        <w:tc>
          <w:tcPr>
            <w:tcW w:w="0" w:type="dxa"/>
            <w:tcBorders>
              <w:top w:val="single" w:sz="4" w:space="0" w:color="000000"/>
              <w:bottom w:val="single" w:sz="4" w:space="0" w:color="000000"/>
            </w:tcBorders>
            <w:vAlign w:val="center"/>
          </w:tcPr>
          <w:p w14:paraId="62EF4AA0" w14:textId="6A2A58B1" w:rsidR="001417C0" w:rsidRPr="00DC27F5" w:rsidRDefault="00E90393" w:rsidP="000C3C73">
            <w:pPr>
              <w:pStyle w:val="BodyText"/>
              <w:rPr>
                <w:rFonts w:cs="Arial"/>
                <w:szCs w:val="20"/>
              </w:rPr>
            </w:pPr>
            <w:r w:rsidRPr="00DC27F5">
              <w:rPr>
                <w:rFonts w:cs="Arial"/>
                <w:szCs w:val="20"/>
              </w:rPr>
              <w:t>8 (13%)</w:t>
            </w:r>
          </w:p>
        </w:tc>
      </w:tr>
      <w:tr w:rsidR="001417C0" w14:paraId="62106C25"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7E13FA22" w14:textId="77777777" w:rsidR="001417C0" w:rsidRPr="00DC27F5" w:rsidRDefault="001417C0" w:rsidP="000C3C73">
            <w:pPr>
              <w:spacing w:before="0" w:after="0"/>
              <w:rPr>
                <w:rFonts w:cs="Arial"/>
                <w:szCs w:val="20"/>
              </w:rPr>
            </w:pPr>
            <w:r w:rsidRPr="00E5604D">
              <w:rPr>
                <w:rFonts w:cs="Arial"/>
                <w:szCs w:val="20"/>
              </w:rPr>
              <w:t>Strongly disagree</w:t>
            </w:r>
          </w:p>
        </w:tc>
        <w:tc>
          <w:tcPr>
            <w:tcW w:w="0" w:type="dxa"/>
            <w:tcBorders>
              <w:top w:val="single" w:sz="4" w:space="0" w:color="000000"/>
              <w:bottom w:val="single" w:sz="4" w:space="0" w:color="000000"/>
            </w:tcBorders>
            <w:vAlign w:val="center"/>
          </w:tcPr>
          <w:p w14:paraId="5F6FE0D0" w14:textId="47D32B2A" w:rsidR="001417C0" w:rsidRPr="00DC27F5" w:rsidRDefault="00E90393" w:rsidP="000C3C73">
            <w:pPr>
              <w:pStyle w:val="BodyText"/>
              <w:rPr>
                <w:rFonts w:cs="Arial"/>
                <w:szCs w:val="20"/>
              </w:rPr>
            </w:pPr>
            <w:r w:rsidRPr="00DC27F5">
              <w:rPr>
                <w:rFonts w:cs="Arial"/>
                <w:szCs w:val="20"/>
              </w:rPr>
              <w:t>6 (10%)</w:t>
            </w:r>
          </w:p>
        </w:tc>
      </w:tr>
    </w:tbl>
    <w:p w14:paraId="2B11A674" w14:textId="3E0A90F1" w:rsidR="001417C0" w:rsidRPr="00281D11" w:rsidRDefault="001417C0" w:rsidP="00281D11">
      <w:pPr>
        <w:pStyle w:val="Footer"/>
      </w:pPr>
      <w:r w:rsidRPr="00281D11">
        <w:t>Source: KPMG, 2024</w:t>
      </w:r>
      <w:r w:rsidR="00DD3E39" w:rsidRPr="00281D11">
        <w:t>.</w:t>
      </w:r>
    </w:p>
    <w:p w14:paraId="1F134BC1" w14:textId="3FF61C09" w:rsidR="00E90393" w:rsidRDefault="00E90393" w:rsidP="00E90393">
      <w:pPr>
        <w:pStyle w:val="Caption"/>
      </w:pPr>
      <w:r>
        <w:t xml:space="preserve">Table </w:t>
      </w:r>
      <w:r>
        <w:fldChar w:fldCharType="begin"/>
      </w:r>
      <w:r>
        <w:instrText xml:space="preserve"> SEQ Table \* ARABIC </w:instrText>
      </w:r>
      <w:r>
        <w:fldChar w:fldCharType="separate"/>
      </w:r>
      <w:r w:rsidR="005F7EBC">
        <w:rPr>
          <w:noProof/>
        </w:rPr>
        <w:t>63</w:t>
      </w:r>
      <w:r>
        <w:fldChar w:fldCharType="end"/>
      </w:r>
      <w:r>
        <w:t>: Registrar survey responses to the statement ‘</w:t>
      </w:r>
      <w:r w:rsidR="006E5E73" w:rsidRPr="006E5E73">
        <w:t>My supervisor makes themselves available to provide an appropriate level of ongoing support</w:t>
      </w:r>
      <w:r>
        <w:t>’</w:t>
      </w:r>
      <w:r w:rsidRPr="00A43028">
        <w:t xml:space="preserve"> </w:t>
      </w:r>
      <w:r>
        <w:t>(n=60)</w:t>
      </w:r>
    </w:p>
    <w:tbl>
      <w:tblPr>
        <w:tblStyle w:val="TableGrid"/>
        <w:tblW w:w="0" w:type="auto"/>
        <w:tblLook w:val="04A0" w:firstRow="1" w:lastRow="0" w:firstColumn="1" w:lastColumn="0" w:noHBand="0" w:noVBand="1"/>
      </w:tblPr>
      <w:tblGrid>
        <w:gridCol w:w="4814"/>
        <w:gridCol w:w="4814"/>
      </w:tblGrid>
      <w:tr w:rsidR="00E90393" w14:paraId="7B1AD22D"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424DF4B1" w14:textId="77777777" w:rsidR="00E90393" w:rsidRPr="001B2509" w:rsidRDefault="00E90393"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43B11260" w14:textId="77777777" w:rsidR="00E90393" w:rsidRPr="001B2509" w:rsidRDefault="00E90393" w:rsidP="001B2509">
            <w:r w:rsidRPr="001B2509">
              <w:t>Responses</w:t>
            </w:r>
          </w:p>
        </w:tc>
      </w:tr>
      <w:tr w:rsidR="00E90393" w14:paraId="7E65E411"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4EFDF85D" w14:textId="77777777" w:rsidR="00E90393" w:rsidRPr="00DC27F5" w:rsidRDefault="00E90393" w:rsidP="000C3C73">
            <w:pPr>
              <w:spacing w:before="0" w:after="0"/>
              <w:rPr>
                <w:rFonts w:cs="Arial"/>
                <w:szCs w:val="20"/>
              </w:rPr>
            </w:pPr>
            <w:r w:rsidRPr="00E5604D">
              <w:rPr>
                <w:rFonts w:cs="Arial"/>
                <w:szCs w:val="20"/>
              </w:rPr>
              <w:t>Strongly agree</w:t>
            </w:r>
          </w:p>
        </w:tc>
        <w:tc>
          <w:tcPr>
            <w:tcW w:w="0" w:type="dxa"/>
            <w:tcBorders>
              <w:bottom w:val="single" w:sz="4" w:space="0" w:color="000000"/>
            </w:tcBorders>
            <w:vAlign w:val="center"/>
          </w:tcPr>
          <w:p w14:paraId="002DF6E8" w14:textId="745384F2" w:rsidR="00E90393" w:rsidRDefault="00424B33" w:rsidP="000C3C73">
            <w:pPr>
              <w:pStyle w:val="BodyText"/>
            </w:pPr>
            <w:r>
              <w:t>33 (55%)</w:t>
            </w:r>
          </w:p>
        </w:tc>
      </w:tr>
      <w:tr w:rsidR="00E90393" w14:paraId="1C2A9629" w14:textId="77777777" w:rsidTr="00DC27F5">
        <w:tc>
          <w:tcPr>
            <w:tcW w:w="0" w:type="dxa"/>
            <w:tcBorders>
              <w:top w:val="single" w:sz="4" w:space="0" w:color="000000"/>
              <w:bottom w:val="single" w:sz="4" w:space="0" w:color="000000"/>
            </w:tcBorders>
            <w:vAlign w:val="center"/>
          </w:tcPr>
          <w:p w14:paraId="25EB4C73" w14:textId="77777777" w:rsidR="00E90393" w:rsidRPr="00504CB4" w:rsidRDefault="00E90393" w:rsidP="00504CB4">
            <w:r w:rsidRPr="00504CB4">
              <w:t>Somewhat agree</w:t>
            </w:r>
          </w:p>
        </w:tc>
        <w:tc>
          <w:tcPr>
            <w:tcW w:w="0" w:type="dxa"/>
            <w:tcBorders>
              <w:top w:val="single" w:sz="4" w:space="0" w:color="000000"/>
              <w:bottom w:val="single" w:sz="4" w:space="0" w:color="000000"/>
            </w:tcBorders>
            <w:vAlign w:val="center"/>
          </w:tcPr>
          <w:p w14:paraId="4EE0ABC5" w14:textId="6F089DB6" w:rsidR="00E90393" w:rsidRPr="00504CB4" w:rsidRDefault="00424B33" w:rsidP="00504CB4">
            <w:r w:rsidRPr="00504CB4">
              <w:t>8 (13%)</w:t>
            </w:r>
          </w:p>
        </w:tc>
      </w:tr>
      <w:tr w:rsidR="00E90393" w14:paraId="3AFA43E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28CF6475" w14:textId="77777777" w:rsidR="00E90393" w:rsidRPr="00504CB4" w:rsidRDefault="00E90393" w:rsidP="00504CB4">
            <w:r w:rsidRPr="00504CB4">
              <w:t>Neither agree nor disagree</w:t>
            </w:r>
          </w:p>
        </w:tc>
        <w:tc>
          <w:tcPr>
            <w:tcW w:w="0" w:type="dxa"/>
            <w:tcBorders>
              <w:top w:val="single" w:sz="4" w:space="0" w:color="000000"/>
              <w:bottom w:val="single" w:sz="4" w:space="0" w:color="000000"/>
            </w:tcBorders>
            <w:vAlign w:val="center"/>
          </w:tcPr>
          <w:p w14:paraId="374DB3DF" w14:textId="3CD6FFD7" w:rsidR="00E90393" w:rsidRPr="00504CB4" w:rsidRDefault="00424B33" w:rsidP="00504CB4">
            <w:r w:rsidRPr="00504CB4">
              <w:t>7 (12%)</w:t>
            </w:r>
          </w:p>
        </w:tc>
      </w:tr>
      <w:tr w:rsidR="00E90393" w14:paraId="6767D15D" w14:textId="77777777" w:rsidTr="00DC27F5">
        <w:tc>
          <w:tcPr>
            <w:tcW w:w="0" w:type="dxa"/>
            <w:tcBorders>
              <w:top w:val="single" w:sz="4" w:space="0" w:color="000000"/>
              <w:bottom w:val="single" w:sz="4" w:space="0" w:color="000000"/>
            </w:tcBorders>
            <w:vAlign w:val="center"/>
          </w:tcPr>
          <w:p w14:paraId="2E0C0994" w14:textId="77777777" w:rsidR="00E90393" w:rsidRPr="00504CB4" w:rsidRDefault="00E90393" w:rsidP="00504CB4">
            <w:r w:rsidRPr="00504CB4">
              <w:t>Somewhat disagree</w:t>
            </w:r>
          </w:p>
        </w:tc>
        <w:tc>
          <w:tcPr>
            <w:tcW w:w="0" w:type="dxa"/>
            <w:tcBorders>
              <w:top w:val="single" w:sz="4" w:space="0" w:color="000000"/>
              <w:bottom w:val="single" w:sz="4" w:space="0" w:color="000000"/>
            </w:tcBorders>
            <w:vAlign w:val="center"/>
          </w:tcPr>
          <w:p w14:paraId="1ED834A1" w14:textId="2D3E39EE" w:rsidR="00E90393" w:rsidRPr="00504CB4" w:rsidRDefault="00424B33" w:rsidP="00504CB4">
            <w:r w:rsidRPr="00504CB4">
              <w:t>6 (10%)</w:t>
            </w:r>
          </w:p>
        </w:tc>
      </w:tr>
      <w:tr w:rsidR="00E90393" w14:paraId="7590002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14D7C490" w14:textId="77777777" w:rsidR="00E90393" w:rsidRPr="00504CB4" w:rsidRDefault="00E90393" w:rsidP="00504CB4">
            <w:r w:rsidRPr="00504CB4">
              <w:t>Strongly disagree</w:t>
            </w:r>
          </w:p>
        </w:tc>
        <w:tc>
          <w:tcPr>
            <w:tcW w:w="0" w:type="dxa"/>
            <w:tcBorders>
              <w:top w:val="single" w:sz="4" w:space="0" w:color="000000"/>
              <w:bottom w:val="single" w:sz="4" w:space="0" w:color="000000"/>
            </w:tcBorders>
            <w:vAlign w:val="center"/>
          </w:tcPr>
          <w:p w14:paraId="349C91BE" w14:textId="0A89EE74" w:rsidR="00E90393" w:rsidRPr="00504CB4" w:rsidRDefault="00424B33" w:rsidP="00504CB4">
            <w:r w:rsidRPr="00504CB4">
              <w:t>6 (10%)</w:t>
            </w:r>
          </w:p>
        </w:tc>
      </w:tr>
    </w:tbl>
    <w:p w14:paraId="30631271" w14:textId="49FA2CCB" w:rsidR="00E90393" w:rsidRPr="00281D11" w:rsidRDefault="00E90393" w:rsidP="00281D11">
      <w:pPr>
        <w:pStyle w:val="Footer"/>
      </w:pPr>
      <w:r w:rsidRPr="00281D11">
        <w:t>Source: KPMG, 2024</w:t>
      </w:r>
      <w:r w:rsidR="00DD3E39" w:rsidRPr="00281D11">
        <w:t>.</w:t>
      </w:r>
    </w:p>
    <w:p w14:paraId="1B7A8D97" w14:textId="4A0F80EB" w:rsidR="00424B33" w:rsidRDefault="00424B33" w:rsidP="00424B33">
      <w:pPr>
        <w:pStyle w:val="Caption"/>
      </w:pPr>
      <w:r>
        <w:t xml:space="preserve">Table </w:t>
      </w:r>
      <w:r>
        <w:fldChar w:fldCharType="begin"/>
      </w:r>
      <w:r>
        <w:instrText xml:space="preserve"> SEQ Table \* ARABIC </w:instrText>
      </w:r>
      <w:r>
        <w:fldChar w:fldCharType="separate"/>
      </w:r>
      <w:r w:rsidR="005F7EBC">
        <w:rPr>
          <w:noProof/>
        </w:rPr>
        <w:t>64</w:t>
      </w:r>
      <w:r>
        <w:fldChar w:fldCharType="end"/>
      </w:r>
      <w:r>
        <w:t>: Registrar survey responses to the statement ‘</w:t>
      </w:r>
      <w:r w:rsidR="00127F54" w:rsidRPr="00127F54">
        <w:t>I am receiving the support I need in this program</w:t>
      </w:r>
      <w:r>
        <w:t>’</w:t>
      </w:r>
      <w:r w:rsidRPr="00A43028">
        <w:t xml:space="preserve"> </w:t>
      </w:r>
      <w:r>
        <w:t>(n=60)</w:t>
      </w:r>
    </w:p>
    <w:tbl>
      <w:tblPr>
        <w:tblStyle w:val="TableGrid"/>
        <w:tblW w:w="0" w:type="auto"/>
        <w:tblLook w:val="04A0" w:firstRow="1" w:lastRow="0" w:firstColumn="1" w:lastColumn="0" w:noHBand="0" w:noVBand="1"/>
      </w:tblPr>
      <w:tblGrid>
        <w:gridCol w:w="4814"/>
        <w:gridCol w:w="4814"/>
      </w:tblGrid>
      <w:tr w:rsidR="00424B33" w14:paraId="606CBFC9"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47968FF4" w14:textId="77777777" w:rsidR="00424B33" w:rsidRPr="001B2509" w:rsidRDefault="00424B33"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761D6305" w14:textId="77777777" w:rsidR="00424B33" w:rsidRPr="001B2509" w:rsidRDefault="00424B33" w:rsidP="001B2509">
            <w:r w:rsidRPr="001B2509">
              <w:t>Responses</w:t>
            </w:r>
          </w:p>
        </w:tc>
      </w:tr>
      <w:tr w:rsidR="00424B33" w14:paraId="3E485E6C"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47065D5B" w14:textId="77777777" w:rsidR="00424B33" w:rsidRPr="00504CB4" w:rsidRDefault="00424B33" w:rsidP="00504CB4">
            <w:r w:rsidRPr="00504CB4">
              <w:t>Strongly agree</w:t>
            </w:r>
          </w:p>
        </w:tc>
        <w:tc>
          <w:tcPr>
            <w:tcW w:w="0" w:type="dxa"/>
            <w:tcBorders>
              <w:bottom w:val="single" w:sz="4" w:space="0" w:color="000000"/>
            </w:tcBorders>
            <w:vAlign w:val="center"/>
          </w:tcPr>
          <w:p w14:paraId="5A385602" w14:textId="2EDBB14B" w:rsidR="00424B33" w:rsidRPr="00504CB4" w:rsidRDefault="00A328E0" w:rsidP="00504CB4">
            <w:r w:rsidRPr="00504CB4">
              <w:t>25 (42%)</w:t>
            </w:r>
          </w:p>
        </w:tc>
      </w:tr>
      <w:tr w:rsidR="00424B33" w14:paraId="3D39C9E1" w14:textId="77777777" w:rsidTr="00DC27F5">
        <w:tc>
          <w:tcPr>
            <w:tcW w:w="0" w:type="dxa"/>
            <w:tcBorders>
              <w:top w:val="single" w:sz="4" w:space="0" w:color="000000"/>
              <w:bottom w:val="single" w:sz="4" w:space="0" w:color="000000"/>
            </w:tcBorders>
            <w:vAlign w:val="center"/>
          </w:tcPr>
          <w:p w14:paraId="795B2AF3" w14:textId="77777777" w:rsidR="00424B33" w:rsidRPr="00504CB4" w:rsidRDefault="00424B33" w:rsidP="00504CB4">
            <w:r w:rsidRPr="00504CB4">
              <w:t>Somewhat agree</w:t>
            </w:r>
          </w:p>
        </w:tc>
        <w:tc>
          <w:tcPr>
            <w:tcW w:w="0" w:type="dxa"/>
            <w:tcBorders>
              <w:top w:val="single" w:sz="4" w:space="0" w:color="000000"/>
              <w:bottom w:val="single" w:sz="4" w:space="0" w:color="000000"/>
            </w:tcBorders>
            <w:vAlign w:val="center"/>
          </w:tcPr>
          <w:p w14:paraId="398BA4B0" w14:textId="5F8B7CBC" w:rsidR="00424B33" w:rsidRPr="00504CB4" w:rsidRDefault="00A328E0" w:rsidP="00504CB4">
            <w:r w:rsidRPr="00504CB4">
              <w:t>17 (28%)</w:t>
            </w:r>
          </w:p>
        </w:tc>
      </w:tr>
      <w:tr w:rsidR="00424B33" w14:paraId="74966E04"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6D02A3B0" w14:textId="77777777" w:rsidR="00424B33" w:rsidRPr="00504CB4" w:rsidRDefault="00424B33" w:rsidP="00504CB4">
            <w:r w:rsidRPr="00504CB4">
              <w:t>Neither agree nor disagree</w:t>
            </w:r>
          </w:p>
        </w:tc>
        <w:tc>
          <w:tcPr>
            <w:tcW w:w="0" w:type="dxa"/>
            <w:tcBorders>
              <w:top w:val="single" w:sz="4" w:space="0" w:color="000000"/>
              <w:bottom w:val="single" w:sz="4" w:space="0" w:color="000000"/>
            </w:tcBorders>
            <w:vAlign w:val="center"/>
          </w:tcPr>
          <w:p w14:paraId="194E86CF" w14:textId="37299D05" w:rsidR="00424B33" w:rsidRPr="00504CB4" w:rsidRDefault="00A328E0" w:rsidP="00504CB4">
            <w:r w:rsidRPr="00504CB4">
              <w:t>7 (12%)</w:t>
            </w:r>
          </w:p>
        </w:tc>
      </w:tr>
      <w:tr w:rsidR="00424B33" w14:paraId="1D2218DA" w14:textId="77777777" w:rsidTr="00DC27F5">
        <w:tc>
          <w:tcPr>
            <w:tcW w:w="0" w:type="dxa"/>
            <w:tcBorders>
              <w:top w:val="single" w:sz="4" w:space="0" w:color="000000"/>
              <w:bottom w:val="single" w:sz="4" w:space="0" w:color="000000"/>
            </w:tcBorders>
            <w:vAlign w:val="center"/>
          </w:tcPr>
          <w:p w14:paraId="4A077FD8" w14:textId="77777777" w:rsidR="00424B33" w:rsidRPr="00504CB4" w:rsidRDefault="00424B33" w:rsidP="00504CB4">
            <w:r w:rsidRPr="00504CB4">
              <w:t>Somewhat disagree</w:t>
            </w:r>
          </w:p>
        </w:tc>
        <w:tc>
          <w:tcPr>
            <w:tcW w:w="0" w:type="dxa"/>
            <w:tcBorders>
              <w:top w:val="single" w:sz="4" w:space="0" w:color="000000"/>
              <w:bottom w:val="single" w:sz="4" w:space="0" w:color="000000"/>
            </w:tcBorders>
            <w:vAlign w:val="center"/>
          </w:tcPr>
          <w:p w14:paraId="1CC06CFE" w14:textId="1820476E" w:rsidR="00424B33" w:rsidRPr="00504CB4" w:rsidRDefault="00A328E0" w:rsidP="00504CB4">
            <w:r w:rsidRPr="00504CB4">
              <w:t>7 (12%)</w:t>
            </w:r>
          </w:p>
        </w:tc>
      </w:tr>
      <w:tr w:rsidR="00424B33" w14:paraId="13C22E48"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40202F19" w14:textId="77777777" w:rsidR="00424B33" w:rsidRPr="00504CB4" w:rsidRDefault="00424B33" w:rsidP="00504CB4">
            <w:r w:rsidRPr="00504CB4">
              <w:t>Strongly disagree</w:t>
            </w:r>
          </w:p>
        </w:tc>
        <w:tc>
          <w:tcPr>
            <w:tcW w:w="0" w:type="dxa"/>
            <w:tcBorders>
              <w:top w:val="single" w:sz="4" w:space="0" w:color="000000"/>
              <w:bottom w:val="single" w:sz="4" w:space="0" w:color="000000"/>
            </w:tcBorders>
            <w:vAlign w:val="center"/>
          </w:tcPr>
          <w:p w14:paraId="2DBBABFF" w14:textId="14F242E5" w:rsidR="00424B33" w:rsidRPr="00504CB4" w:rsidRDefault="00A328E0" w:rsidP="00504CB4">
            <w:r w:rsidRPr="00504CB4">
              <w:t>4 (7%)</w:t>
            </w:r>
          </w:p>
        </w:tc>
      </w:tr>
    </w:tbl>
    <w:p w14:paraId="1B762F10" w14:textId="61795FAC" w:rsidR="00424B33" w:rsidRPr="00281D11" w:rsidRDefault="00424B33" w:rsidP="00281D11">
      <w:pPr>
        <w:pStyle w:val="Footer"/>
      </w:pPr>
      <w:r w:rsidRPr="00281D11">
        <w:t>Source: KPMG, 2024</w:t>
      </w:r>
      <w:r w:rsidR="00DD3E39" w:rsidRPr="00281D11">
        <w:t>.</w:t>
      </w:r>
    </w:p>
    <w:p w14:paraId="2EFED37C" w14:textId="01E4C4DE" w:rsidR="00A328E0" w:rsidRDefault="00A328E0" w:rsidP="00A328E0">
      <w:pPr>
        <w:pStyle w:val="Caption"/>
      </w:pPr>
      <w:r>
        <w:t xml:space="preserve">Table </w:t>
      </w:r>
      <w:r>
        <w:fldChar w:fldCharType="begin"/>
      </w:r>
      <w:r>
        <w:instrText xml:space="preserve"> SEQ Table \* ARABIC </w:instrText>
      </w:r>
      <w:r>
        <w:fldChar w:fldCharType="separate"/>
      </w:r>
      <w:r w:rsidR="005F7EBC">
        <w:rPr>
          <w:noProof/>
        </w:rPr>
        <w:t>65</w:t>
      </w:r>
      <w:r>
        <w:fldChar w:fldCharType="end"/>
      </w:r>
      <w:r>
        <w:t>: Registrar survey responses to the statement ‘</w:t>
      </w:r>
      <w:r w:rsidR="00286ACB" w:rsidRPr="00286ACB">
        <w:t>Administrative processes for TEAP (e.g. assessment submissions and reporting requirements) are clear</w:t>
      </w:r>
      <w:r>
        <w:t>’</w:t>
      </w:r>
      <w:r w:rsidRPr="00A43028">
        <w:t xml:space="preserve"> </w:t>
      </w:r>
      <w:r>
        <w:t>(n=60)</w:t>
      </w:r>
    </w:p>
    <w:tbl>
      <w:tblPr>
        <w:tblStyle w:val="TableGrid"/>
        <w:tblW w:w="0" w:type="auto"/>
        <w:tblLook w:val="04A0" w:firstRow="1" w:lastRow="0" w:firstColumn="1" w:lastColumn="0" w:noHBand="0" w:noVBand="1"/>
      </w:tblPr>
      <w:tblGrid>
        <w:gridCol w:w="4814"/>
        <w:gridCol w:w="4814"/>
      </w:tblGrid>
      <w:tr w:rsidR="00A328E0" w14:paraId="14FB66E7"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010411EB" w14:textId="77777777" w:rsidR="00A328E0" w:rsidRPr="001B2509" w:rsidRDefault="00A328E0"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14301DFE" w14:textId="77777777" w:rsidR="00A328E0" w:rsidRPr="001B2509" w:rsidRDefault="00A328E0" w:rsidP="001B2509">
            <w:r w:rsidRPr="001B2509">
              <w:t>Responses</w:t>
            </w:r>
          </w:p>
        </w:tc>
      </w:tr>
      <w:tr w:rsidR="00A328E0" w14:paraId="738D9054"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0BA771CB" w14:textId="77777777" w:rsidR="00A328E0" w:rsidRPr="00504CB4" w:rsidRDefault="00A328E0" w:rsidP="00504CB4">
            <w:r w:rsidRPr="00504CB4">
              <w:t>Strongly agree</w:t>
            </w:r>
          </w:p>
        </w:tc>
        <w:tc>
          <w:tcPr>
            <w:tcW w:w="0" w:type="dxa"/>
            <w:tcBorders>
              <w:bottom w:val="single" w:sz="4" w:space="0" w:color="000000"/>
            </w:tcBorders>
            <w:vAlign w:val="center"/>
          </w:tcPr>
          <w:p w14:paraId="31C5279D" w14:textId="3B22E34D" w:rsidR="00A328E0" w:rsidRPr="00504CB4" w:rsidRDefault="006C0F5A" w:rsidP="00504CB4">
            <w:r w:rsidRPr="00504CB4">
              <w:t>13 (22%)</w:t>
            </w:r>
          </w:p>
        </w:tc>
      </w:tr>
      <w:tr w:rsidR="00A328E0" w14:paraId="7B160AF9" w14:textId="77777777" w:rsidTr="00DC27F5">
        <w:tc>
          <w:tcPr>
            <w:tcW w:w="0" w:type="dxa"/>
            <w:tcBorders>
              <w:top w:val="single" w:sz="4" w:space="0" w:color="000000"/>
              <w:bottom w:val="single" w:sz="4" w:space="0" w:color="000000"/>
            </w:tcBorders>
            <w:vAlign w:val="center"/>
          </w:tcPr>
          <w:p w14:paraId="18E6EA5B" w14:textId="77777777" w:rsidR="00A328E0" w:rsidRPr="00504CB4" w:rsidRDefault="00A328E0" w:rsidP="00504CB4">
            <w:r w:rsidRPr="00504CB4">
              <w:t>Somewhat agree</w:t>
            </w:r>
          </w:p>
        </w:tc>
        <w:tc>
          <w:tcPr>
            <w:tcW w:w="0" w:type="dxa"/>
            <w:tcBorders>
              <w:top w:val="single" w:sz="4" w:space="0" w:color="000000"/>
              <w:bottom w:val="single" w:sz="4" w:space="0" w:color="000000"/>
            </w:tcBorders>
            <w:vAlign w:val="center"/>
          </w:tcPr>
          <w:p w14:paraId="6DB95C47" w14:textId="6916DD63" w:rsidR="00A328E0" w:rsidRPr="00504CB4" w:rsidRDefault="006C0F5A" w:rsidP="00504CB4">
            <w:r w:rsidRPr="00504CB4">
              <w:t>15 (25%)</w:t>
            </w:r>
          </w:p>
        </w:tc>
      </w:tr>
      <w:tr w:rsidR="00A328E0" w14:paraId="4051A5DE"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17AFE3FA" w14:textId="77777777" w:rsidR="00A328E0" w:rsidRPr="00504CB4" w:rsidRDefault="00A328E0" w:rsidP="00504CB4">
            <w:r w:rsidRPr="00504CB4">
              <w:t>Neither agree nor disagree</w:t>
            </w:r>
          </w:p>
        </w:tc>
        <w:tc>
          <w:tcPr>
            <w:tcW w:w="0" w:type="dxa"/>
            <w:tcBorders>
              <w:top w:val="single" w:sz="4" w:space="0" w:color="000000"/>
              <w:bottom w:val="single" w:sz="4" w:space="0" w:color="000000"/>
            </w:tcBorders>
            <w:vAlign w:val="center"/>
          </w:tcPr>
          <w:p w14:paraId="51C9A87D" w14:textId="5C1157B3" w:rsidR="00A328E0" w:rsidRPr="00504CB4" w:rsidRDefault="006C0F5A" w:rsidP="00504CB4">
            <w:r w:rsidRPr="00504CB4">
              <w:t>12 (20%)</w:t>
            </w:r>
          </w:p>
        </w:tc>
      </w:tr>
      <w:tr w:rsidR="00A328E0" w14:paraId="71A7552A" w14:textId="77777777" w:rsidTr="00DC27F5">
        <w:tc>
          <w:tcPr>
            <w:tcW w:w="0" w:type="dxa"/>
            <w:tcBorders>
              <w:top w:val="single" w:sz="4" w:space="0" w:color="000000"/>
              <w:bottom w:val="single" w:sz="4" w:space="0" w:color="000000"/>
            </w:tcBorders>
            <w:vAlign w:val="center"/>
          </w:tcPr>
          <w:p w14:paraId="1755030D" w14:textId="77777777" w:rsidR="00A328E0" w:rsidRPr="00504CB4" w:rsidRDefault="00A328E0" w:rsidP="00504CB4">
            <w:r w:rsidRPr="00504CB4">
              <w:t>Somewhat disagree</w:t>
            </w:r>
          </w:p>
        </w:tc>
        <w:tc>
          <w:tcPr>
            <w:tcW w:w="0" w:type="dxa"/>
            <w:tcBorders>
              <w:top w:val="single" w:sz="4" w:space="0" w:color="000000"/>
              <w:bottom w:val="single" w:sz="4" w:space="0" w:color="000000"/>
            </w:tcBorders>
            <w:vAlign w:val="center"/>
          </w:tcPr>
          <w:p w14:paraId="3362D58D" w14:textId="73409C2B" w:rsidR="00A328E0" w:rsidRPr="00504CB4" w:rsidRDefault="006C0F5A" w:rsidP="00504CB4">
            <w:r w:rsidRPr="00504CB4">
              <w:t>15 (25%)</w:t>
            </w:r>
          </w:p>
        </w:tc>
      </w:tr>
      <w:tr w:rsidR="00A328E0" w14:paraId="40277500"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3B7B2F62" w14:textId="77777777" w:rsidR="00A328E0" w:rsidRPr="00504CB4" w:rsidRDefault="00A328E0" w:rsidP="00504CB4">
            <w:r w:rsidRPr="00504CB4">
              <w:t>Strongly disagree</w:t>
            </w:r>
          </w:p>
        </w:tc>
        <w:tc>
          <w:tcPr>
            <w:tcW w:w="0" w:type="dxa"/>
            <w:tcBorders>
              <w:top w:val="single" w:sz="4" w:space="0" w:color="000000"/>
              <w:bottom w:val="single" w:sz="4" w:space="0" w:color="000000"/>
            </w:tcBorders>
            <w:vAlign w:val="center"/>
          </w:tcPr>
          <w:p w14:paraId="7FD597A4" w14:textId="13865741" w:rsidR="00A328E0" w:rsidRPr="00504CB4" w:rsidRDefault="006C0F5A" w:rsidP="00504CB4">
            <w:r w:rsidRPr="00504CB4">
              <w:t>5 (8%)</w:t>
            </w:r>
          </w:p>
        </w:tc>
      </w:tr>
    </w:tbl>
    <w:p w14:paraId="44C055BE" w14:textId="5B8FCD8B" w:rsidR="00A328E0" w:rsidRPr="00281D11" w:rsidRDefault="00A328E0" w:rsidP="00281D11">
      <w:pPr>
        <w:pStyle w:val="Footer"/>
      </w:pPr>
      <w:r w:rsidRPr="00281D11">
        <w:t>Source: KPMG, 2024</w:t>
      </w:r>
      <w:r w:rsidR="00DD3E39" w:rsidRPr="00281D11">
        <w:t>.</w:t>
      </w:r>
    </w:p>
    <w:p w14:paraId="21DDAA57" w14:textId="3A49EE75" w:rsidR="006C0F5A" w:rsidRDefault="006C0F5A" w:rsidP="006C0F5A">
      <w:pPr>
        <w:pStyle w:val="Caption"/>
      </w:pPr>
      <w:r>
        <w:t xml:space="preserve">Table </w:t>
      </w:r>
      <w:r>
        <w:fldChar w:fldCharType="begin"/>
      </w:r>
      <w:r>
        <w:instrText xml:space="preserve"> SEQ Table \* ARABIC </w:instrText>
      </w:r>
      <w:r>
        <w:fldChar w:fldCharType="separate"/>
      </w:r>
      <w:r w:rsidR="005F7EBC">
        <w:rPr>
          <w:noProof/>
        </w:rPr>
        <w:t>66</w:t>
      </w:r>
      <w:r>
        <w:fldChar w:fldCharType="end"/>
      </w:r>
      <w:r>
        <w:t>: Registrar survey responses to the statement ‘</w:t>
      </w:r>
      <w:r w:rsidR="00DB74AF" w:rsidRPr="00DB74AF">
        <w:t>Administrative processes for TEAP (e.g. ALEX, College response times) are efficient and user-friendly</w:t>
      </w:r>
      <w:r>
        <w:t>’</w:t>
      </w:r>
      <w:r w:rsidRPr="00A43028">
        <w:t xml:space="preserve"> </w:t>
      </w:r>
      <w:r>
        <w:t>(n=60)</w:t>
      </w:r>
    </w:p>
    <w:tbl>
      <w:tblPr>
        <w:tblStyle w:val="TableGrid"/>
        <w:tblW w:w="0" w:type="auto"/>
        <w:tblLook w:val="04A0" w:firstRow="1" w:lastRow="0" w:firstColumn="1" w:lastColumn="0" w:noHBand="0" w:noVBand="1"/>
      </w:tblPr>
      <w:tblGrid>
        <w:gridCol w:w="4814"/>
        <w:gridCol w:w="4814"/>
      </w:tblGrid>
      <w:tr w:rsidR="006C0F5A" w14:paraId="3A4858CB"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4FDC914A" w14:textId="77777777" w:rsidR="006C0F5A" w:rsidRPr="001B2509" w:rsidRDefault="006C0F5A"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5BBE9AE0" w14:textId="77777777" w:rsidR="006C0F5A" w:rsidRPr="001B2509" w:rsidRDefault="006C0F5A" w:rsidP="001B2509">
            <w:r w:rsidRPr="001B2509">
              <w:t>Responses</w:t>
            </w:r>
          </w:p>
        </w:tc>
      </w:tr>
      <w:tr w:rsidR="006C0F5A" w14:paraId="282889B7"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04834049" w14:textId="77777777" w:rsidR="006C0F5A" w:rsidRPr="00504CB4" w:rsidRDefault="006C0F5A" w:rsidP="00504CB4">
            <w:r w:rsidRPr="00504CB4">
              <w:t>Strongly agree</w:t>
            </w:r>
          </w:p>
        </w:tc>
        <w:tc>
          <w:tcPr>
            <w:tcW w:w="0" w:type="dxa"/>
            <w:tcBorders>
              <w:bottom w:val="single" w:sz="4" w:space="0" w:color="000000"/>
            </w:tcBorders>
            <w:vAlign w:val="center"/>
          </w:tcPr>
          <w:p w14:paraId="3A45F082" w14:textId="2797F446" w:rsidR="006C0F5A" w:rsidRPr="00504CB4" w:rsidRDefault="00FB107E" w:rsidP="00504CB4">
            <w:r w:rsidRPr="00504CB4">
              <w:t>11 (18%)</w:t>
            </w:r>
          </w:p>
        </w:tc>
      </w:tr>
      <w:tr w:rsidR="006C0F5A" w14:paraId="0C6B8982" w14:textId="77777777" w:rsidTr="00DC27F5">
        <w:tc>
          <w:tcPr>
            <w:tcW w:w="0" w:type="dxa"/>
            <w:tcBorders>
              <w:top w:val="single" w:sz="4" w:space="0" w:color="000000"/>
              <w:bottom w:val="single" w:sz="4" w:space="0" w:color="000000"/>
            </w:tcBorders>
            <w:vAlign w:val="center"/>
          </w:tcPr>
          <w:p w14:paraId="3637E6D5" w14:textId="77777777" w:rsidR="006C0F5A" w:rsidRPr="00504CB4" w:rsidRDefault="006C0F5A" w:rsidP="00504CB4">
            <w:r w:rsidRPr="00504CB4">
              <w:t>Somewhat agree</w:t>
            </w:r>
          </w:p>
        </w:tc>
        <w:tc>
          <w:tcPr>
            <w:tcW w:w="0" w:type="dxa"/>
            <w:tcBorders>
              <w:top w:val="single" w:sz="4" w:space="0" w:color="000000"/>
              <w:bottom w:val="single" w:sz="4" w:space="0" w:color="000000"/>
            </w:tcBorders>
            <w:vAlign w:val="center"/>
          </w:tcPr>
          <w:p w14:paraId="199F3972" w14:textId="4B26A3DF" w:rsidR="006C0F5A" w:rsidRPr="00504CB4" w:rsidRDefault="00FB107E" w:rsidP="00504CB4">
            <w:r w:rsidRPr="00504CB4">
              <w:t>21 (35%)</w:t>
            </w:r>
          </w:p>
        </w:tc>
      </w:tr>
      <w:tr w:rsidR="006C0F5A" w14:paraId="00C1607C"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1486F175" w14:textId="77777777" w:rsidR="006C0F5A" w:rsidRPr="00504CB4" w:rsidRDefault="006C0F5A" w:rsidP="00504CB4">
            <w:r w:rsidRPr="00504CB4">
              <w:t>Neither agree nor disagree</w:t>
            </w:r>
          </w:p>
        </w:tc>
        <w:tc>
          <w:tcPr>
            <w:tcW w:w="0" w:type="dxa"/>
            <w:tcBorders>
              <w:top w:val="single" w:sz="4" w:space="0" w:color="000000"/>
              <w:bottom w:val="single" w:sz="4" w:space="0" w:color="000000"/>
            </w:tcBorders>
            <w:vAlign w:val="center"/>
          </w:tcPr>
          <w:p w14:paraId="17E9D5F2" w14:textId="06FD6EBD" w:rsidR="006C0F5A" w:rsidRPr="00504CB4" w:rsidRDefault="00FB107E" w:rsidP="00504CB4">
            <w:r w:rsidRPr="00504CB4">
              <w:t>10 (17%)</w:t>
            </w:r>
          </w:p>
        </w:tc>
      </w:tr>
      <w:tr w:rsidR="006C0F5A" w14:paraId="559FF6F4" w14:textId="77777777" w:rsidTr="00DC27F5">
        <w:tc>
          <w:tcPr>
            <w:tcW w:w="0" w:type="dxa"/>
            <w:tcBorders>
              <w:top w:val="single" w:sz="4" w:space="0" w:color="000000"/>
              <w:bottom w:val="single" w:sz="4" w:space="0" w:color="000000"/>
            </w:tcBorders>
            <w:vAlign w:val="center"/>
          </w:tcPr>
          <w:p w14:paraId="159F3809" w14:textId="77777777" w:rsidR="006C0F5A" w:rsidRPr="00504CB4" w:rsidRDefault="006C0F5A" w:rsidP="00504CB4">
            <w:r w:rsidRPr="00504CB4">
              <w:t>Somewhat disagree</w:t>
            </w:r>
          </w:p>
        </w:tc>
        <w:tc>
          <w:tcPr>
            <w:tcW w:w="0" w:type="dxa"/>
            <w:tcBorders>
              <w:top w:val="single" w:sz="4" w:space="0" w:color="000000"/>
              <w:bottom w:val="single" w:sz="4" w:space="0" w:color="000000"/>
            </w:tcBorders>
            <w:vAlign w:val="center"/>
          </w:tcPr>
          <w:p w14:paraId="18357396" w14:textId="2D264B53" w:rsidR="006C0F5A" w:rsidRPr="00504CB4" w:rsidRDefault="00FB107E" w:rsidP="00504CB4">
            <w:r w:rsidRPr="00504CB4">
              <w:t>12 (20%)</w:t>
            </w:r>
          </w:p>
        </w:tc>
      </w:tr>
      <w:tr w:rsidR="006C0F5A" w14:paraId="197E81C1"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74D1CC56" w14:textId="77777777" w:rsidR="006C0F5A" w:rsidRPr="00DC27F5" w:rsidRDefault="006C0F5A" w:rsidP="000C3C73">
            <w:pPr>
              <w:spacing w:before="0" w:after="0"/>
              <w:rPr>
                <w:rFonts w:cs="Arial"/>
                <w:szCs w:val="20"/>
              </w:rPr>
            </w:pPr>
            <w:r w:rsidRPr="00E5604D">
              <w:rPr>
                <w:rFonts w:cs="Arial"/>
                <w:szCs w:val="20"/>
              </w:rPr>
              <w:t>Strongly disagree</w:t>
            </w:r>
          </w:p>
        </w:tc>
        <w:tc>
          <w:tcPr>
            <w:tcW w:w="0" w:type="dxa"/>
            <w:tcBorders>
              <w:top w:val="single" w:sz="4" w:space="0" w:color="000000"/>
              <w:bottom w:val="single" w:sz="4" w:space="0" w:color="000000"/>
            </w:tcBorders>
            <w:vAlign w:val="center"/>
          </w:tcPr>
          <w:p w14:paraId="2F98F1BC" w14:textId="2B22001B" w:rsidR="006C0F5A" w:rsidRPr="00DC27F5" w:rsidRDefault="00FB107E" w:rsidP="000C3C73">
            <w:pPr>
              <w:pStyle w:val="BodyText"/>
              <w:rPr>
                <w:rFonts w:cs="Arial"/>
                <w:szCs w:val="20"/>
              </w:rPr>
            </w:pPr>
            <w:r w:rsidRPr="00DC27F5">
              <w:rPr>
                <w:rFonts w:cs="Arial"/>
                <w:szCs w:val="20"/>
              </w:rPr>
              <w:t>6 (10%)</w:t>
            </w:r>
          </w:p>
        </w:tc>
      </w:tr>
    </w:tbl>
    <w:p w14:paraId="25449564" w14:textId="321ACBCD" w:rsidR="006C0F5A" w:rsidRPr="00281D11" w:rsidRDefault="006C0F5A" w:rsidP="00281D11">
      <w:pPr>
        <w:pStyle w:val="Footer"/>
      </w:pPr>
      <w:r w:rsidRPr="00281D11">
        <w:t>Source: KPMG, 2024</w:t>
      </w:r>
      <w:r w:rsidR="00DD3E39" w:rsidRPr="00281D11">
        <w:t>.</w:t>
      </w:r>
    </w:p>
    <w:p w14:paraId="46F7E997" w14:textId="5EDF6D3A" w:rsidR="00FB107E" w:rsidRDefault="00FB107E" w:rsidP="00FB107E">
      <w:pPr>
        <w:pStyle w:val="Caption"/>
      </w:pPr>
      <w:r>
        <w:t xml:space="preserve">Table </w:t>
      </w:r>
      <w:r>
        <w:fldChar w:fldCharType="begin"/>
      </w:r>
      <w:r>
        <w:instrText xml:space="preserve"> SEQ Table \* ARABIC </w:instrText>
      </w:r>
      <w:r>
        <w:fldChar w:fldCharType="separate"/>
      </w:r>
      <w:r w:rsidR="005F7EBC">
        <w:rPr>
          <w:noProof/>
        </w:rPr>
        <w:t>67</w:t>
      </w:r>
      <w:r>
        <w:fldChar w:fldCharType="end"/>
      </w:r>
      <w:r>
        <w:t>: Registrar survey responses to the statement ‘</w:t>
      </w:r>
      <w:r w:rsidR="00450986" w:rsidRPr="00450986">
        <w:t>The training and education I am receiving is having a positive impact on the quality of my work</w:t>
      </w:r>
      <w:r>
        <w:t>’</w:t>
      </w:r>
      <w:r w:rsidRPr="00A43028">
        <w:t xml:space="preserve"> </w:t>
      </w:r>
      <w:r>
        <w:t>(n=</w:t>
      </w:r>
      <w:r w:rsidR="006A3A56">
        <w:t>58</w:t>
      </w:r>
      <w:r>
        <w:t>)</w:t>
      </w:r>
    </w:p>
    <w:tbl>
      <w:tblPr>
        <w:tblStyle w:val="TableGrid"/>
        <w:tblW w:w="0" w:type="auto"/>
        <w:tblLook w:val="04A0" w:firstRow="1" w:lastRow="0" w:firstColumn="1" w:lastColumn="0" w:noHBand="0" w:noVBand="1"/>
      </w:tblPr>
      <w:tblGrid>
        <w:gridCol w:w="4814"/>
        <w:gridCol w:w="4814"/>
      </w:tblGrid>
      <w:tr w:rsidR="00FB107E" w14:paraId="461053DC" w14:textId="77777777" w:rsidTr="00BB3E42">
        <w:trPr>
          <w:cnfStyle w:val="100000000000" w:firstRow="1" w:lastRow="0" w:firstColumn="0" w:lastColumn="0" w:oddVBand="0" w:evenVBand="0" w:oddHBand="0" w:evenHBand="0" w:firstRowFirstColumn="0" w:firstRowLastColumn="0" w:lastRowFirstColumn="0" w:lastRowLastColumn="0"/>
          <w:tblHeader/>
        </w:trPr>
        <w:tc>
          <w:tcPr>
            <w:tcW w:w="4814" w:type="dxa"/>
            <w:tcBorders>
              <w:top w:val="single" w:sz="4" w:space="0" w:color="00338D" w:themeColor="accent1"/>
              <w:left w:val="single" w:sz="4" w:space="0" w:color="00338D" w:themeColor="accent1"/>
              <w:right w:val="single" w:sz="4" w:space="0" w:color="00338D" w:themeColor="accent1"/>
            </w:tcBorders>
          </w:tcPr>
          <w:p w14:paraId="2FC911D6" w14:textId="77777777" w:rsidR="00FB107E" w:rsidRPr="001B2509" w:rsidRDefault="00FB107E"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4FBDF943" w14:textId="77777777" w:rsidR="00FB107E" w:rsidRPr="001B2509" w:rsidRDefault="00FB107E" w:rsidP="001B2509">
            <w:r w:rsidRPr="001B2509">
              <w:t>Responses</w:t>
            </w:r>
          </w:p>
        </w:tc>
      </w:tr>
      <w:tr w:rsidR="00FB107E" w14:paraId="38EAAB41"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7B6DF490" w14:textId="77777777" w:rsidR="00FB107E" w:rsidRPr="00504CB4" w:rsidRDefault="00FB107E" w:rsidP="00504CB4">
            <w:r w:rsidRPr="00504CB4">
              <w:t>Strongly agree</w:t>
            </w:r>
          </w:p>
        </w:tc>
        <w:tc>
          <w:tcPr>
            <w:tcW w:w="0" w:type="dxa"/>
            <w:tcBorders>
              <w:bottom w:val="single" w:sz="4" w:space="0" w:color="000000"/>
            </w:tcBorders>
            <w:vAlign w:val="center"/>
          </w:tcPr>
          <w:p w14:paraId="444C29C1" w14:textId="3206C179" w:rsidR="00FB107E" w:rsidRPr="00504CB4" w:rsidRDefault="00EC1084" w:rsidP="00504CB4">
            <w:r w:rsidRPr="00504CB4">
              <w:t>32 (55%)</w:t>
            </w:r>
          </w:p>
        </w:tc>
      </w:tr>
      <w:tr w:rsidR="00FB107E" w14:paraId="2C9E732E" w14:textId="77777777" w:rsidTr="00DC27F5">
        <w:tc>
          <w:tcPr>
            <w:tcW w:w="0" w:type="dxa"/>
            <w:tcBorders>
              <w:top w:val="single" w:sz="4" w:space="0" w:color="000000"/>
              <w:bottom w:val="single" w:sz="4" w:space="0" w:color="000000"/>
            </w:tcBorders>
            <w:vAlign w:val="center"/>
          </w:tcPr>
          <w:p w14:paraId="1DB8A3CC" w14:textId="77777777" w:rsidR="00FB107E" w:rsidRPr="00504CB4" w:rsidRDefault="00FB107E" w:rsidP="00504CB4">
            <w:r w:rsidRPr="00504CB4">
              <w:t>Somewhat agree</w:t>
            </w:r>
          </w:p>
        </w:tc>
        <w:tc>
          <w:tcPr>
            <w:tcW w:w="0" w:type="dxa"/>
            <w:tcBorders>
              <w:top w:val="single" w:sz="4" w:space="0" w:color="000000"/>
              <w:bottom w:val="single" w:sz="4" w:space="0" w:color="000000"/>
            </w:tcBorders>
            <w:vAlign w:val="center"/>
          </w:tcPr>
          <w:p w14:paraId="4F709204" w14:textId="6868A4E0" w:rsidR="00FB107E" w:rsidRPr="00504CB4" w:rsidRDefault="00EC1084" w:rsidP="00504CB4">
            <w:r w:rsidRPr="00504CB4">
              <w:t>21 (36%)</w:t>
            </w:r>
          </w:p>
        </w:tc>
      </w:tr>
      <w:tr w:rsidR="00FB107E" w14:paraId="12BAFAB2"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55B56960" w14:textId="77777777" w:rsidR="00FB107E" w:rsidRPr="00504CB4" w:rsidRDefault="00FB107E" w:rsidP="00504CB4">
            <w:r w:rsidRPr="00504CB4">
              <w:t>Neither agree nor disagree</w:t>
            </w:r>
          </w:p>
        </w:tc>
        <w:tc>
          <w:tcPr>
            <w:tcW w:w="0" w:type="dxa"/>
            <w:tcBorders>
              <w:top w:val="single" w:sz="4" w:space="0" w:color="000000"/>
              <w:bottom w:val="single" w:sz="4" w:space="0" w:color="000000"/>
            </w:tcBorders>
            <w:vAlign w:val="center"/>
          </w:tcPr>
          <w:p w14:paraId="2B987486" w14:textId="05A437BE" w:rsidR="00FB107E" w:rsidRPr="00504CB4" w:rsidRDefault="00EC1084" w:rsidP="00504CB4">
            <w:r w:rsidRPr="00504CB4">
              <w:t>1 (2%)</w:t>
            </w:r>
          </w:p>
        </w:tc>
      </w:tr>
      <w:tr w:rsidR="00FB107E" w14:paraId="411FDFB8" w14:textId="77777777" w:rsidTr="00DC27F5">
        <w:tc>
          <w:tcPr>
            <w:tcW w:w="0" w:type="dxa"/>
            <w:tcBorders>
              <w:top w:val="single" w:sz="4" w:space="0" w:color="000000"/>
              <w:bottom w:val="single" w:sz="4" w:space="0" w:color="000000"/>
            </w:tcBorders>
            <w:vAlign w:val="center"/>
          </w:tcPr>
          <w:p w14:paraId="2A30331E" w14:textId="77777777" w:rsidR="00FB107E" w:rsidRPr="00504CB4" w:rsidRDefault="00FB107E" w:rsidP="00504CB4">
            <w:r w:rsidRPr="00504CB4">
              <w:t>Somewhat disagree</w:t>
            </w:r>
          </w:p>
        </w:tc>
        <w:tc>
          <w:tcPr>
            <w:tcW w:w="0" w:type="dxa"/>
            <w:tcBorders>
              <w:top w:val="single" w:sz="4" w:space="0" w:color="000000"/>
              <w:bottom w:val="single" w:sz="4" w:space="0" w:color="000000"/>
            </w:tcBorders>
            <w:vAlign w:val="center"/>
          </w:tcPr>
          <w:p w14:paraId="1625BF12" w14:textId="1EC9F4AD" w:rsidR="00FB107E" w:rsidRPr="00504CB4" w:rsidRDefault="00EC1084" w:rsidP="00504CB4">
            <w:r w:rsidRPr="00504CB4">
              <w:t>2 (3%)</w:t>
            </w:r>
          </w:p>
        </w:tc>
      </w:tr>
      <w:tr w:rsidR="00FB107E" w14:paraId="3676361E"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7ED668F0" w14:textId="77777777" w:rsidR="00FB107E" w:rsidRPr="00504CB4" w:rsidRDefault="00FB107E" w:rsidP="00504CB4">
            <w:r w:rsidRPr="00504CB4">
              <w:t>Strongly disagree</w:t>
            </w:r>
          </w:p>
        </w:tc>
        <w:tc>
          <w:tcPr>
            <w:tcW w:w="0" w:type="dxa"/>
            <w:tcBorders>
              <w:top w:val="single" w:sz="4" w:space="0" w:color="000000"/>
              <w:bottom w:val="single" w:sz="4" w:space="0" w:color="000000"/>
            </w:tcBorders>
            <w:vAlign w:val="center"/>
          </w:tcPr>
          <w:p w14:paraId="0284A9E4" w14:textId="357548F1" w:rsidR="00FB107E" w:rsidRPr="00504CB4" w:rsidRDefault="00EC1084" w:rsidP="00504CB4">
            <w:r w:rsidRPr="00504CB4">
              <w:t>2 (3%)</w:t>
            </w:r>
          </w:p>
        </w:tc>
      </w:tr>
    </w:tbl>
    <w:p w14:paraId="101F7524" w14:textId="20669196" w:rsidR="006C0F5A" w:rsidRPr="00281D11" w:rsidRDefault="00FB107E" w:rsidP="00281D11">
      <w:pPr>
        <w:pStyle w:val="Footer"/>
      </w:pPr>
      <w:r w:rsidRPr="00281D11">
        <w:t>Source: KPMG, 2024</w:t>
      </w:r>
      <w:r w:rsidR="00DD3E39" w:rsidRPr="00281D11">
        <w:t>.</w:t>
      </w:r>
    </w:p>
    <w:p w14:paraId="1FB6E85E" w14:textId="2CEA6910" w:rsidR="00EC1084" w:rsidRDefault="00EC1084" w:rsidP="00EC1084">
      <w:pPr>
        <w:pStyle w:val="Caption"/>
      </w:pPr>
      <w:r>
        <w:t xml:space="preserve">Table </w:t>
      </w:r>
      <w:r>
        <w:fldChar w:fldCharType="begin"/>
      </w:r>
      <w:r>
        <w:instrText xml:space="preserve"> SEQ Table \* ARABIC </w:instrText>
      </w:r>
      <w:r>
        <w:fldChar w:fldCharType="separate"/>
      </w:r>
      <w:r w:rsidR="005F7EBC">
        <w:rPr>
          <w:noProof/>
        </w:rPr>
        <w:t>68</w:t>
      </w:r>
      <w:r>
        <w:fldChar w:fldCharType="end"/>
      </w:r>
      <w:r>
        <w:t xml:space="preserve">: </w:t>
      </w:r>
      <w:r w:rsidR="00E84DBB">
        <w:t xml:space="preserve">Current </w:t>
      </w:r>
      <w:r>
        <w:t>Registrar survey responses to the statement ‘</w:t>
      </w:r>
      <w:r w:rsidR="00D63621" w:rsidRPr="00D63621">
        <w:t>I am considering or would consider a career in regional, rural or remote communities</w:t>
      </w:r>
      <w:r>
        <w:t>’</w:t>
      </w:r>
      <w:r w:rsidRPr="00A43028">
        <w:t xml:space="preserve"> </w:t>
      </w:r>
      <w:r>
        <w:t>(n=</w:t>
      </w:r>
      <w:r w:rsidR="004E1238">
        <w:t>26</w:t>
      </w:r>
      <w:r>
        <w:t>)</w:t>
      </w:r>
    </w:p>
    <w:tbl>
      <w:tblPr>
        <w:tblStyle w:val="TableGrid"/>
        <w:tblW w:w="0" w:type="auto"/>
        <w:tblLook w:val="04A0" w:firstRow="1" w:lastRow="0" w:firstColumn="1" w:lastColumn="0" w:noHBand="0" w:noVBand="1"/>
      </w:tblPr>
      <w:tblGrid>
        <w:gridCol w:w="4814"/>
        <w:gridCol w:w="4814"/>
      </w:tblGrid>
      <w:tr w:rsidR="00EC1084" w14:paraId="2E4EF1F7"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46FD29FA" w14:textId="77777777" w:rsidR="00EC1084" w:rsidRPr="001B2509" w:rsidRDefault="00EC1084"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79402EC3" w14:textId="77777777" w:rsidR="00EC1084" w:rsidRPr="001B2509" w:rsidRDefault="00EC1084" w:rsidP="001B2509">
            <w:r w:rsidRPr="001B2509">
              <w:t>Responses</w:t>
            </w:r>
          </w:p>
        </w:tc>
      </w:tr>
      <w:tr w:rsidR="0032108F" w14:paraId="4FB68A81"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25A565C7" w14:textId="77777777" w:rsidR="0032108F" w:rsidRPr="00504CB4" w:rsidRDefault="0032108F" w:rsidP="00504CB4">
            <w:r w:rsidRPr="00504CB4">
              <w:t>Strongly agree</w:t>
            </w:r>
          </w:p>
        </w:tc>
        <w:tc>
          <w:tcPr>
            <w:tcW w:w="0" w:type="dxa"/>
            <w:tcBorders>
              <w:bottom w:val="single" w:sz="4" w:space="0" w:color="000000"/>
            </w:tcBorders>
            <w:vAlign w:val="center"/>
          </w:tcPr>
          <w:p w14:paraId="553E3CFD" w14:textId="5F5F7A98" w:rsidR="0032108F" w:rsidRPr="00504CB4" w:rsidRDefault="0032108F" w:rsidP="00504CB4">
            <w:r w:rsidRPr="00504CB4">
              <w:t>3</w:t>
            </w:r>
            <w:r w:rsidR="00145F24" w:rsidRPr="00504CB4">
              <w:t xml:space="preserve"> (12%)</w:t>
            </w:r>
          </w:p>
        </w:tc>
      </w:tr>
      <w:tr w:rsidR="0032108F" w14:paraId="196E1C29" w14:textId="77777777" w:rsidTr="00DC27F5">
        <w:tc>
          <w:tcPr>
            <w:tcW w:w="0" w:type="dxa"/>
            <w:tcBorders>
              <w:top w:val="single" w:sz="4" w:space="0" w:color="000000"/>
              <w:bottom w:val="single" w:sz="4" w:space="0" w:color="000000"/>
            </w:tcBorders>
            <w:vAlign w:val="center"/>
          </w:tcPr>
          <w:p w14:paraId="28EC537A" w14:textId="77777777" w:rsidR="0032108F" w:rsidRPr="00504CB4" w:rsidRDefault="0032108F" w:rsidP="00504CB4">
            <w:r w:rsidRPr="00504CB4">
              <w:t>Somewhat agree</w:t>
            </w:r>
          </w:p>
        </w:tc>
        <w:tc>
          <w:tcPr>
            <w:tcW w:w="0" w:type="dxa"/>
            <w:tcBorders>
              <w:top w:val="single" w:sz="4" w:space="0" w:color="000000"/>
              <w:bottom w:val="single" w:sz="4" w:space="0" w:color="000000"/>
            </w:tcBorders>
            <w:vAlign w:val="center"/>
          </w:tcPr>
          <w:p w14:paraId="0D4B3648" w14:textId="451083B4" w:rsidR="0032108F" w:rsidRPr="00504CB4" w:rsidRDefault="0032108F" w:rsidP="00504CB4">
            <w:r w:rsidRPr="00504CB4">
              <w:t>5</w:t>
            </w:r>
            <w:r w:rsidR="00145F24" w:rsidRPr="00504CB4">
              <w:t xml:space="preserve"> (19%)</w:t>
            </w:r>
          </w:p>
        </w:tc>
      </w:tr>
      <w:tr w:rsidR="0032108F" w14:paraId="5086872F"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303B069F" w14:textId="77777777" w:rsidR="0032108F" w:rsidRPr="00504CB4" w:rsidRDefault="0032108F" w:rsidP="00504CB4">
            <w:r w:rsidRPr="00504CB4">
              <w:t>Neither agree nor disagree</w:t>
            </w:r>
          </w:p>
        </w:tc>
        <w:tc>
          <w:tcPr>
            <w:tcW w:w="0" w:type="dxa"/>
            <w:tcBorders>
              <w:top w:val="single" w:sz="4" w:space="0" w:color="000000"/>
              <w:bottom w:val="single" w:sz="4" w:space="0" w:color="000000"/>
            </w:tcBorders>
            <w:vAlign w:val="center"/>
          </w:tcPr>
          <w:p w14:paraId="6379BE4D" w14:textId="3F064427" w:rsidR="0032108F" w:rsidRPr="00504CB4" w:rsidRDefault="0032108F" w:rsidP="00504CB4">
            <w:r w:rsidRPr="00504CB4">
              <w:t>3</w:t>
            </w:r>
            <w:r w:rsidR="00145F24" w:rsidRPr="00504CB4">
              <w:t xml:space="preserve"> (12%)</w:t>
            </w:r>
          </w:p>
        </w:tc>
      </w:tr>
      <w:tr w:rsidR="0032108F" w14:paraId="6EC29C25" w14:textId="77777777" w:rsidTr="00DC27F5">
        <w:tc>
          <w:tcPr>
            <w:tcW w:w="0" w:type="dxa"/>
            <w:tcBorders>
              <w:top w:val="single" w:sz="4" w:space="0" w:color="000000"/>
              <w:bottom w:val="single" w:sz="4" w:space="0" w:color="000000"/>
            </w:tcBorders>
            <w:vAlign w:val="center"/>
          </w:tcPr>
          <w:p w14:paraId="53FCEF8A" w14:textId="77777777" w:rsidR="0032108F" w:rsidRPr="00504CB4" w:rsidRDefault="0032108F" w:rsidP="00504CB4">
            <w:r w:rsidRPr="00504CB4">
              <w:t>Somewhat disagree</w:t>
            </w:r>
          </w:p>
        </w:tc>
        <w:tc>
          <w:tcPr>
            <w:tcW w:w="0" w:type="dxa"/>
            <w:tcBorders>
              <w:top w:val="single" w:sz="4" w:space="0" w:color="000000"/>
              <w:bottom w:val="single" w:sz="4" w:space="0" w:color="000000"/>
            </w:tcBorders>
            <w:vAlign w:val="center"/>
          </w:tcPr>
          <w:p w14:paraId="297E5654" w14:textId="2E163006" w:rsidR="0032108F" w:rsidRPr="00504CB4" w:rsidRDefault="0032108F" w:rsidP="00504CB4">
            <w:r w:rsidRPr="00504CB4">
              <w:t>10</w:t>
            </w:r>
            <w:r w:rsidR="00145F24" w:rsidRPr="00504CB4">
              <w:t xml:space="preserve"> (38%)</w:t>
            </w:r>
          </w:p>
        </w:tc>
      </w:tr>
      <w:tr w:rsidR="0032108F" w14:paraId="6FC579F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3AED2A28" w14:textId="77777777" w:rsidR="0032108F" w:rsidRPr="00504CB4" w:rsidRDefault="0032108F" w:rsidP="00504CB4">
            <w:r w:rsidRPr="00504CB4">
              <w:t>Strongly disagree</w:t>
            </w:r>
          </w:p>
        </w:tc>
        <w:tc>
          <w:tcPr>
            <w:tcW w:w="0" w:type="dxa"/>
            <w:tcBorders>
              <w:top w:val="single" w:sz="4" w:space="0" w:color="000000"/>
              <w:bottom w:val="single" w:sz="4" w:space="0" w:color="000000"/>
            </w:tcBorders>
            <w:vAlign w:val="center"/>
          </w:tcPr>
          <w:p w14:paraId="37771DF8" w14:textId="3559B8D6" w:rsidR="0032108F" w:rsidRPr="00504CB4" w:rsidRDefault="0032108F" w:rsidP="00504CB4">
            <w:r w:rsidRPr="00504CB4">
              <w:t>5</w:t>
            </w:r>
            <w:r w:rsidR="00145F24" w:rsidRPr="00504CB4">
              <w:t xml:space="preserve"> (19%)</w:t>
            </w:r>
          </w:p>
        </w:tc>
      </w:tr>
    </w:tbl>
    <w:p w14:paraId="182A0963" w14:textId="493564BD" w:rsidR="00EC1084" w:rsidRPr="00281D11" w:rsidRDefault="00EC1084" w:rsidP="00281D11">
      <w:pPr>
        <w:pStyle w:val="Footer"/>
      </w:pPr>
      <w:r w:rsidRPr="00281D11">
        <w:t>Source: KPMG, 2024</w:t>
      </w:r>
      <w:r w:rsidR="00DD3E39" w:rsidRPr="00281D11">
        <w:t>.</w:t>
      </w:r>
    </w:p>
    <w:p w14:paraId="014FB788" w14:textId="1617B2DD" w:rsidR="00145F24" w:rsidRDefault="00145F24" w:rsidP="00145F24">
      <w:pPr>
        <w:pStyle w:val="Caption"/>
      </w:pPr>
      <w:r>
        <w:t xml:space="preserve">Table </w:t>
      </w:r>
      <w:r>
        <w:fldChar w:fldCharType="begin"/>
      </w:r>
      <w:r>
        <w:instrText xml:space="preserve"> SEQ Table \* ARABIC </w:instrText>
      </w:r>
      <w:r>
        <w:fldChar w:fldCharType="separate"/>
      </w:r>
      <w:r w:rsidR="005F7EBC">
        <w:rPr>
          <w:noProof/>
        </w:rPr>
        <w:t>69</w:t>
      </w:r>
      <w:r>
        <w:fldChar w:fldCharType="end"/>
      </w:r>
      <w:r>
        <w:t xml:space="preserve">: Current Registrar survey responses to the </w:t>
      </w:r>
      <w:r w:rsidR="00E651F7">
        <w:t>question</w:t>
      </w:r>
      <w:r>
        <w:t xml:space="preserve"> ‘</w:t>
      </w:r>
      <w:r w:rsidR="00E651F7" w:rsidRPr="00E651F7">
        <w:t>Overall, how would you rate your satisfaction with the program?</w:t>
      </w:r>
      <w:r>
        <w:t>’</w:t>
      </w:r>
      <w:r w:rsidRPr="00A43028">
        <w:t xml:space="preserve"> </w:t>
      </w:r>
      <w:r>
        <w:t>(n=5</w:t>
      </w:r>
      <w:r w:rsidR="008A5F91">
        <w:t>7</w:t>
      </w:r>
      <w:r>
        <w:t>)</w:t>
      </w:r>
    </w:p>
    <w:tbl>
      <w:tblPr>
        <w:tblStyle w:val="TableGrid"/>
        <w:tblW w:w="0" w:type="auto"/>
        <w:tblLook w:val="04A0" w:firstRow="1" w:lastRow="0" w:firstColumn="1" w:lastColumn="0" w:noHBand="0" w:noVBand="1"/>
      </w:tblPr>
      <w:tblGrid>
        <w:gridCol w:w="4814"/>
        <w:gridCol w:w="4814"/>
      </w:tblGrid>
      <w:tr w:rsidR="00145F24" w14:paraId="3A3D366D" w14:textId="77777777">
        <w:trPr>
          <w:cnfStyle w:val="100000000000" w:firstRow="1" w:lastRow="0" w:firstColumn="0" w:lastColumn="0" w:oddVBand="0" w:evenVBand="0" w:oddHBand="0" w:evenHBand="0" w:firstRowFirstColumn="0" w:firstRowLastColumn="0" w:lastRowFirstColumn="0" w:lastRowLastColumn="0"/>
        </w:trPr>
        <w:tc>
          <w:tcPr>
            <w:tcW w:w="4814" w:type="dxa"/>
            <w:tcBorders>
              <w:top w:val="single" w:sz="4" w:space="0" w:color="00338D" w:themeColor="accent1"/>
              <w:left w:val="single" w:sz="4" w:space="0" w:color="00338D" w:themeColor="accent1"/>
              <w:right w:val="single" w:sz="4" w:space="0" w:color="00338D" w:themeColor="accent1"/>
            </w:tcBorders>
          </w:tcPr>
          <w:p w14:paraId="6A408EC1" w14:textId="77777777" w:rsidR="00145F24" w:rsidRPr="001B2509" w:rsidRDefault="00145F24" w:rsidP="001B2509">
            <w:r w:rsidRPr="001B2509">
              <w:t>Category</w:t>
            </w:r>
          </w:p>
        </w:tc>
        <w:tc>
          <w:tcPr>
            <w:tcW w:w="4814" w:type="dxa"/>
            <w:tcBorders>
              <w:top w:val="single" w:sz="4" w:space="0" w:color="00338D" w:themeColor="accent1"/>
              <w:left w:val="single" w:sz="4" w:space="0" w:color="00338D" w:themeColor="accent1"/>
              <w:right w:val="single" w:sz="4" w:space="0" w:color="00338D" w:themeColor="accent1"/>
            </w:tcBorders>
          </w:tcPr>
          <w:p w14:paraId="49B184B7" w14:textId="77777777" w:rsidR="00145F24" w:rsidRPr="001B2509" w:rsidRDefault="00145F24" w:rsidP="001B2509">
            <w:r w:rsidRPr="001B2509">
              <w:t>Responses</w:t>
            </w:r>
          </w:p>
        </w:tc>
      </w:tr>
      <w:tr w:rsidR="00075714" w14:paraId="0D0524A9"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bottom w:val="single" w:sz="4" w:space="0" w:color="000000"/>
            </w:tcBorders>
            <w:vAlign w:val="center"/>
          </w:tcPr>
          <w:p w14:paraId="595DB42F" w14:textId="449E28BC" w:rsidR="00075714" w:rsidRPr="00504CB4" w:rsidRDefault="00075714" w:rsidP="00504CB4">
            <w:r w:rsidRPr="00504CB4">
              <w:t>Very satisfied</w:t>
            </w:r>
          </w:p>
        </w:tc>
        <w:tc>
          <w:tcPr>
            <w:tcW w:w="0" w:type="dxa"/>
            <w:tcBorders>
              <w:bottom w:val="single" w:sz="4" w:space="0" w:color="000000"/>
            </w:tcBorders>
            <w:vAlign w:val="center"/>
          </w:tcPr>
          <w:p w14:paraId="7AD65EF0" w14:textId="76A61614" w:rsidR="00075714" w:rsidRPr="00504CB4" w:rsidRDefault="00075714" w:rsidP="00504CB4">
            <w:r w:rsidRPr="00504CB4">
              <w:t>24 (42%)</w:t>
            </w:r>
          </w:p>
        </w:tc>
      </w:tr>
      <w:tr w:rsidR="00075714" w14:paraId="3F935239" w14:textId="77777777" w:rsidTr="00DC27F5">
        <w:tc>
          <w:tcPr>
            <w:tcW w:w="0" w:type="dxa"/>
            <w:tcBorders>
              <w:top w:val="single" w:sz="4" w:space="0" w:color="000000"/>
              <w:bottom w:val="single" w:sz="4" w:space="0" w:color="000000"/>
            </w:tcBorders>
            <w:vAlign w:val="center"/>
          </w:tcPr>
          <w:p w14:paraId="195C2A75" w14:textId="0C647CF3" w:rsidR="00075714" w:rsidRPr="00504CB4" w:rsidRDefault="00075714" w:rsidP="00504CB4">
            <w:r w:rsidRPr="00504CB4">
              <w:t>Somewhat satisfied</w:t>
            </w:r>
          </w:p>
        </w:tc>
        <w:tc>
          <w:tcPr>
            <w:tcW w:w="0" w:type="dxa"/>
            <w:tcBorders>
              <w:top w:val="single" w:sz="4" w:space="0" w:color="000000"/>
              <w:bottom w:val="single" w:sz="4" w:space="0" w:color="000000"/>
            </w:tcBorders>
            <w:vAlign w:val="center"/>
          </w:tcPr>
          <w:p w14:paraId="7FD593C8" w14:textId="7FD25CF6" w:rsidR="00075714" w:rsidRPr="00504CB4" w:rsidRDefault="00075714" w:rsidP="00504CB4">
            <w:r w:rsidRPr="00504CB4">
              <w:t>25 (44%)</w:t>
            </w:r>
          </w:p>
        </w:tc>
      </w:tr>
      <w:tr w:rsidR="00075714" w14:paraId="1F4B5FE3"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11C62436" w14:textId="35985015" w:rsidR="00075714" w:rsidRPr="00504CB4" w:rsidRDefault="00075714" w:rsidP="00504CB4">
            <w:r w:rsidRPr="00504CB4">
              <w:t>Neither satisfied nor dissatisfied</w:t>
            </w:r>
          </w:p>
        </w:tc>
        <w:tc>
          <w:tcPr>
            <w:tcW w:w="0" w:type="dxa"/>
            <w:tcBorders>
              <w:top w:val="single" w:sz="4" w:space="0" w:color="000000"/>
              <w:bottom w:val="single" w:sz="4" w:space="0" w:color="000000"/>
            </w:tcBorders>
            <w:vAlign w:val="center"/>
          </w:tcPr>
          <w:p w14:paraId="7967D460" w14:textId="43D1BAA7" w:rsidR="00075714" w:rsidRPr="00504CB4" w:rsidRDefault="00075714" w:rsidP="00504CB4">
            <w:r w:rsidRPr="00504CB4">
              <w:t>4 (7%)</w:t>
            </w:r>
          </w:p>
        </w:tc>
      </w:tr>
      <w:tr w:rsidR="00075714" w14:paraId="7252356A" w14:textId="77777777" w:rsidTr="00DC27F5">
        <w:tc>
          <w:tcPr>
            <w:tcW w:w="0" w:type="dxa"/>
            <w:tcBorders>
              <w:top w:val="single" w:sz="4" w:space="0" w:color="000000"/>
              <w:bottom w:val="single" w:sz="4" w:space="0" w:color="000000"/>
            </w:tcBorders>
            <w:vAlign w:val="center"/>
          </w:tcPr>
          <w:p w14:paraId="29AA486E" w14:textId="036582CA" w:rsidR="00075714" w:rsidRPr="00504CB4" w:rsidRDefault="00075714" w:rsidP="00504CB4">
            <w:r w:rsidRPr="00504CB4">
              <w:t>Somewhat dissatisfied</w:t>
            </w:r>
          </w:p>
        </w:tc>
        <w:tc>
          <w:tcPr>
            <w:tcW w:w="0" w:type="dxa"/>
            <w:tcBorders>
              <w:top w:val="single" w:sz="4" w:space="0" w:color="000000"/>
              <w:bottom w:val="single" w:sz="4" w:space="0" w:color="000000"/>
            </w:tcBorders>
            <w:vAlign w:val="center"/>
          </w:tcPr>
          <w:p w14:paraId="04A969F3" w14:textId="2CA2FBA9" w:rsidR="00075714" w:rsidRPr="00504CB4" w:rsidRDefault="00075714" w:rsidP="00504CB4">
            <w:r w:rsidRPr="00504CB4">
              <w:t>2 (4%)</w:t>
            </w:r>
          </w:p>
        </w:tc>
      </w:tr>
      <w:tr w:rsidR="00075714" w14:paraId="1BF28D48" w14:textId="77777777" w:rsidTr="00DC27F5">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bottom w:val="single" w:sz="4" w:space="0" w:color="000000"/>
            </w:tcBorders>
            <w:vAlign w:val="center"/>
          </w:tcPr>
          <w:p w14:paraId="56D80ECE" w14:textId="7238EB42" w:rsidR="00075714" w:rsidRPr="00504CB4" w:rsidRDefault="00075714" w:rsidP="00504CB4">
            <w:r w:rsidRPr="00504CB4">
              <w:t>Very dissatisfied</w:t>
            </w:r>
          </w:p>
        </w:tc>
        <w:tc>
          <w:tcPr>
            <w:tcW w:w="0" w:type="dxa"/>
            <w:tcBorders>
              <w:top w:val="single" w:sz="4" w:space="0" w:color="000000"/>
              <w:bottom w:val="single" w:sz="4" w:space="0" w:color="000000"/>
            </w:tcBorders>
            <w:vAlign w:val="center"/>
          </w:tcPr>
          <w:p w14:paraId="39BCD2DF" w14:textId="6A548395" w:rsidR="00075714" w:rsidRPr="00504CB4" w:rsidRDefault="00075714" w:rsidP="00504CB4">
            <w:r w:rsidRPr="00504CB4">
              <w:t>2 (4%)</w:t>
            </w:r>
          </w:p>
        </w:tc>
      </w:tr>
    </w:tbl>
    <w:p w14:paraId="21AFFAA2" w14:textId="09644073" w:rsidR="0055657D" w:rsidRPr="00281D11" w:rsidRDefault="00145F24" w:rsidP="00281D11">
      <w:pPr>
        <w:pStyle w:val="Footer"/>
      </w:pPr>
      <w:r w:rsidRPr="00281D11">
        <w:t>Source: KPMG, 2024</w:t>
      </w:r>
      <w:r w:rsidR="00DD3E39" w:rsidRPr="00281D11">
        <w:t>.</w:t>
      </w:r>
    </w:p>
    <w:p w14:paraId="5CD6DC5B" w14:textId="77777777" w:rsidR="0055657D" w:rsidRPr="0055657D" w:rsidRDefault="0055657D" w:rsidP="0055657D">
      <w:pPr>
        <w:pStyle w:val="BodyText"/>
        <w:rPr>
          <w:lang w:eastAsia="en-AU"/>
        </w:rPr>
      </w:pPr>
    </w:p>
    <w:p w14:paraId="1207BCA5" w14:textId="395F139C" w:rsidR="0055657D" w:rsidRPr="0055657D" w:rsidRDefault="0055657D" w:rsidP="0055657D">
      <w:pPr>
        <w:pStyle w:val="BodyText"/>
        <w:rPr>
          <w:lang w:eastAsia="en-AU"/>
        </w:rPr>
        <w:sectPr w:rsidR="0055657D" w:rsidRPr="0055657D" w:rsidSect="0055657D">
          <w:pgSz w:w="11906" w:h="16838"/>
          <w:pgMar w:top="1701" w:right="1134" w:bottom="1134" w:left="1134" w:header="709" w:footer="454" w:gutter="0"/>
          <w:cols w:space="708"/>
          <w:docGrid w:linePitch="360"/>
        </w:sectPr>
      </w:pPr>
    </w:p>
    <w:p w14:paraId="5F40F682" w14:textId="77777777" w:rsidR="00DE7FB8" w:rsidRDefault="00DE7FB8">
      <w:pPr>
        <w:spacing w:before="0" w:after="160" w:line="259" w:lineRule="auto"/>
        <w:rPr>
          <w:sz w:val="22"/>
        </w:rPr>
      </w:pPr>
    </w:p>
    <w:sectPr w:rsidR="00DE7FB8" w:rsidSect="000E5308">
      <w:headerReference w:type="default" r:id="rId72"/>
      <w:footerReference w:type="default" r:id="rId73"/>
      <w:pgSz w:w="11906" w:h="16838"/>
      <w:pgMar w:top="1701" w:right="1134" w:bottom="1134" w:left="1134" w:header="709" w:footer="6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6EB15" w14:textId="77777777" w:rsidR="00481C26" w:rsidRDefault="00481C26" w:rsidP="004A3F32">
      <w:pPr>
        <w:spacing w:after="0"/>
      </w:pPr>
      <w:r>
        <w:separator/>
      </w:r>
    </w:p>
  </w:endnote>
  <w:endnote w:type="continuationSeparator" w:id="0">
    <w:p w14:paraId="755ACACD" w14:textId="77777777" w:rsidR="00481C26" w:rsidRDefault="00481C26" w:rsidP="004A3F32">
      <w:pPr>
        <w:spacing w:after="0"/>
      </w:pPr>
      <w:r>
        <w:continuationSeparator/>
      </w:r>
    </w:p>
  </w:endnote>
  <w:endnote w:type="continuationNotice" w:id="1">
    <w:p w14:paraId="561CCF1D" w14:textId="77777777" w:rsidR="00481C26" w:rsidRDefault="00481C2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Univers 45 Ligh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KPMG Bold">
    <w:altName w:val="Calibri"/>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PMG Light">
    <w:charset w:val="00"/>
    <w:family w:val="swiss"/>
    <w:pitch w:val="variable"/>
    <w:sig w:usb0="00000287" w:usb1="00000000" w:usb2="00000000" w:usb3="00000000" w:csb0="0000009F" w:csb1="00000000"/>
  </w:font>
  <w:font w:name="KPMG Extralight">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DIN Pro">
    <w:altName w:val="Arial"/>
    <w:panose1 w:val="00000000000000000000"/>
    <w:charset w:val="00"/>
    <w:family w:val="swiss"/>
    <w:notTrueType/>
    <w:pitch w:val="variable"/>
    <w:sig w:usb0="A00002BF" w:usb1="4000207B" w:usb2="00000008"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ZWAdobeF">
    <w:panose1 w:val="00000000000000000000"/>
    <w:charset w:val="00"/>
    <w:family w:val="auto"/>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EA12" w14:textId="35F027FB" w:rsidR="003E7E9D" w:rsidRDefault="003E7E9D">
    <w:pPr>
      <w:pStyle w:val="Footer"/>
    </w:pPr>
    <w:r>
      <w:rPr>
        <w:noProof/>
      </w:rPr>
      <mc:AlternateContent>
        <mc:Choice Requires="wps">
          <w:drawing>
            <wp:anchor distT="0" distB="0" distL="0" distR="0" simplePos="0" relativeHeight="251674632" behindDoc="0" locked="0" layoutInCell="1" allowOverlap="1" wp14:anchorId="593A876C" wp14:editId="3ED7041E">
              <wp:simplePos x="635" y="635"/>
              <wp:positionH relativeFrom="page">
                <wp:align>center</wp:align>
              </wp:positionH>
              <wp:positionV relativeFrom="page">
                <wp:align>bottom</wp:align>
              </wp:positionV>
              <wp:extent cx="622300" cy="452755"/>
              <wp:effectExtent l="0" t="0" r="6350" b="0"/>
              <wp:wrapNone/>
              <wp:docPr id="203584736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305DDBD" w14:textId="3318579B" w:rsidR="003E7E9D" w:rsidRPr="003E7E9D" w:rsidRDefault="003E7E9D" w:rsidP="003E7E9D">
                          <w:pPr>
                            <w:spacing w:after="0"/>
                            <w:rPr>
                              <w:rFonts w:ascii="Aptos" w:eastAsia="Aptos" w:hAnsi="Aptos" w:cs="Aptos"/>
                              <w:noProof/>
                              <w:color w:val="FF0000"/>
                              <w:sz w:val="24"/>
                              <w:szCs w:val="24"/>
                            </w:rPr>
                          </w:pPr>
                          <w:r w:rsidRPr="003E7E9D">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3A876C" id="_x0000_t202" coordsize="21600,21600" o:spt="202" path="m,l,21600r21600,l21600,xe">
              <v:stroke joinstyle="miter"/>
              <v:path gradientshapeok="t" o:connecttype="rect"/>
            </v:shapetype>
            <v:shape id="Text Box 16" o:spid="_x0000_s1027" type="#_x0000_t202" alt="OFFICIAL" style="position:absolute;margin-left:0;margin-top:0;width:49pt;height:35.65pt;z-index:251674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ugMe+QwCAAAcBAAA&#10;DgAAAAAAAAAAAAAAAAAuAgAAZHJzL2Uyb0RvYy54bWxQSwECLQAUAAYACAAAACEApl/EdtoAAAAD&#10;AQAADwAAAAAAAAAAAAAAAABmBAAAZHJzL2Rvd25yZXYueG1sUEsFBgAAAAAEAAQA8wAAAG0FAAAA&#10;AA==&#10;" filled="f" stroked="f">
              <v:textbox style="mso-fit-shape-to-text:t" inset="0,0,0,15pt">
                <w:txbxContent>
                  <w:p w14:paraId="2305DDBD" w14:textId="3318579B" w:rsidR="003E7E9D" w:rsidRPr="003E7E9D" w:rsidRDefault="003E7E9D" w:rsidP="003E7E9D">
                    <w:pPr>
                      <w:spacing w:after="0"/>
                      <w:rPr>
                        <w:rFonts w:ascii="Aptos" w:eastAsia="Aptos" w:hAnsi="Aptos" w:cs="Aptos"/>
                        <w:noProof/>
                        <w:color w:val="FF0000"/>
                        <w:sz w:val="24"/>
                        <w:szCs w:val="24"/>
                      </w:rPr>
                    </w:pPr>
                    <w:r w:rsidRPr="003E7E9D">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E194B" w14:textId="303884D5" w:rsidR="003E7E9D" w:rsidRDefault="003E7E9D">
    <w:pPr>
      <w:pStyle w:val="Footer"/>
    </w:pPr>
    <w:r>
      <w:rPr>
        <w:noProof/>
      </w:rPr>
      <mc:AlternateContent>
        <mc:Choice Requires="wps">
          <w:drawing>
            <wp:anchor distT="0" distB="0" distL="0" distR="0" simplePos="0" relativeHeight="251673608" behindDoc="0" locked="0" layoutInCell="1" allowOverlap="1" wp14:anchorId="034CBF84" wp14:editId="6CD6BE74">
              <wp:simplePos x="635" y="635"/>
              <wp:positionH relativeFrom="page">
                <wp:align>center</wp:align>
              </wp:positionH>
              <wp:positionV relativeFrom="page">
                <wp:align>bottom</wp:align>
              </wp:positionV>
              <wp:extent cx="622300" cy="452755"/>
              <wp:effectExtent l="0" t="0" r="6350" b="0"/>
              <wp:wrapNone/>
              <wp:docPr id="41938638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59301BB" w14:textId="63B630B5" w:rsidR="003E7E9D" w:rsidRPr="003E7E9D" w:rsidRDefault="003E7E9D" w:rsidP="003E7E9D">
                          <w:pPr>
                            <w:spacing w:after="0"/>
                            <w:rPr>
                              <w:rFonts w:ascii="Aptos" w:eastAsia="Aptos" w:hAnsi="Aptos" w:cs="Aptos"/>
                              <w:noProof/>
                              <w:color w:val="FF0000"/>
                              <w:sz w:val="24"/>
                              <w:szCs w:val="24"/>
                            </w:rPr>
                          </w:pPr>
                          <w:r w:rsidRPr="003E7E9D">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4CBF84" id="_x0000_t202" coordsize="21600,21600" o:spt="202" path="m,l,21600r21600,l21600,xe">
              <v:stroke joinstyle="miter"/>
              <v:path gradientshapeok="t" o:connecttype="rect"/>
            </v:shapetype>
            <v:shape id="Text Box 15" o:spid="_x0000_s1029" type="#_x0000_t202" alt="OFFICIAL" style="position:absolute;margin-left:0;margin-top:0;width:49pt;height:35.65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filled="f" stroked="f">
              <v:textbox style="mso-fit-shape-to-text:t" inset="0,0,0,15pt">
                <w:txbxContent>
                  <w:p w14:paraId="359301BB" w14:textId="63B630B5" w:rsidR="003E7E9D" w:rsidRPr="003E7E9D" w:rsidRDefault="003E7E9D" w:rsidP="003E7E9D">
                    <w:pPr>
                      <w:spacing w:after="0"/>
                      <w:rPr>
                        <w:rFonts w:ascii="Aptos" w:eastAsia="Aptos" w:hAnsi="Aptos" w:cs="Aptos"/>
                        <w:noProof/>
                        <w:color w:val="FF0000"/>
                        <w:sz w:val="24"/>
                        <w:szCs w:val="24"/>
                      </w:rPr>
                    </w:pPr>
                    <w:r w:rsidRPr="003E7E9D">
                      <w:rPr>
                        <w:rFonts w:ascii="Aptos" w:eastAsia="Aptos" w:hAnsi="Aptos" w:cs="Aptos"/>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A3B56" w14:textId="7A1BD955" w:rsidR="00695163" w:rsidRPr="00695163" w:rsidRDefault="00695163" w:rsidP="00695163">
    <w:pPr>
      <w:pStyle w:val="Footer"/>
      <w:rPr>
        <w:color w:val="000000" w:themeColor="text1"/>
      </w:rPr>
    </w:pPr>
    <w:r w:rsidRPr="00F80957">
      <w:rPr>
        <w:color w:val="000000" w:themeColor="text1"/>
      </w:rPr>
      <w:t>KPMG</w:t>
    </w:r>
    <w:r>
      <w:rPr>
        <w:color w:val="000000" w:themeColor="text1"/>
      </w:rPr>
      <w:t xml:space="preserve"> </w:t>
    </w:r>
    <w:r w:rsidRPr="00F80957">
      <w:rPr>
        <w:color w:val="000000" w:themeColor="text1"/>
      </w:rPr>
      <w:t>|</w:t>
    </w:r>
    <w:r>
      <w:rPr>
        <w:color w:val="000000" w:themeColor="text1"/>
      </w:rPr>
      <w:t xml:space="preserve"> </w:t>
    </w:r>
    <w:r w:rsidRPr="00F80957">
      <w:rPr>
        <w:color w:val="000000" w:themeColor="text1"/>
      </w:rPr>
      <w:fldChar w:fldCharType="begin"/>
    </w:r>
    <w:r w:rsidRPr="00F80957">
      <w:rPr>
        <w:color w:val="000000" w:themeColor="text1"/>
      </w:rPr>
      <w:instrText xml:space="preserve"> PAGE   \* MERGEFORMAT </w:instrText>
    </w:r>
    <w:r w:rsidRPr="00F80957">
      <w:rPr>
        <w:color w:val="000000" w:themeColor="text1"/>
      </w:rPr>
      <w:fldChar w:fldCharType="separate"/>
    </w:r>
    <w:r w:rsidR="0058466D">
      <w:rPr>
        <w:noProof/>
        <w:color w:val="000000" w:themeColor="text1"/>
      </w:rPr>
      <w:t>3</w:t>
    </w:r>
    <w:r w:rsidRPr="00F80957">
      <w:rPr>
        <w:color w:val="000000" w:themeColor="text1"/>
      </w:rPr>
      <w:fldChar w:fldCharType="end"/>
    </w:r>
  </w:p>
  <w:p w14:paraId="1EC72746" w14:textId="7251AA71" w:rsidR="00800C7F" w:rsidRDefault="0029119F" w:rsidP="007E23D9">
    <w:pPr>
      <w:pStyle w:val="Footer"/>
    </w:pPr>
    <w:r w:rsidRPr="00FB3B57">
      <w:rPr>
        <w:rFonts w:cs="Arial"/>
        <w:bCs/>
        <w:color w:val="auto"/>
        <w:spacing w:val="-4"/>
        <w:sz w:val="10"/>
        <w:szCs w:val="10"/>
      </w:rPr>
      <w:t>2024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FB3B57">
      <w:rPr>
        <w:rFonts w:cs="Arial"/>
        <w:color w:val="auto"/>
        <w:spacing w:val="-4"/>
        <w:sz w:val="11"/>
        <w:szCs w:val="11"/>
      </w:rPr>
      <w:t xml:space="preserve"> </w:t>
    </w:r>
    <w:r w:rsidRPr="00FB3B57">
      <w:rPr>
        <w:rFonts w:cs="Arial"/>
        <w:color w:val="auto"/>
        <w:spacing w:val="-4"/>
        <w:szCs w:val="12"/>
      </w:rPr>
      <w:t>Liability limited by a scheme approved under Professional Standards Legislation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989A" w14:textId="6EA3039A" w:rsidR="00DD06D0" w:rsidRPr="00DD06D0" w:rsidRDefault="00DD06D0" w:rsidP="00DD06D0">
    <w:pPr>
      <w:pStyle w:val="Footer"/>
      <w:rPr>
        <w:color w:val="000000" w:themeColor="text1"/>
      </w:rPr>
    </w:pPr>
    <w:r w:rsidRPr="00671D93">
      <w:rPr>
        <w:color w:val="000000" w:themeColor="text1"/>
      </w:rPr>
      <w:t>KPMG</w:t>
    </w:r>
    <w:r>
      <w:rPr>
        <w:color w:val="000000" w:themeColor="text1"/>
      </w:rPr>
      <w:t xml:space="preserve"> </w:t>
    </w:r>
    <w:r w:rsidRPr="00671D93">
      <w:rPr>
        <w:color w:val="000000" w:themeColor="text1"/>
      </w:rPr>
      <w:t>|</w:t>
    </w:r>
    <w:r>
      <w:rPr>
        <w:color w:val="000000" w:themeColor="text1"/>
      </w:rPr>
      <w:t xml:space="preserve"> </w:t>
    </w:r>
    <w:r w:rsidRPr="00671D93">
      <w:rPr>
        <w:color w:val="000000" w:themeColor="text1"/>
      </w:rPr>
      <w:fldChar w:fldCharType="begin"/>
    </w:r>
    <w:r w:rsidRPr="00671D93">
      <w:rPr>
        <w:color w:val="000000" w:themeColor="text1"/>
      </w:rPr>
      <w:instrText xml:space="preserve"> PAGE   \* MERGEFORMAT </w:instrText>
    </w:r>
    <w:r w:rsidRPr="00671D93">
      <w:rPr>
        <w:color w:val="000000" w:themeColor="text1"/>
      </w:rPr>
      <w:fldChar w:fldCharType="separate"/>
    </w:r>
    <w:r>
      <w:rPr>
        <w:color w:val="000000" w:themeColor="text1"/>
      </w:rPr>
      <w:t>50</w:t>
    </w:r>
    <w:r w:rsidRPr="00671D93">
      <w:rPr>
        <w:color w:val="000000" w:themeColor="text1"/>
      </w:rPr>
      <w:fldChar w:fldCharType="end"/>
    </w:r>
  </w:p>
  <w:p w14:paraId="1A59CC48" w14:textId="75AB6026" w:rsidR="00E33116" w:rsidRPr="000203AB" w:rsidRDefault="009850FE" w:rsidP="000203AB">
    <w:pPr>
      <w:pStyle w:val="Footer"/>
    </w:pPr>
    <w:r w:rsidRPr="000203AB">
      <w:t>2024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 Liability limited by a scheme approved under Professional Standards Legislation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F402A" w14:textId="219E096A" w:rsidR="009B6C5D" w:rsidRDefault="009B6C5D" w:rsidP="00281D11">
    <w:pPr>
      <w:spacing w:before="0" w:after="0"/>
      <w:ind w:hanging="142"/>
    </w:pPr>
    <w:r w:rsidRPr="00281D11">
      <w:t>KPMG.com.au</w:t>
    </w:r>
  </w:p>
  <w:p w14:paraId="7FB9B5AF" w14:textId="17ABE98E" w:rsidR="00281D11" w:rsidRPr="00281D11" w:rsidRDefault="00281D11" w:rsidP="00281D11">
    <w:pPr>
      <w:ind w:hanging="142"/>
    </w:pPr>
    <w:r w:rsidRPr="00281D11">
      <w:rPr>
        <w:noProof/>
      </w:rPr>
      <mc:AlternateContent>
        <mc:Choice Requires="wpg">
          <w:drawing>
            <wp:inline distT="0" distB="0" distL="0" distR="0" wp14:anchorId="392BABAD" wp14:editId="5B65E370">
              <wp:extent cx="1160890" cy="178504"/>
              <wp:effectExtent l="0" t="0" r="58420" b="0"/>
              <wp:docPr id="245036560" name="Group 245036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0890" cy="178504"/>
                        <a:chOff x="0" y="0"/>
                        <a:chExt cx="2395292" cy="368934"/>
                      </a:xfrm>
                    </wpg:grpSpPr>
                    <wpg:grpSp>
                      <wpg:cNvPr id="245036561" name="Group 245036561"/>
                      <wpg:cNvGrpSpPr/>
                      <wpg:grpSpPr>
                        <a:xfrm>
                          <a:off x="2024180" y="8571"/>
                          <a:ext cx="360363" cy="360363"/>
                          <a:chOff x="2024180" y="8571"/>
                          <a:chExt cx="360363" cy="360363"/>
                        </a:xfrm>
                        <a:solidFill>
                          <a:schemeClr val="bg1"/>
                        </a:solidFill>
                      </wpg:grpSpPr>
                      <wps:wsp>
                        <wps:cNvPr id="245036562" name="Freeform 14"/>
                        <wps:cNvSpPr>
                          <a:spLocks/>
                        </wps:cNvSpPr>
                        <wps:spPr bwMode="auto">
                          <a:xfrm>
                            <a:off x="2024180" y="8571"/>
                            <a:ext cx="101600" cy="104775"/>
                          </a:xfrm>
                          <a:custGeom>
                            <a:avLst/>
                            <a:gdLst>
                              <a:gd name="T0" fmla="*/ 27 w 27"/>
                              <a:gd name="T1" fmla="*/ 24 h 28"/>
                              <a:gd name="T2" fmla="*/ 24 w 27"/>
                              <a:gd name="T3" fmla="*/ 24 h 28"/>
                              <a:gd name="T4" fmla="*/ 24 w 27"/>
                              <a:gd name="T5" fmla="*/ 0 h 28"/>
                              <a:gd name="T6" fmla="*/ 20 w 27"/>
                              <a:gd name="T7" fmla="*/ 0 h 28"/>
                              <a:gd name="T8" fmla="*/ 20 w 27"/>
                              <a:gd name="T9" fmla="*/ 24 h 28"/>
                              <a:gd name="T10" fmla="*/ 16 w 27"/>
                              <a:gd name="T11" fmla="*/ 24 h 28"/>
                              <a:gd name="T12" fmla="*/ 16 w 27"/>
                              <a:gd name="T13" fmla="*/ 0 h 28"/>
                              <a:gd name="T14" fmla="*/ 12 w 27"/>
                              <a:gd name="T15" fmla="*/ 0 h 28"/>
                              <a:gd name="T16" fmla="*/ 12 w 27"/>
                              <a:gd name="T17" fmla="*/ 24 h 28"/>
                              <a:gd name="T18" fmla="*/ 8 w 27"/>
                              <a:gd name="T19" fmla="*/ 24 h 28"/>
                              <a:gd name="T20" fmla="*/ 8 w 27"/>
                              <a:gd name="T21" fmla="*/ 0 h 28"/>
                              <a:gd name="T22" fmla="*/ 0 w 27"/>
                              <a:gd name="T23" fmla="*/ 10 h 28"/>
                              <a:gd name="T24" fmla="*/ 0 w 27"/>
                              <a:gd name="T25" fmla="*/ 28 h 28"/>
                              <a:gd name="T26" fmla="*/ 24 w 27"/>
                              <a:gd name="T27" fmla="*/ 28 h 28"/>
                              <a:gd name="T28" fmla="*/ 27 w 27"/>
                              <a:gd name="T29"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8">
                                <a:moveTo>
                                  <a:pt x="27" y="24"/>
                                </a:moveTo>
                                <a:cubicBezTo>
                                  <a:pt x="24" y="24"/>
                                  <a:pt x="24" y="24"/>
                                  <a:pt x="24" y="24"/>
                                </a:cubicBezTo>
                                <a:cubicBezTo>
                                  <a:pt x="24" y="0"/>
                                  <a:pt x="24" y="0"/>
                                  <a:pt x="24" y="0"/>
                                </a:cubicBezTo>
                                <a:cubicBezTo>
                                  <a:pt x="20" y="0"/>
                                  <a:pt x="20" y="0"/>
                                  <a:pt x="20" y="0"/>
                                </a:cubicBezTo>
                                <a:cubicBezTo>
                                  <a:pt x="20" y="24"/>
                                  <a:pt x="20" y="24"/>
                                  <a:pt x="20" y="24"/>
                                </a:cubicBezTo>
                                <a:cubicBezTo>
                                  <a:pt x="16" y="24"/>
                                  <a:pt x="16" y="24"/>
                                  <a:pt x="16" y="24"/>
                                </a:cubicBezTo>
                                <a:cubicBezTo>
                                  <a:pt x="16" y="0"/>
                                  <a:pt x="16" y="0"/>
                                  <a:pt x="16" y="0"/>
                                </a:cubicBezTo>
                                <a:cubicBezTo>
                                  <a:pt x="12" y="0"/>
                                  <a:pt x="12" y="0"/>
                                  <a:pt x="12" y="0"/>
                                </a:cubicBezTo>
                                <a:cubicBezTo>
                                  <a:pt x="12" y="24"/>
                                  <a:pt x="12" y="24"/>
                                  <a:pt x="12" y="24"/>
                                </a:cubicBezTo>
                                <a:cubicBezTo>
                                  <a:pt x="8" y="24"/>
                                  <a:pt x="8" y="24"/>
                                  <a:pt x="8" y="24"/>
                                </a:cubicBezTo>
                                <a:cubicBezTo>
                                  <a:pt x="8" y="0"/>
                                  <a:pt x="8" y="0"/>
                                  <a:pt x="8" y="0"/>
                                </a:cubicBezTo>
                                <a:cubicBezTo>
                                  <a:pt x="3" y="1"/>
                                  <a:pt x="0" y="5"/>
                                  <a:pt x="0" y="10"/>
                                </a:cubicBezTo>
                                <a:cubicBezTo>
                                  <a:pt x="0" y="28"/>
                                  <a:pt x="0" y="28"/>
                                  <a:pt x="0" y="28"/>
                                </a:cubicBezTo>
                                <a:cubicBezTo>
                                  <a:pt x="24" y="28"/>
                                  <a:pt x="24" y="28"/>
                                  <a:pt x="24" y="28"/>
                                </a:cubicBezTo>
                                <a:cubicBezTo>
                                  <a:pt x="25" y="26"/>
                                  <a:pt x="26" y="25"/>
                                  <a:pt x="27" y="2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3" name="Freeform 15"/>
                        <wps:cNvSpPr>
                          <a:spLocks/>
                        </wps:cNvSpPr>
                        <wps:spPr bwMode="auto">
                          <a:xfrm>
                            <a:off x="2024180" y="129221"/>
                            <a:ext cx="360363" cy="239713"/>
                          </a:xfrm>
                          <a:custGeom>
                            <a:avLst/>
                            <a:gdLst>
                              <a:gd name="T0" fmla="*/ 76 w 96"/>
                              <a:gd name="T1" fmla="*/ 12 h 64"/>
                              <a:gd name="T2" fmla="*/ 48 w 96"/>
                              <a:gd name="T3" fmla="*/ 40 h 64"/>
                              <a:gd name="T4" fmla="*/ 19 w 96"/>
                              <a:gd name="T5" fmla="*/ 12 h 64"/>
                              <a:gd name="T6" fmla="*/ 22 w 96"/>
                              <a:gd name="T7" fmla="*/ 0 h 64"/>
                              <a:gd name="T8" fmla="*/ 0 w 96"/>
                              <a:gd name="T9" fmla="*/ 0 h 64"/>
                              <a:gd name="T10" fmla="*/ 0 w 96"/>
                              <a:gd name="T11" fmla="*/ 54 h 64"/>
                              <a:gd name="T12" fmla="*/ 10 w 96"/>
                              <a:gd name="T13" fmla="*/ 64 h 64"/>
                              <a:gd name="T14" fmla="*/ 86 w 96"/>
                              <a:gd name="T15" fmla="*/ 64 h 64"/>
                              <a:gd name="T16" fmla="*/ 96 w 96"/>
                              <a:gd name="T17" fmla="*/ 54 h 64"/>
                              <a:gd name="T18" fmla="*/ 96 w 96"/>
                              <a:gd name="T19" fmla="*/ 0 h 64"/>
                              <a:gd name="T20" fmla="*/ 74 w 96"/>
                              <a:gd name="T21" fmla="*/ 0 h 64"/>
                              <a:gd name="T22" fmla="*/ 76 w 96"/>
                              <a:gd name="T23" fmla="*/ 1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64">
                                <a:moveTo>
                                  <a:pt x="76" y="12"/>
                                </a:moveTo>
                                <a:cubicBezTo>
                                  <a:pt x="76" y="27"/>
                                  <a:pt x="64" y="40"/>
                                  <a:pt x="48" y="40"/>
                                </a:cubicBezTo>
                                <a:cubicBezTo>
                                  <a:pt x="32" y="40"/>
                                  <a:pt x="19" y="27"/>
                                  <a:pt x="19" y="12"/>
                                </a:cubicBezTo>
                                <a:cubicBezTo>
                                  <a:pt x="19" y="7"/>
                                  <a:pt x="20" y="3"/>
                                  <a:pt x="22" y="0"/>
                                </a:cubicBezTo>
                                <a:cubicBezTo>
                                  <a:pt x="0" y="0"/>
                                  <a:pt x="0" y="0"/>
                                  <a:pt x="0" y="0"/>
                                </a:cubicBezTo>
                                <a:cubicBezTo>
                                  <a:pt x="0" y="54"/>
                                  <a:pt x="0" y="54"/>
                                  <a:pt x="0" y="54"/>
                                </a:cubicBezTo>
                                <a:cubicBezTo>
                                  <a:pt x="0" y="59"/>
                                  <a:pt x="4" y="64"/>
                                  <a:pt x="10" y="64"/>
                                </a:cubicBezTo>
                                <a:cubicBezTo>
                                  <a:pt x="86" y="64"/>
                                  <a:pt x="86" y="64"/>
                                  <a:pt x="86" y="64"/>
                                </a:cubicBezTo>
                                <a:cubicBezTo>
                                  <a:pt x="91" y="64"/>
                                  <a:pt x="96" y="59"/>
                                  <a:pt x="96" y="54"/>
                                </a:cubicBezTo>
                                <a:cubicBezTo>
                                  <a:pt x="96" y="0"/>
                                  <a:pt x="96" y="0"/>
                                  <a:pt x="96" y="0"/>
                                </a:cubicBezTo>
                                <a:cubicBezTo>
                                  <a:pt x="74" y="0"/>
                                  <a:pt x="74" y="0"/>
                                  <a:pt x="74" y="0"/>
                                </a:cubicBezTo>
                                <a:cubicBezTo>
                                  <a:pt x="75" y="3"/>
                                  <a:pt x="76" y="7"/>
                                  <a:pt x="76" y="1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4" name="Freeform 16"/>
                        <wps:cNvSpPr>
                          <a:spLocks noEditPoints="1"/>
                        </wps:cNvSpPr>
                        <wps:spPr bwMode="auto">
                          <a:xfrm>
                            <a:off x="2130542" y="8571"/>
                            <a:ext cx="254000" cy="104775"/>
                          </a:xfrm>
                          <a:custGeom>
                            <a:avLst/>
                            <a:gdLst>
                              <a:gd name="T0" fmla="*/ 58 w 68"/>
                              <a:gd name="T1" fmla="*/ 0 h 28"/>
                              <a:gd name="T2" fmla="*/ 0 w 68"/>
                              <a:gd name="T3" fmla="*/ 0 h 28"/>
                              <a:gd name="T4" fmla="*/ 0 w 68"/>
                              <a:gd name="T5" fmla="*/ 23 h 28"/>
                              <a:gd name="T6" fmla="*/ 20 w 68"/>
                              <a:gd name="T7" fmla="*/ 15 h 28"/>
                              <a:gd name="T8" fmla="*/ 43 w 68"/>
                              <a:gd name="T9" fmla="*/ 28 h 28"/>
                              <a:gd name="T10" fmla="*/ 68 w 68"/>
                              <a:gd name="T11" fmla="*/ 28 h 28"/>
                              <a:gd name="T12" fmla="*/ 68 w 68"/>
                              <a:gd name="T13" fmla="*/ 10 h 28"/>
                              <a:gd name="T14" fmla="*/ 58 w 68"/>
                              <a:gd name="T15" fmla="*/ 0 h 28"/>
                              <a:gd name="T16" fmla="*/ 60 w 68"/>
                              <a:gd name="T17" fmla="*/ 20 h 28"/>
                              <a:gd name="T18" fmla="*/ 56 w 68"/>
                              <a:gd name="T19" fmla="*/ 24 h 28"/>
                              <a:gd name="T20" fmla="*/ 48 w 68"/>
                              <a:gd name="T21" fmla="*/ 24 h 28"/>
                              <a:gd name="T22" fmla="*/ 44 w 68"/>
                              <a:gd name="T23" fmla="*/ 20 h 28"/>
                              <a:gd name="T24" fmla="*/ 44 w 68"/>
                              <a:gd name="T25" fmla="*/ 12 h 28"/>
                              <a:gd name="T26" fmla="*/ 48 w 68"/>
                              <a:gd name="T27" fmla="*/ 8 h 28"/>
                              <a:gd name="T28" fmla="*/ 56 w 68"/>
                              <a:gd name="T29" fmla="*/ 8 h 28"/>
                              <a:gd name="T30" fmla="*/ 60 w 68"/>
                              <a:gd name="T31" fmla="*/ 12 h 28"/>
                              <a:gd name="T32" fmla="*/ 60 w 68"/>
                              <a:gd name="T33" fmla="*/ 2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28">
                                <a:moveTo>
                                  <a:pt x="58" y="0"/>
                                </a:moveTo>
                                <a:cubicBezTo>
                                  <a:pt x="0" y="0"/>
                                  <a:pt x="0" y="0"/>
                                  <a:pt x="0" y="0"/>
                                </a:cubicBezTo>
                                <a:cubicBezTo>
                                  <a:pt x="0" y="23"/>
                                  <a:pt x="0" y="23"/>
                                  <a:pt x="0" y="23"/>
                                </a:cubicBezTo>
                                <a:cubicBezTo>
                                  <a:pt x="5" y="18"/>
                                  <a:pt x="12" y="15"/>
                                  <a:pt x="20" y="15"/>
                                </a:cubicBezTo>
                                <a:cubicBezTo>
                                  <a:pt x="30" y="15"/>
                                  <a:pt x="38" y="20"/>
                                  <a:pt x="43" y="28"/>
                                </a:cubicBezTo>
                                <a:cubicBezTo>
                                  <a:pt x="68" y="28"/>
                                  <a:pt x="68" y="28"/>
                                  <a:pt x="68" y="28"/>
                                </a:cubicBezTo>
                                <a:cubicBezTo>
                                  <a:pt x="68" y="10"/>
                                  <a:pt x="68" y="10"/>
                                  <a:pt x="68" y="10"/>
                                </a:cubicBezTo>
                                <a:cubicBezTo>
                                  <a:pt x="68" y="4"/>
                                  <a:pt x="63" y="0"/>
                                  <a:pt x="58" y="0"/>
                                </a:cubicBezTo>
                                <a:moveTo>
                                  <a:pt x="60" y="20"/>
                                </a:moveTo>
                                <a:cubicBezTo>
                                  <a:pt x="60" y="22"/>
                                  <a:pt x="58" y="24"/>
                                  <a:pt x="56" y="24"/>
                                </a:cubicBezTo>
                                <a:cubicBezTo>
                                  <a:pt x="48" y="24"/>
                                  <a:pt x="48" y="24"/>
                                  <a:pt x="48" y="24"/>
                                </a:cubicBezTo>
                                <a:cubicBezTo>
                                  <a:pt x="46" y="24"/>
                                  <a:pt x="44" y="22"/>
                                  <a:pt x="44" y="20"/>
                                </a:cubicBezTo>
                                <a:cubicBezTo>
                                  <a:pt x="44" y="12"/>
                                  <a:pt x="44" y="12"/>
                                  <a:pt x="44" y="12"/>
                                </a:cubicBezTo>
                                <a:cubicBezTo>
                                  <a:pt x="44" y="9"/>
                                  <a:pt x="46" y="8"/>
                                  <a:pt x="48" y="8"/>
                                </a:cubicBezTo>
                                <a:cubicBezTo>
                                  <a:pt x="56" y="8"/>
                                  <a:pt x="56" y="8"/>
                                  <a:pt x="56" y="8"/>
                                </a:cubicBezTo>
                                <a:cubicBezTo>
                                  <a:pt x="58" y="8"/>
                                  <a:pt x="60" y="9"/>
                                  <a:pt x="60" y="12"/>
                                </a:cubicBezTo>
                                <a:cubicBezTo>
                                  <a:pt x="60" y="20"/>
                                  <a:pt x="60" y="20"/>
                                  <a:pt x="60" y="2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5" name="Freeform 17"/>
                        <wps:cNvSpPr>
                          <a:spLocks/>
                        </wps:cNvSpPr>
                        <wps:spPr bwMode="auto">
                          <a:xfrm>
                            <a:off x="2295642" y="38734"/>
                            <a:ext cx="60325" cy="60325"/>
                          </a:xfrm>
                          <a:custGeom>
                            <a:avLst/>
                            <a:gdLst>
                              <a:gd name="T0" fmla="*/ 12 w 16"/>
                              <a:gd name="T1" fmla="*/ 0 h 16"/>
                              <a:gd name="T2" fmla="*/ 4 w 16"/>
                              <a:gd name="T3" fmla="*/ 0 h 16"/>
                              <a:gd name="T4" fmla="*/ 0 w 16"/>
                              <a:gd name="T5" fmla="*/ 4 h 16"/>
                              <a:gd name="T6" fmla="*/ 0 w 16"/>
                              <a:gd name="T7" fmla="*/ 12 h 16"/>
                              <a:gd name="T8" fmla="*/ 4 w 16"/>
                              <a:gd name="T9" fmla="*/ 16 h 16"/>
                              <a:gd name="T10" fmla="*/ 12 w 16"/>
                              <a:gd name="T11" fmla="*/ 16 h 16"/>
                              <a:gd name="T12" fmla="*/ 16 w 16"/>
                              <a:gd name="T13" fmla="*/ 12 h 16"/>
                              <a:gd name="T14" fmla="*/ 16 w 16"/>
                              <a:gd name="T15" fmla="*/ 4 h 16"/>
                              <a:gd name="T16" fmla="*/ 12 w 16"/>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2" y="0"/>
                                </a:moveTo>
                                <a:cubicBezTo>
                                  <a:pt x="4" y="0"/>
                                  <a:pt x="4" y="0"/>
                                  <a:pt x="4" y="0"/>
                                </a:cubicBezTo>
                                <a:cubicBezTo>
                                  <a:pt x="2" y="0"/>
                                  <a:pt x="0" y="1"/>
                                  <a:pt x="0" y="4"/>
                                </a:cubicBezTo>
                                <a:cubicBezTo>
                                  <a:pt x="0" y="12"/>
                                  <a:pt x="0" y="12"/>
                                  <a:pt x="0" y="12"/>
                                </a:cubicBezTo>
                                <a:cubicBezTo>
                                  <a:pt x="0" y="14"/>
                                  <a:pt x="2" y="16"/>
                                  <a:pt x="4" y="16"/>
                                </a:cubicBezTo>
                                <a:cubicBezTo>
                                  <a:pt x="12" y="16"/>
                                  <a:pt x="12" y="16"/>
                                  <a:pt x="12" y="16"/>
                                </a:cubicBezTo>
                                <a:cubicBezTo>
                                  <a:pt x="14" y="16"/>
                                  <a:pt x="16" y="14"/>
                                  <a:pt x="16" y="12"/>
                                </a:cubicBezTo>
                                <a:cubicBezTo>
                                  <a:pt x="16" y="4"/>
                                  <a:pt x="16" y="4"/>
                                  <a:pt x="16" y="4"/>
                                </a:cubicBezTo>
                                <a:cubicBezTo>
                                  <a:pt x="16" y="1"/>
                                  <a:pt x="14" y="0"/>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6" name="Freeform 18"/>
                        <wps:cNvSpPr>
                          <a:spLocks/>
                        </wps:cNvSpPr>
                        <wps:spPr bwMode="auto">
                          <a:xfrm>
                            <a:off x="2114667" y="8571"/>
                            <a:ext cx="15875" cy="90488"/>
                          </a:xfrm>
                          <a:custGeom>
                            <a:avLst/>
                            <a:gdLst>
                              <a:gd name="T0" fmla="*/ 10 w 10"/>
                              <a:gd name="T1" fmla="*/ 0 h 57"/>
                              <a:gd name="T2" fmla="*/ 0 w 10"/>
                              <a:gd name="T3" fmla="*/ 0 h 57"/>
                              <a:gd name="T4" fmla="*/ 0 w 10"/>
                              <a:gd name="T5" fmla="*/ 57 h 57"/>
                              <a:gd name="T6" fmla="*/ 10 w 10"/>
                              <a:gd name="T7" fmla="*/ 57 h 57"/>
                              <a:gd name="T8" fmla="*/ 10 w 10"/>
                              <a:gd name="T9" fmla="*/ 55 h 57"/>
                              <a:gd name="T10" fmla="*/ 10 w 10"/>
                              <a:gd name="T11" fmla="*/ 55 h 57"/>
                              <a:gd name="T12" fmla="*/ 10 w 10"/>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0" h="57">
                                <a:moveTo>
                                  <a:pt x="10" y="0"/>
                                </a:moveTo>
                                <a:lnTo>
                                  <a:pt x="0" y="0"/>
                                </a:lnTo>
                                <a:lnTo>
                                  <a:pt x="0" y="57"/>
                                </a:lnTo>
                                <a:lnTo>
                                  <a:pt x="10" y="57"/>
                                </a:lnTo>
                                <a:lnTo>
                                  <a:pt x="10" y="55"/>
                                </a:lnTo>
                                <a:lnTo>
                                  <a:pt x="10" y="55"/>
                                </a:lnTo>
                                <a:lnTo>
                                  <a:pt x="1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7" name="Freeform 19"/>
                        <wps:cNvSpPr>
                          <a:spLocks/>
                        </wps:cNvSpPr>
                        <wps:spPr bwMode="auto">
                          <a:xfrm>
                            <a:off x="2114667" y="8571"/>
                            <a:ext cx="15875" cy="90488"/>
                          </a:xfrm>
                          <a:custGeom>
                            <a:avLst/>
                            <a:gdLst>
                              <a:gd name="T0" fmla="*/ 10 w 10"/>
                              <a:gd name="T1" fmla="*/ 0 h 57"/>
                              <a:gd name="T2" fmla="*/ 0 w 10"/>
                              <a:gd name="T3" fmla="*/ 0 h 57"/>
                              <a:gd name="T4" fmla="*/ 0 w 10"/>
                              <a:gd name="T5" fmla="*/ 57 h 57"/>
                              <a:gd name="T6" fmla="*/ 10 w 10"/>
                              <a:gd name="T7" fmla="*/ 57 h 57"/>
                              <a:gd name="T8" fmla="*/ 10 w 10"/>
                              <a:gd name="T9" fmla="*/ 55 h 57"/>
                              <a:gd name="T10" fmla="*/ 10 w 10"/>
                              <a:gd name="T11" fmla="*/ 55 h 57"/>
                              <a:gd name="T12" fmla="*/ 10 w 10"/>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0" h="57">
                                <a:moveTo>
                                  <a:pt x="10" y="0"/>
                                </a:moveTo>
                                <a:lnTo>
                                  <a:pt x="0" y="0"/>
                                </a:lnTo>
                                <a:lnTo>
                                  <a:pt x="0" y="57"/>
                                </a:lnTo>
                                <a:lnTo>
                                  <a:pt x="10" y="57"/>
                                </a:lnTo>
                                <a:lnTo>
                                  <a:pt x="10" y="55"/>
                                </a:lnTo>
                                <a:lnTo>
                                  <a:pt x="10" y="55"/>
                                </a:lnTo>
                                <a:lnTo>
                                  <a:pt x="10"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8" name="Rectangle 245036568"/>
                        <wps:cNvSpPr>
                          <a:spLocks noChangeArrowheads="1"/>
                        </wps:cNvSpPr>
                        <wps:spPr bwMode="auto">
                          <a:xfrm>
                            <a:off x="2084505" y="8571"/>
                            <a:ext cx="15875" cy="904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5036569" name="Rectangle 245036569"/>
                        <wps:cNvSpPr>
                          <a:spLocks noChangeArrowheads="1"/>
                        </wps:cNvSpPr>
                        <wps:spPr bwMode="auto">
                          <a:xfrm>
                            <a:off x="2084505" y="8571"/>
                            <a:ext cx="15875" cy="904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5036570" name="Rectangle 245036570"/>
                        <wps:cNvSpPr>
                          <a:spLocks noChangeArrowheads="1"/>
                        </wps:cNvSpPr>
                        <wps:spPr bwMode="auto">
                          <a:xfrm>
                            <a:off x="2054342" y="8571"/>
                            <a:ext cx="15875" cy="904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5036571" name="Rectangle 245036571"/>
                        <wps:cNvSpPr>
                          <a:spLocks noChangeArrowheads="1"/>
                        </wps:cNvSpPr>
                        <wps:spPr bwMode="auto">
                          <a:xfrm>
                            <a:off x="2054342" y="8571"/>
                            <a:ext cx="15875" cy="904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5036572" name="Freeform 24"/>
                        <wps:cNvSpPr>
                          <a:spLocks/>
                        </wps:cNvSpPr>
                        <wps:spPr bwMode="auto">
                          <a:xfrm>
                            <a:off x="2136892" y="106996"/>
                            <a:ext cx="131763" cy="130175"/>
                          </a:xfrm>
                          <a:custGeom>
                            <a:avLst/>
                            <a:gdLst>
                              <a:gd name="T0" fmla="*/ 18 w 35"/>
                              <a:gd name="T1" fmla="*/ 0 h 35"/>
                              <a:gd name="T2" fmla="*/ 13 w 35"/>
                              <a:gd name="T3" fmla="*/ 1 h 35"/>
                              <a:gd name="T4" fmla="*/ 16 w 35"/>
                              <a:gd name="T5" fmla="*/ 8 h 35"/>
                              <a:gd name="T6" fmla="*/ 16 w 35"/>
                              <a:gd name="T7" fmla="*/ 8 h 35"/>
                              <a:gd name="T8" fmla="*/ 16 w 35"/>
                              <a:gd name="T9" fmla="*/ 8 h 35"/>
                              <a:gd name="T10" fmla="*/ 8 w 35"/>
                              <a:gd name="T11" fmla="*/ 16 h 35"/>
                              <a:gd name="T12" fmla="*/ 1 w 35"/>
                              <a:gd name="T13" fmla="*/ 12 h 35"/>
                              <a:gd name="T14" fmla="*/ 0 w 35"/>
                              <a:gd name="T15" fmla="*/ 18 h 35"/>
                              <a:gd name="T16" fmla="*/ 18 w 35"/>
                              <a:gd name="T17" fmla="*/ 35 h 35"/>
                              <a:gd name="T18" fmla="*/ 35 w 35"/>
                              <a:gd name="T19" fmla="*/ 18 h 35"/>
                              <a:gd name="T20" fmla="*/ 18 w 35"/>
                              <a:gd name="T2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 h="35">
                                <a:moveTo>
                                  <a:pt x="18" y="0"/>
                                </a:moveTo>
                                <a:cubicBezTo>
                                  <a:pt x="16" y="0"/>
                                  <a:pt x="14" y="1"/>
                                  <a:pt x="13" y="1"/>
                                </a:cubicBezTo>
                                <a:cubicBezTo>
                                  <a:pt x="14" y="3"/>
                                  <a:pt x="16" y="5"/>
                                  <a:pt x="16" y="8"/>
                                </a:cubicBezTo>
                                <a:cubicBezTo>
                                  <a:pt x="16" y="8"/>
                                  <a:pt x="16" y="8"/>
                                  <a:pt x="16" y="8"/>
                                </a:cubicBezTo>
                                <a:cubicBezTo>
                                  <a:pt x="16" y="8"/>
                                  <a:pt x="16" y="8"/>
                                  <a:pt x="16" y="8"/>
                                </a:cubicBezTo>
                                <a:cubicBezTo>
                                  <a:pt x="16" y="12"/>
                                  <a:pt x="12" y="16"/>
                                  <a:pt x="8" y="16"/>
                                </a:cubicBezTo>
                                <a:cubicBezTo>
                                  <a:pt x="5" y="16"/>
                                  <a:pt x="3" y="14"/>
                                  <a:pt x="1" y="12"/>
                                </a:cubicBezTo>
                                <a:cubicBezTo>
                                  <a:pt x="1" y="14"/>
                                  <a:pt x="0" y="16"/>
                                  <a:pt x="0" y="18"/>
                                </a:cubicBezTo>
                                <a:cubicBezTo>
                                  <a:pt x="0" y="27"/>
                                  <a:pt x="8" y="35"/>
                                  <a:pt x="18" y="35"/>
                                </a:cubicBezTo>
                                <a:cubicBezTo>
                                  <a:pt x="27" y="35"/>
                                  <a:pt x="35" y="27"/>
                                  <a:pt x="35" y="18"/>
                                </a:cubicBezTo>
                                <a:cubicBezTo>
                                  <a:pt x="35" y="8"/>
                                  <a:pt x="27" y="0"/>
                                  <a:pt x="1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73" name="Freeform 25"/>
                        <wps:cNvSpPr>
                          <a:spLocks noEditPoints="1"/>
                        </wps:cNvSpPr>
                        <wps:spPr bwMode="auto">
                          <a:xfrm>
                            <a:off x="2122605" y="87946"/>
                            <a:ext cx="165100" cy="168275"/>
                          </a:xfrm>
                          <a:custGeom>
                            <a:avLst/>
                            <a:gdLst>
                              <a:gd name="T0" fmla="*/ 22 w 44"/>
                              <a:gd name="T1" fmla="*/ 0 h 45"/>
                              <a:gd name="T2" fmla="*/ 0 w 44"/>
                              <a:gd name="T3" fmla="*/ 23 h 45"/>
                              <a:gd name="T4" fmla="*/ 22 w 44"/>
                              <a:gd name="T5" fmla="*/ 45 h 45"/>
                              <a:gd name="T6" fmla="*/ 44 w 44"/>
                              <a:gd name="T7" fmla="*/ 23 h 45"/>
                              <a:gd name="T8" fmla="*/ 22 w 44"/>
                              <a:gd name="T9" fmla="*/ 0 h 45"/>
                              <a:gd name="T10" fmla="*/ 22 w 44"/>
                              <a:gd name="T11" fmla="*/ 40 h 45"/>
                              <a:gd name="T12" fmla="*/ 4 w 44"/>
                              <a:gd name="T13" fmla="*/ 23 h 45"/>
                              <a:gd name="T14" fmla="*/ 22 w 44"/>
                              <a:gd name="T15" fmla="*/ 5 h 45"/>
                              <a:gd name="T16" fmla="*/ 39 w 44"/>
                              <a:gd name="T17" fmla="*/ 23 h 45"/>
                              <a:gd name="T18" fmla="*/ 22 w 44"/>
                              <a:gd name="T19" fmla="*/ 4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45">
                                <a:moveTo>
                                  <a:pt x="22" y="0"/>
                                </a:moveTo>
                                <a:cubicBezTo>
                                  <a:pt x="10" y="0"/>
                                  <a:pt x="0" y="10"/>
                                  <a:pt x="0" y="23"/>
                                </a:cubicBezTo>
                                <a:cubicBezTo>
                                  <a:pt x="0" y="35"/>
                                  <a:pt x="10" y="45"/>
                                  <a:pt x="22" y="45"/>
                                </a:cubicBezTo>
                                <a:cubicBezTo>
                                  <a:pt x="34" y="45"/>
                                  <a:pt x="44" y="35"/>
                                  <a:pt x="44" y="23"/>
                                </a:cubicBezTo>
                                <a:cubicBezTo>
                                  <a:pt x="44" y="10"/>
                                  <a:pt x="34" y="0"/>
                                  <a:pt x="22" y="0"/>
                                </a:cubicBezTo>
                                <a:close/>
                                <a:moveTo>
                                  <a:pt x="22" y="40"/>
                                </a:moveTo>
                                <a:cubicBezTo>
                                  <a:pt x="12" y="40"/>
                                  <a:pt x="4" y="32"/>
                                  <a:pt x="4" y="23"/>
                                </a:cubicBezTo>
                                <a:cubicBezTo>
                                  <a:pt x="4" y="13"/>
                                  <a:pt x="12" y="5"/>
                                  <a:pt x="22" y="5"/>
                                </a:cubicBezTo>
                                <a:cubicBezTo>
                                  <a:pt x="31" y="5"/>
                                  <a:pt x="39" y="13"/>
                                  <a:pt x="39" y="23"/>
                                </a:cubicBezTo>
                                <a:cubicBezTo>
                                  <a:pt x="39" y="32"/>
                                  <a:pt x="31" y="40"/>
                                  <a:pt x="22" y="4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45036574" name="Freeform 26"/>
                      <wps:cNvSpPr>
                        <a:spLocks noEditPoints="1"/>
                      </wps:cNvSpPr>
                      <wps:spPr bwMode="auto">
                        <a:xfrm>
                          <a:off x="507236" y="8571"/>
                          <a:ext cx="360363" cy="360363"/>
                        </a:xfrm>
                        <a:custGeom>
                          <a:avLst/>
                          <a:gdLst>
                            <a:gd name="T0" fmla="*/ 86 w 96"/>
                            <a:gd name="T1" fmla="*/ 0 h 96"/>
                            <a:gd name="T2" fmla="*/ 10 w 96"/>
                            <a:gd name="T3" fmla="*/ 0 h 96"/>
                            <a:gd name="T4" fmla="*/ 0 w 96"/>
                            <a:gd name="T5" fmla="*/ 10 h 96"/>
                            <a:gd name="T6" fmla="*/ 0 w 96"/>
                            <a:gd name="T7" fmla="*/ 86 h 96"/>
                            <a:gd name="T8" fmla="*/ 10 w 96"/>
                            <a:gd name="T9" fmla="*/ 96 h 96"/>
                            <a:gd name="T10" fmla="*/ 86 w 96"/>
                            <a:gd name="T11" fmla="*/ 96 h 96"/>
                            <a:gd name="T12" fmla="*/ 96 w 96"/>
                            <a:gd name="T13" fmla="*/ 86 h 96"/>
                            <a:gd name="T14" fmla="*/ 96 w 96"/>
                            <a:gd name="T15" fmla="*/ 10 h 96"/>
                            <a:gd name="T16" fmla="*/ 86 w 96"/>
                            <a:gd name="T17" fmla="*/ 0 h 96"/>
                            <a:gd name="T18" fmla="*/ 76 w 96"/>
                            <a:gd name="T19" fmla="*/ 35 h 96"/>
                            <a:gd name="T20" fmla="*/ 76 w 96"/>
                            <a:gd name="T21" fmla="*/ 37 h 96"/>
                            <a:gd name="T22" fmla="*/ 36 w 96"/>
                            <a:gd name="T23" fmla="*/ 78 h 96"/>
                            <a:gd name="T24" fmla="*/ 14 w 96"/>
                            <a:gd name="T25" fmla="*/ 71 h 96"/>
                            <a:gd name="T26" fmla="*/ 17 w 96"/>
                            <a:gd name="T27" fmla="*/ 72 h 96"/>
                            <a:gd name="T28" fmla="*/ 35 w 96"/>
                            <a:gd name="T29" fmla="*/ 65 h 96"/>
                            <a:gd name="T30" fmla="*/ 21 w 96"/>
                            <a:gd name="T31" fmla="*/ 56 h 96"/>
                            <a:gd name="T32" fmla="*/ 24 w 96"/>
                            <a:gd name="T33" fmla="*/ 56 h 96"/>
                            <a:gd name="T34" fmla="*/ 28 w 96"/>
                            <a:gd name="T35" fmla="*/ 55 h 96"/>
                            <a:gd name="T36" fmla="*/ 16 w 96"/>
                            <a:gd name="T37" fmla="*/ 41 h 96"/>
                            <a:gd name="T38" fmla="*/ 16 w 96"/>
                            <a:gd name="T39" fmla="*/ 41 h 96"/>
                            <a:gd name="T40" fmla="*/ 23 w 96"/>
                            <a:gd name="T41" fmla="*/ 43 h 96"/>
                            <a:gd name="T42" fmla="*/ 16 w 96"/>
                            <a:gd name="T43" fmla="*/ 31 h 96"/>
                            <a:gd name="T44" fmla="*/ 18 w 96"/>
                            <a:gd name="T45" fmla="*/ 24 h 96"/>
                            <a:gd name="T46" fmla="*/ 48 w 96"/>
                            <a:gd name="T47" fmla="*/ 39 h 96"/>
                            <a:gd name="T48" fmla="*/ 48 w 96"/>
                            <a:gd name="T49" fmla="*/ 35 h 96"/>
                            <a:gd name="T50" fmla="*/ 62 w 96"/>
                            <a:gd name="T51" fmla="*/ 21 h 96"/>
                            <a:gd name="T52" fmla="*/ 72 w 96"/>
                            <a:gd name="T53" fmla="*/ 26 h 96"/>
                            <a:gd name="T54" fmla="*/ 82 w 96"/>
                            <a:gd name="T55" fmla="*/ 22 h 96"/>
                            <a:gd name="T56" fmla="*/ 75 w 96"/>
                            <a:gd name="T57" fmla="*/ 30 h 96"/>
                            <a:gd name="T58" fmla="*/ 83 w 96"/>
                            <a:gd name="T59" fmla="*/ 28 h 96"/>
                            <a:gd name="T60" fmla="*/ 76 w 96"/>
                            <a:gd name="T61" fmla="*/ 3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96">
                              <a:moveTo>
                                <a:pt x="86" y="0"/>
                              </a:moveTo>
                              <a:cubicBezTo>
                                <a:pt x="10" y="0"/>
                                <a:pt x="10" y="0"/>
                                <a:pt x="10" y="0"/>
                              </a:cubicBezTo>
                              <a:cubicBezTo>
                                <a:pt x="4" y="0"/>
                                <a:pt x="0" y="4"/>
                                <a:pt x="0" y="10"/>
                              </a:cubicBezTo>
                              <a:cubicBezTo>
                                <a:pt x="0" y="86"/>
                                <a:pt x="0" y="86"/>
                                <a:pt x="0" y="86"/>
                              </a:cubicBezTo>
                              <a:cubicBezTo>
                                <a:pt x="0" y="91"/>
                                <a:pt x="4" y="96"/>
                                <a:pt x="10" y="96"/>
                              </a:cubicBezTo>
                              <a:cubicBezTo>
                                <a:pt x="86" y="96"/>
                                <a:pt x="86" y="96"/>
                                <a:pt x="86" y="96"/>
                              </a:cubicBezTo>
                              <a:cubicBezTo>
                                <a:pt x="91" y="96"/>
                                <a:pt x="96" y="91"/>
                                <a:pt x="96" y="86"/>
                              </a:cubicBezTo>
                              <a:cubicBezTo>
                                <a:pt x="96" y="10"/>
                                <a:pt x="96" y="10"/>
                                <a:pt x="96" y="10"/>
                              </a:cubicBezTo>
                              <a:cubicBezTo>
                                <a:pt x="96" y="4"/>
                                <a:pt x="91" y="0"/>
                                <a:pt x="86" y="0"/>
                              </a:cubicBezTo>
                              <a:close/>
                              <a:moveTo>
                                <a:pt x="76" y="35"/>
                              </a:moveTo>
                              <a:cubicBezTo>
                                <a:pt x="76" y="36"/>
                                <a:pt x="76" y="36"/>
                                <a:pt x="76" y="37"/>
                              </a:cubicBezTo>
                              <a:cubicBezTo>
                                <a:pt x="76" y="56"/>
                                <a:pt x="62" y="78"/>
                                <a:pt x="36" y="78"/>
                              </a:cubicBezTo>
                              <a:cubicBezTo>
                                <a:pt x="27" y="78"/>
                                <a:pt x="20" y="75"/>
                                <a:pt x="14" y="71"/>
                              </a:cubicBezTo>
                              <a:cubicBezTo>
                                <a:pt x="15" y="72"/>
                                <a:pt x="16" y="72"/>
                                <a:pt x="17" y="72"/>
                              </a:cubicBezTo>
                              <a:cubicBezTo>
                                <a:pt x="24" y="72"/>
                                <a:pt x="30" y="69"/>
                                <a:pt x="35" y="65"/>
                              </a:cubicBezTo>
                              <a:cubicBezTo>
                                <a:pt x="29" y="65"/>
                                <a:pt x="23" y="61"/>
                                <a:pt x="21" y="56"/>
                              </a:cubicBezTo>
                              <a:cubicBezTo>
                                <a:pt x="22" y="56"/>
                                <a:pt x="23" y="56"/>
                                <a:pt x="24" y="56"/>
                              </a:cubicBezTo>
                              <a:cubicBezTo>
                                <a:pt x="25" y="56"/>
                                <a:pt x="27" y="56"/>
                                <a:pt x="28" y="55"/>
                              </a:cubicBezTo>
                              <a:cubicBezTo>
                                <a:pt x="21" y="54"/>
                                <a:pt x="16" y="48"/>
                                <a:pt x="16" y="41"/>
                              </a:cubicBezTo>
                              <a:cubicBezTo>
                                <a:pt x="16" y="41"/>
                                <a:pt x="16" y="41"/>
                                <a:pt x="16" y="41"/>
                              </a:cubicBezTo>
                              <a:cubicBezTo>
                                <a:pt x="18" y="42"/>
                                <a:pt x="21" y="43"/>
                                <a:pt x="23" y="43"/>
                              </a:cubicBezTo>
                              <a:cubicBezTo>
                                <a:pt x="19" y="40"/>
                                <a:pt x="16" y="36"/>
                                <a:pt x="16" y="31"/>
                              </a:cubicBezTo>
                              <a:cubicBezTo>
                                <a:pt x="16" y="28"/>
                                <a:pt x="17" y="26"/>
                                <a:pt x="18" y="24"/>
                              </a:cubicBezTo>
                              <a:cubicBezTo>
                                <a:pt x="25" y="32"/>
                                <a:pt x="36" y="38"/>
                                <a:pt x="48" y="39"/>
                              </a:cubicBezTo>
                              <a:cubicBezTo>
                                <a:pt x="48" y="38"/>
                                <a:pt x="48" y="36"/>
                                <a:pt x="48" y="35"/>
                              </a:cubicBezTo>
                              <a:cubicBezTo>
                                <a:pt x="48" y="27"/>
                                <a:pt x="54" y="21"/>
                                <a:pt x="62" y="21"/>
                              </a:cubicBezTo>
                              <a:cubicBezTo>
                                <a:pt x="66" y="21"/>
                                <a:pt x="70" y="23"/>
                                <a:pt x="72" y="26"/>
                              </a:cubicBezTo>
                              <a:cubicBezTo>
                                <a:pt x="76" y="25"/>
                                <a:pt x="79" y="24"/>
                                <a:pt x="82" y="22"/>
                              </a:cubicBezTo>
                              <a:cubicBezTo>
                                <a:pt x="80" y="25"/>
                                <a:pt x="78" y="28"/>
                                <a:pt x="75" y="30"/>
                              </a:cubicBezTo>
                              <a:cubicBezTo>
                                <a:pt x="78" y="30"/>
                                <a:pt x="81" y="29"/>
                                <a:pt x="83" y="28"/>
                              </a:cubicBezTo>
                              <a:cubicBezTo>
                                <a:pt x="82" y="31"/>
                                <a:pt x="79" y="33"/>
                                <a:pt x="76" y="35"/>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45036575" name="Freeform 27"/>
                      <wps:cNvSpPr>
                        <a:spLocks/>
                      </wps:cNvSpPr>
                      <wps:spPr bwMode="auto">
                        <a:xfrm>
                          <a:off x="1518532" y="8571"/>
                          <a:ext cx="360363" cy="360363"/>
                        </a:xfrm>
                        <a:custGeom>
                          <a:avLst/>
                          <a:gdLst>
                            <a:gd name="T0" fmla="*/ 96 w 96"/>
                            <a:gd name="T1" fmla="*/ 10 h 96"/>
                            <a:gd name="T2" fmla="*/ 96 w 96"/>
                            <a:gd name="T3" fmla="*/ 86 h 96"/>
                            <a:gd name="T4" fmla="*/ 86 w 96"/>
                            <a:gd name="T5" fmla="*/ 96 h 96"/>
                            <a:gd name="T6" fmla="*/ 64 w 96"/>
                            <a:gd name="T7" fmla="*/ 96 h 96"/>
                            <a:gd name="T8" fmla="*/ 64 w 96"/>
                            <a:gd name="T9" fmla="*/ 56 h 96"/>
                            <a:gd name="T10" fmla="*/ 76 w 96"/>
                            <a:gd name="T11" fmla="*/ 56 h 96"/>
                            <a:gd name="T12" fmla="*/ 76 w 96"/>
                            <a:gd name="T13" fmla="*/ 44 h 96"/>
                            <a:gd name="T14" fmla="*/ 64 w 96"/>
                            <a:gd name="T15" fmla="*/ 44 h 96"/>
                            <a:gd name="T16" fmla="*/ 64 w 96"/>
                            <a:gd name="T17" fmla="*/ 37 h 96"/>
                            <a:gd name="T18" fmla="*/ 70 w 96"/>
                            <a:gd name="T19" fmla="*/ 32 h 96"/>
                            <a:gd name="T20" fmla="*/ 76 w 96"/>
                            <a:gd name="T21" fmla="*/ 32 h 96"/>
                            <a:gd name="T22" fmla="*/ 76 w 96"/>
                            <a:gd name="T23" fmla="*/ 16 h 96"/>
                            <a:gd name="T24" fmla="*/ 60 w 96"/>
                            <a:gd name="T25" fmla="*/ 16 h 96"/>
                            <a:gd name="T26" fmla="*/ 48 w 96"/>
                            <a:gd name="T27" fmla="*/ 32 h 96"/>
                            <a:gd name="T28" fmla="*/ 48 w 96"/>
                            <a:gd name="T29" fmla="*/ 44 h 96"/>
                            <a:gd name="T30" fmla="*/ 40 w 96"/>
                            <a:gd name="T31" fmla="*/ 44 h 96"/>
                            <a:gd name="T32" fmla="*/ 40 w 96"/>
                            <a:gd name="T33" fmla="*/ 56 h 96"/>
                            <a:gd name="T34" fmla="*/ 48 w 96"/>
                            <a:gd name="T35" fmla="*/ 56 h 96"/>
                            <a:gd name="T36" fmla="*/ 48 w 96"/>
                            <a:gd name="T37" fmla="*/ 96 h 96"/>
                            <a:gd name="T38" fmla="*/ 10 w 96"/>
                            <a:gd name="T39" fmla="*/ 96 h 96"/>
                            <a:gd name="T40" fmla="*/ 0 w 96"/>
                            <a:gd name="T41" fmla="*/ 86 h 96"/>
                            <a:gd name="T42" fmla="*/ 0 w 96"/>
                            <a:gd name="T43" fmla="*/ 10 h 96"/>
                            <a:gd name="T44" fmla="*/ 10 w 96"/>
                            <a:gd name="T45" fmla="*/ 0 h 96"/>
                            <a:gd name="T46" fmla="*/ 86 w 96"/>
                            <a:gd name="T47" fmla="*/ 0 h 96"/>
                            <a:gd name="T48" fmla="*/ 96 w 96"/>
                            <a:gd name="T49" fmla="*/ 1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6" h="96">
                              <a:moveTo>
                                <a:pt x="96" y="10"/>
                              </a:moveTo>
                              <a:cubicBezTo>
                                <a:pt x="96" y="86"/>
                                <a:pt x="96" y="86"/>
                                <a:pt x="96" y="86"/>
                              </a:cubicBezTo>
                              <a:cubicBezTo>
                                <a:pt x="96" y="91"/>
                                <a:pt x="91" y="96"/>
                                <a:pt x="86" y="96"/>
                              </a:cubicBezTo>
                              <a:cubicBezTo>
                                <a:pt x="64" y="96"/>
                                <a:pt x="64" y="96"/>
                                <a:pt x="64" y="96"/>
                              </a:cubicBezTo>
                              <a:cubicBezTo>
                                <a:pt x="64" y="56"/>
                                <a:pt x="64" y="56"/>
                                <a:pt x="64" y="56"/>
                              </a:cubicBezTo>
                              <a:cubicBezTo>
                                <a:pt x="76" y="56"/>
                                <a:pt x="76" y="56"/>
                                <a:pt x="76" y="56"/>
                              </a:cubicBezTo>
                              <a:cubicBezTo>
                                <a:pt x="76" y="44"/>
                                <a:pt x="76" y="44"/>
                                <a:pt x="76" y="44"/>
                              </a:cubicBezTo>
                              <a:cubicBezTo>
                                <a:pt x="64" y="44"/>
                                <a:pt x="64" y="44"/>
                                <a:pt x="64" y="44"/>
                              </a:cubicBezTo>
                              <a:cubicBezTo>
                                <a:pt x="64" y="37"/>
                                <a:pt x="64" y="37"/>
                                <a:pt x="64" y="37"/>
                              </a:cubicBezTo>
                              <a:cubicBezTo>
                                <a:pt x="64" y="33"/>
                                <a:pt x="65" y="32"/>
                                <a:pt x="70" y="32"/>
                              </a:cubicBezTo>
                              <a:cubicBezTo>
                                <a:pt x="76" y="32"/>
                                <a:pt x="76" y="32"/>
                                <a:pt x="76" y="32"/>
                              </a:cubicBezTo>
                              <a:cubicBezTo>
                                <a:pt x="76" y="16"/>
                                <a:pt x="76" y="16"/>
                                <a:pt x="76" y="16"/>
                              </a:cubicBezTo>
                              <a:cubicBezTo>
                                <a:pt x="76" y="16"/>
                                <a:pt x="72" y="16"/>
                                <a:pt x="60" y="16"/>
                              </a:cubicBezTo>
                              <a:cubicBezTo>
                                <a:pt x="48" y="16"/>
                                <a:pt x="48" y="28"/>
                                <a:pt x="48" y="32"/>
                              </a:cubicBezTo>
                              <a:cubicBezTo>
                                <a:pt x="48" y="36"/>
                                <a:pt x="48" y="44"/>
                                <a:pt x="48" y="44"/>
                              </a:cubicBezTo>
                              <a:cubicBezTo>
                                <a:pt x="40" y="44"/>
                                <a:pt x="40" y="44"/>
                                <a:pt x="40" y="44"/>
                              </a:cubicBezTo>
                              <a:cubicBezTo>
                                <a:pt x="40" y="56"/>
                                <a:pt x="40" y="56"/>
                                <a:pt x="40" y="56"/>
                              </a:cubicBezTo>
                              <a:cubicBezTo>
                                <a:pt x="48" y="56"/>
                                <a:pt x="48" y="56"/>
                                <a:pt x="48" y="56"/>
                              </a:cubicBezTo>
                              <a:cubicBezTo>
                                <a:pt x="48" y="96"/>
                                <a:pt x="48" y="96"/>
                                <a:pt x="48" y="96"/>
                              </a:cubicBezTo>
                              <a:cubicBezTo>
                                <a:pt x="10" y="96"/>
                                <a:pt x="10" y="96"/>
                                <a:pt x="10" y="96"/>
                              </a:cubicBezTo>
                              <a:cubicBezTo>
                                <a:pt x="4" y="96"/>
                                <a:pt x="0" y="91"/>
                                <a:pt x="0" y="86"/>
                              </a:cubicBezTo>
                              <a:cubicBezTo>
                                <a:pt x="0" y="10"/>
                                <a:pt x="0" y="10"/>
                                <a:pt x="0" y="10"/>
                              </a:cubicBezTo>
                              <a:cubicBezTo>
                                <a:pt x="0" y="4"/>
                                <a:pt x="4" y="0"/>
                                <a:pt x="10" y="0"/>
                              </a:cubicBezTo>
                              <a:cubicBezTo>
                                <a:pt x="86" y="0"/>
                                <a:pt x="86" y="0"/>
                                <a:pt x="86" y="0"/>
                              </a:cubicBezTo>
                              <a:cubicBezTo>
                                <a:pt x="91" y="0"/>
                                <a:pt x="96" y="4"/>
                                <a:pt x="96" y="10"/>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g:grpSp>
                      <wpg:cNvPr id="245036576" name="Group 245036576"/>
                      <wpg:cNvGrpSpPr/>
                      <wpg:grpSpPr>
                        <a:xfrm>
                          <a:off x="1012884" y="8571"/>
                          <a:ext cx="360363" cy="358775"/>
                          <a:chOff x="1012884" y="8571"/>
                          <a:chExt cx="360363" cy="358775"/>
                        </a:xfrm>
                        <a:solidFill>
                          <a:schemeClr val="bg1"/>
                        </a:solidFill>
                      </wpg:grpSpPr>
                      <wps:wsp>
                        <wps:cNvPr id="245036577" name="Freeform 45"/>
                        <wps:cNvSpPr>
                          <a:spLocks/>
                        </wps:cNvSpPr>
                        <wps:spPr bwMode="auto">
                          <a:xfrm>
                            <a:off x="1177984" y="97471"/>
                            <a:ext cx="15875" cy="57150"/>
                          </a:xfrm>
                          <a:custGeom>
                            <a:avLst/>
                            <a:gdLst>
                              <a:gd name="T0" fmla="*/ 1 w 4"/>
                              <a:gd name="T1" fmla="*/ 15 h 15"/>
                              <a:gd name="T2" fmla="*/ 3 w 4"/>
                              <a:gd name="T3" fmla="*/ 14 h 15"/>
                              <a:gd name="T4" fmla="*/ 4 w 4"/>
                              <a:gd name="T5" fmla="*/ 14 h 15"/>
                              <a:gd name="T6" fmla="*/ 4 w 4"/>
                              <a:gd name="T7" fmla="*/ 1 h 15"/>
                              <a:gd name="T8" fmla="*/ 3 w 4"/>
                              <a:gd name="T9" fmla="*/ 1 h 15"/>
                              <a:gd name="T10" fmla="*/ 2 w 4"/>
                              <a:gd name="T11" fmla="*/ 0 h 15"/>
                              <a:gd name="T12" fmla="*/ 1 w 4"/>
                              <a:gd name="T13" fmla="*/ 0 h 15"/>
                              <a:gd name="T14" fmla="*/ 0 w 4"/>
                              <a:gd name="T15" fmla="*/ 1 h 15"/>
                              <a:gd name="T16" fmla="*/ 0 w 4"/>
                              <a:gd name="T17" fmla="*/ 14 h 15"/>
                              <a:gd name="T18" fmla="*/ 0 w 4"/>
                              <a:gd name="T19" fmla="*/ 14 h 15"/>
                              <a:gd name="T20" fmla="*/ 1 w 4"/>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5">
                                <a:moveTo>
                                  <a:pt x="1" y="15"/>
                                </a:moveTo>
                                <a:cubicBezTo>
                                  <a:pt x="2" y="15"/>
                                  <a:pt x="3" y="15"/>
                                  <a:pt x="3" y="14"/>
                                </a:cubicBezTo>
                                <a:cubicBezTo>
                                  <a:pt x="3" y="14"/>
                                  <a:pt x="4" y="14"/>
                                  <a:pt x="4" y="14"/>
                                </a:cubicBezTo>
                                <a:cubicBezTo>
                                  <a:pt x="4" y="1"/>
                                  <a:pt x="4" y="1"/>
                                  <a:pt x="4" y="1"/>
                                </a:cubicBezTo>
                                <a:cubicBezTo>
                                  <a:pt x="3" y="1"/>
                                  <a:pt x="3" y="1"/>
                                  <a:pt x="3" y="1"/>
                                </a:cubicBezTo>
                                <a:cubicBezTo>
                                  <a:pt x="3" y="0"/>
                                  <a:pt x="2" y="0"/>
                                  <a:pt x="2" y="0"/>
                                </a:cubicBezTo>
                                <a:cubicBezTo>
                                  <a:pt x="1" y="0"/>
                                  <a:pt x="1" y="0"/>
                                  <a:pt x="1" y="0"/>
                                </a:cubicBezTo>
                                <a:cubicBezTo>
                                  <a:pt x="0" y="1"/>
                                  <a:pt x="0" y="1"/>
                                  <a:pt x="0" y="1"/>
                                </a:cubicBezTo>
                                <a:cubicBezTo>
                                  <a:pt x="0" y="14"/>
                                  <a:pt x="0" y="14"/>
                                  <a:pt x="0" y="14"/>
                                </a:cubicBezTo>
                                <a:cubicBezTo>
                                  <a:pt x="0" y="14"/>
                                  <a:pt x="0" y="14"/>
                                  <a:pt x="0" y="14"/>
                                </a:cubicBezTo>
                                <a:cubicBezTo>
                                  <a:pt x="0" y="15"/>
                                  <a:pt x="1" y="15"/>
                                  <a:pt x="1" y="1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78" name="Freeform 46"/>
                        <wps:cNvSpPr>
                          <a:spLocks noEditPoints="1"/>
                        </wps:cNvSpPr>
                        <wps:spPr bwMode="auto">
                          <a:xfrm>
                            <a:off x="1012884" y="8571"/>
                            <a:ext cx="360363" cy="358775"/>
                          </a:xfrm>
                          <a:custGeom>
                            <a:avLst/>
                            <a:gdLst>
                              <a:gd name="T0" fmla="*/ 86 w 96"/>
                              <a:gd name="T1" fmla="*/ 0 h 96"/>
                              <a:gd name="T2" fmla="*/ 10 w 96"/>
                              <a:gd name="T3" fmla="*/ 0 h 96"/>
                              <a:gd name="T4" fmla="*/ 0 w 96"/>
                              <a:gd name="T5" fmla="*/ 10 h 96"/>
                              <a:gd name="T6" fmla="*/ 0 w 96"/>
                              <a:gd name="T7" fmla="*/ 86 h 96"/>
                              <a:gd name="T8" fmla="*/ 10 w 96"/>
                              <a:gd name="T9" fmla="*/ 96 h 96"/>
                              <a:gd name="T10" fmla="*/ 86 w 96"/>
                              <a:gd name="T11" fmla="*/ 96 h 96"/>
                              <a:gd name="T12" fmla="*/ 96 w 96"/>
                              <a:gd name="T13" fmla="*/ 86 h 96"/>
                              <a:gd name="T14" fmla="*/ 96 w 96"/>
                              <a:gd name="T15" fmla="*/ 10 h 96"/>
                              <a:gd name="T16" fmla="*/ 86 w 96"/>
                              <a:gd name="T17" fmla="*/ 0 h 96"/>
                              <a:gd name="T18" fmla="*/ 56 w 96"/>
                              <a:gd name="T19" fmla="*/ 20 h 96"/>
                              <a:gd name="T20" fmla="*/ 60 w 96"/>
                              <a:gd name="T21" fmla="*/ 20 h 96"/>
                              <a:gd name="T22" fmla="*/ 60 w 96"/>
                              <a:gd name="T23" fmla="*/ 38 h 96"/>
                              <a:gd name="T24" fmla="*/ 60 w 96"/>
                              <a:gd name="T25" fmla="*/ 38 h 96"/>
                              <a:gd name="T26" fmla="*/ 62 w 96"/>
                              <a:gd name="T27" fmla="*/ 38 h 96"/>
                              <a:gd name="T28" fmla="*/ 64 w 96"/>
                              <a:gd name="T29" fmla="*/ 37 h 96"/>
                              <a:gd name="T30" fmla="*/ 64 w 96"/>
                              <a:gd name="T31" fmla="*/ 20 h 96"/>
                              <a:gd name="T32" fmla="*/ 68 w 96"/>
                              <a:gd name="T33" fmla="*/ 20 h 96"/>
                              <a:gd name="T34" fmla="*/ 68 w 96"/>
                              <a:gd name="T35" fmla="*/ 44 h 96"/>
                              <a:gd name="T36" fmla="*/ 64 w 96"/>
                              <a:gd name="T37" fmla="*/ 44 h 96"/>
                              <a:gd name="T38" fmla="*/ 64 w 96"/>
                              <a:gd name="T39" fmla="*/ 42 h 96"/>
                              <a:gd name="T40" fmla="*/ 62 w 96"/>
                              <a:gd name="T41" fmla="*/ 43 h 96"/>
                              <a:gd name="T42" fmla="*/ 59 w 96"/>
                              <a:gd name="T43" fmla="*/ 44 h 96"/>
                              <a:gd name="T44" fmla="*/ 56 w 96"/>
                              <a:gd name="T45" fmla="*/ 43 h 96"/>
                              <a:gd name="T46" fmla="*/ 56 w 96"/>
                              <a:gd name="T47" fmla="*/ 39 h 96"/>
                              <a:gd name="T48" fmla="*/ 56 w 96"/>
                              <a:gd name="T49" fmla="*/ 20 h 96"/>
                              <a:gd name="T50" fmla="*/ 50 w 96"/>
                              <a:gd name="T51" fmla="*/ 21 h 96"/>
                              <a:gd name="T52" fmla="*/ 52 w 96"/>
                              <a:gd name="T53" fmla="*/ 25 h 96"/>
                              <a:gd name="T54" fmla="*/ 52 w 96"/>
                              <a:gd name="T55" fmla="*/ 37 h 96"/>
                              <a:gd name="T56" fmla="*/ 50 w 96"/>
                              <a:gd name="T57" fmla="*/ 42 h 96"/>
                              <a:gd name="T58" fmla="*/ 45 w 96"/>
                              <a:gd name="T59" fmla="*/ 44 h 96"/>
                              <a:gd name="T60" fmla="*/ 41 w 96"/>
                              <a:gd name="T61" fmla="*/ 42 h 96"/>
                              <a:gd name="T62" fmla="*/ 40 w 96"/>
                              <a:gd name="T63" fmla="*/ 37 h 96"/>
                              <a:gd name="T64" fmla="*/ 40 w 96"/>
                              <a:gd name="T65" fmla="*/ 25 h 96"/>
                              <a:gd name="T66" fmla="*/ 41 w 96"/>
                              <a:gd name="T67" fmla="*/ 20 h 96"/>
                              <a:gd name="T68" fmla="*/ 46 w 96"/>
                              <a:gd name="T69" fmla="*/ 19 h 96"/>
                              <a:gd name="T70" fmla="*/ 50 w 96"/>
                              <a:gd name="T71" fmla="*/ 21 h 96"/>
                              <a:gd name="T72" fmla="*/ 29 w 96"/>
                              <a:gd name="T73" fmla="*/ 12 h 96"/>
                              <a:gd name="T74" fmla="*/ 32 w 96"/>
                              <a:gd name="T75" fmla="*/ 22 h 96"/>
                              <a:gd name="T76" fmla="*/ 34 w 96"/>
                              <a:gd name="T77" fmla="*/ 12 h 96"/>
                              <a:gd name="T78" fmla="*/ 41 w 96"/>
                              <a:gd name="T79" fmla="*/ 12 h 96"/>
                              <a:gd name="T80" fmla="*/ 36 w 96"/>
                              <a:gd name="T81" fmla="*/ 30 h 96"/>
                              <a:gd name="T82" fmla="*/ 36 w 96"/>
                              <a:gd name="T83" fmla="*/ 44 h 96"/>
                              <a:gd name="T84" fmla="*/ 28 w 96"/>
                              <a:gd name="T85" fmla="*/ 44 h 96"/>
                              <a:gd name="T86" fmla="*/ 28 w 96"/>
                              <a:gd name="T87" fmla="*/ 31 h 96"/>
                              <a:gd name="T88" fmla="*/ 22 w 96"/>
                              <a:gd name="T89" fmla="*/ 12 h 96"/>
                              <a:gd name="T90" fmla="*/ 29 w 96"/>
                              <a:gd name="T91" fmla="*/ 12 h 96"/>
                              <a:gd name="T92" fmla="*/ 76 w 96"/>
                              <a:gd name="T93" fmla="*/ 68 h 96"/>
                              <a:gd name="T94" fmla="*/ 64 w 96"/>
                              <a:gd name="T95" fmla="*/ 80 h 96"/>
                              <a:gd name="T96" fmla="*/ 32 w 96"/>
                              <a:gd name="T97" fmla="*/ 80 h 96"/>
                              <a:gd name="T98" fmla="*/ 20 w 96"/>
                              <a:gd name="T99" fmla="*/ 68 h 96"/>
                              <a:gd name="T100" fmla="*/ 20 w 96"/>
                              <a:gd name="T101" fmla="*/ 60 h 96"/>
                              <a:gd name="T102" fmla="*/ 32 w 96"/>
                              <a:gd name="T103" fmla="*/ 48 h 96"/>
                              <a:gd name="T104" fmla="*/ 64 w 96"/>
                              <a:gd name="T105" fmla="*/ 48 h 96"/>
                              <a:gd name="T106" fmla="*/ 76 w 96"/>
                              <a:gd name="T107" fmla="*/ 60 h 96"/>
                              <a:gd name="T108" fmla="*/ 76 w 96"/>
                              <a:gd name="T109" fmla="*/ 6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6" h="96">
                                <a:moveTo>
                                  <a:pt x="86" y="0"/>
                                </a:moveTo>
                                <a:cubicBezTo>
                                  <a:pt x="10" y="0"/>
                                  <a:pt x="10" y="0"/>
                                  <a:pt x="10" y="0"/>
                                </a:cubicBezTo>
                                <a:cubicBezTo>
                                  <a:pt x="4" y="0"/>
                                  <a:pt x="0" y="4"/>
                                  <a:pt x="0" y="10"/>
                                </a:cubicBezTo>
                                <a:cubicBezTo>
                                  <a:pt x="0" y="86"/>
                                  <a:pt x="0" y="86"/>
                                  <a:pt x="0" y="86"/>
                                </a:cubicBezTo>
                                <a:cubicBezTo>
                                  <a:pt x="0" y="91"/>
                                  <a:pt x="4" y="96"/>
                                  <a:pt x="10" y="96"/>
                                </a:cubicBezTo>
                                <a:cubicBezTo>
                                  <a:pt x="86" y="96"/>
                                  <a:pt x="86" y="96"/>
                                  <a:pt x="86" y="96"/>
                                </a:cubicBezTo>
                                <a:cubicBezTo>
                                  <a:pt x="91" y="96"/>
                                  <a:pt x="96" y="91"/>
                                  <a:pt x="96" y="86"/>
                                </a:cubicBezTo>
                                <a:cubicBezTo>
                                  <a:pt x="96" y="10"/>
                                  <a:pt x="96" y="10"/>
                                  <a:pt x="96" y="10"/>
                                </a:cubicBezTo>
                                <a:cubicBezTo>
                                  <a:pt x="96" y="4"/>
                                  <a:pt x="91" y="0"/>
                                  <a:pt x="86" y="0"/>
                                </a:cubicBezTo>
                                <a:close/>
                                <a:moveTo>
                                  <a:pt x="56" y="20"/>
                                </a:moveTo>
                                <a:cubicBezTo>
                                  <a:pt x="60" y="20"/>
                                  <a:pt x="60" y="20"/>
                                  <a:pt x="60" y="20"/>
                                </a:cubicBezTo>
                                <a:cubicBezTo>
                                  <a:pt x="60" y="38"/>
                                  <a:pt x="60" y="38"/>
                                  <a:pt x="60" y="38"/>
                                </a:cubicBezTo>
                                <a:cubicBezTo>
                                  <a:pt x="60" y="38"/>
                                  <a:pt x="60" y="38"/>
                                  <a:pt x="60" y="38"/>
                                </a:cubicBezTo>
                                <a:cubicBezTo>
                                  <a:pt x="60" y="38"/>
                                  <a:pt x="61" y="38"/>
                                  <a:pt x="62" y="38"/>
                                </a:cubicBezTo>
                                <a:cubicBezTo>
                                  <a:pt x="64" y="37"/>
                                  <a:pt x="64" y="37"/>
                                  <a:pt x="64" y="37"/>
                                </a:cubicBezTo>
                                <a:cubicBezTo>
                                  <a:pt x="64" y="20"/>
                                  <a:pt x="64" y="20"/>
                                  <a:pt x="64" y="20"/>
                                </a:cubicBezTo>
                                <a:cubicBezTo>
                                  <a:pt x="68" y="20"/>
                                  <a:pt x="68" y="20"/>
                                  <a:pt x="68" y="20"/>
                                </a:cubicBezTo>
                                <a:cubicBezTo>
                                  <a:pt x="68" y="44"/>
                                  <a:pt x="68" y="44"/>
                                  <a:pt x="68" y="44"/>
                                </a:cubicBezTo>
                                <a:cubicBezTo>
                                  <a:pt x="64" y="44"/>
                                  <a:pt x="64" y="44"/>
                                  <a:pt x="64" y="44"/>
                                </a:cubicBezTo>
                                <a:cubicBezTo>
                                  <a:pt x="64" y="42"/>
                                  <a:pt x="64" y="42"/>
                                  <a:pt x="64" y="42"/>
                                </a:cubicBezTo>
                                <a:cubicBezTo>
                                  <a:pt x="64" y="43"/>
                                  <a:pt x="62" y="43"/>
                                  <a:pt x="62" y="43"/>
                                </a:cubicBezTo>
                                <a:cubicBezTo>
                                  <a:pt x="61" y="44"/>
                                  <a:pt x="59" y="44"/>
                                  <a:pt x="59" y="44"/>
                                </a:cubicBezTo>
                                <a:cubicBezTo>
                                  <a:pt x="57" y="44"/>
                                  <a:pt x="57" y="44"/>
                                  <a:pt x="56" y="43"/>
                                </a:cubicBezTo>
                                <a:cubicBezTo>
                                  <a:pt x="56" y="42"/>
                                  <a:pt x="56" y="41"/>
                                  <a:pt x="56" y="39"/>
                                </a:cubicBezTo>
                                <a:lnTo>
                                  <a:pt x="56" y="20"/>
                                </a:lnTo>
                                <a:close/>
                                <a:moveTo>
                                  <a:pt x="50" y="21"/>
                                </a:moveTo>
                                <a:cubicBezTo>
                                  <a:pt x="51" y="22"/>
                                  <a:pt x="52" y="23"/>
                                  <a:pt x="52" y="25"/>
                                </a:cubicBezTo>
                                <a:cubicBezTo>
                                  <a:pt x="52" y="37"/>
                                  <a:pt x="52" y="37"/>
                                  <a:pt x="52" y="37"/>
                                </a:cubicBezTo>
                                <a:cubicBezTo>
                                  <a:pt x="52" y="39"/>
                                  <a:pt x="51" y="41"/>
                                  <a:pt x="50" y="42"/>
                                </a:cubicBezTo>
                                <a:cubicBezTo>
                                  <a:pt x="49" y="44"/>
                                  <a:pt x="47" y="44"/>
                                  <a:pt x="45" y="44"/>
                                </a:cubicBezTo>
                                <a:cubicBezTo>
                                  <a:pt x="43" y="44"/>
                                  <a:pt x="42" y="44"/>
                                  <a:pt x="41" y="42"/>
                                </a:cubicBezTo>
                                <a:cubicBezTo>
                                  <a:pt x="40" y="41"/>
                                  <a:pt x="40" y="39"/>
                                  <a:pt x="40" y="37"/>
                                </a:cubicBezTo>
                                <a:cubicBezTo>
                                  <a:pt x="40" y="25"/>
                                  <a:pt x="40" y="25"/>
                                  <a:pt x="40" y="25"/>
                                </a:cubicBezTo>
                                <a:cubicBezTo>
                                  <a:pt x="40" y="23"/>
                                  <a:pt x="40" y="22"/>
                                  <a:pt x="41" y="20"/>
                                </a:cubicBezTo>
                                <a:cubicBezTo>
                                  <a:pt x="42" y="19"/>
                                  <a:pt x="44" y="19"/>
                                  <a:pt x="46" y="19"/>
                                </a:cubicBezTo>
                                <a:cubicBezTo>
                                  <a:pt x="48" y="19"/>
                                  <a:pt x="49" y="19"/>
                                  <a:pt x="50" y="21"/>
                                </a:cubicBezTo>
                                <a:close/>
                                <a:moveTo>
                                  <a:pt x="29" y="12"/>
                                </a:moveTo>
                                <a:cubicBezTo>
                                  <a:pt x="32" y="22"/>
                                  <a:pt x="32" y="22"/>
                                  <a:pt x="32" y="22"/>
                                </a:cubicBezTo>
                                <a:cubicBezTo>
                                  <a:pt x="34" y="12"/>
                                  <a:pt x="34" y="12"/>
                                  <a:pt x="34" y="12"/>
                                </a:cubicBezTo>
                                <a:cubicBezTo>
                                  <a:pt x="41" y="12"/>
                                  <a:pt x="41" y="12"/>
                                  <a:pt x="41" y="12"/>
                                </a:cubicBezTo>
                                <a:cubicBezTo>
                                  <a:pt x="36" y="30"/>
                                  <a:pt x="36" y="30"/>
                                  <a:pt x="36" y="30"/>
                                </a:cubicBezTo>
                                <a:cubicBezTo>
                                  <a:pt x="36" y="44"/>
                                  <a:pt x="36" y="44"/>
                                  <a:pt x="36" y="44"/>
                                </a:cubicBezTo>
                                <a:cubicBezTo>
                                  <a:pt x="28" y="44"/>
                                  <a:pt x="28" y="44"/>
                                  <a:pt x="28" y="44"/>
                                </a:cubicBezTo>
                                <a:cubicBezTo>
                                  <a:pt x="28" y="31"/>
                                  <a:pt x="28" y="31"/>
                                  <a:pt x="28" y="31"/>
                                </a:cubicBezTo>
                                <a:cubicBezTo>
                                  <a:pt x="22" y="12"/>
                                  <a:pt x="22" y="12"/>
                                  <a:pt x="22" y="12"/>
                                </a:cubicBezTo>
                                <a:lnTo>
                                  <a:pt x="29" y="12"/>
                                </a:lnTo>
                                <a:close/>
                                <a:moveTo>
                                  <a:pt x="76" y="68"/>
                                </a:moveTo>
                                <a:cubicBezTo>
                                  <a:pt x="76" y="74"/>
                                  <a:pt x="70" y="80"/>
                                  <a:pt x="64" y="80"/>
                                </a:cubicBezTo>
                                <a:cubicBezTo>
                                  <a:pt x="32" y="80"/>
                                  <a:pt x="32" y="80"/>
                                  <a:pt x="32" y="80"/>
                                </a:cubicBezTo>
                                <a:cubicBezTo>
                                  <a:pt x="25" y="80"/>
                                  <a:pt x="20" y="74"/>
                                  <a:pt x="20" y="68"/>
                                </a:cubicBezTo>
                                <a:cubicBezTo>
                                  <a:pt x="20" y="60"/>
                                  <a:pt x="20" y="60"/>
                                  <a:pt x="20" y="60"/>
                                </a:cubicBezTo>
                                <a:cubicBezTo>
                                  <a:pt x="20" y="53"/>
                                  <a:pt x="25" y="48"/>
                                  <a:pt x="32" y="48"/>
                                </a:cubicBezTo>
                                <a:cubicBezTo>
                                  <a:pt x="64" y="48"/>
                                  <a:pt x="64" y="48"/>
                                  <a:pt x="64" y="48"/>
                                </a:cubicBezTo>
                                <a:cubicBezTo>
                                  <a:pt x="70" y="48"/>
                                  <a:pt x="76" y="53"/>
                                  <a:pt x="76" y="60"/>
                                </a:cubicBezTo>
                                <a:lnTo>
                                  <a:pt x="76" y="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79" name="Freeform 47"/>
                        <wps:cNvSpPr>
                          <a:spLocks noEditPoints="1"/>
                        </wps:cNvSpPr>
                        <wps:spPr bwMode="auto">
                          <a:xfrm>
                            <a:off x="1111309" y="207008"/>
                            <a:ext cx="157163" cy="82550"/>
                          </a:xfrm>
                          <a:custGeom>
                            <a:avLst/>
                            <a:gdLst>
                              <a:gd name="T0" fmla="*/ 35 w 42"/>
                              <a:gd name="T1" fmla="*/ 21 h 22"/>
                              <a:gd name="T2" fmla="*/ 34 w 42"/>
                              <a:gd name="T3" fmla="*/ 10 h 22"/>
                              <a:gd name="T4" fmla="*/ 38 w 42"/>
                              <a:gd name="T5" fmla="*/ 6 h 22"/>
                              <a:gd name="T6" fmla="*/ 42 w 42"/>
                              <a:gd name="T7" fmla="*/ 10 h 22"/>
                              <a:gd name="T8" fmla="*/ 36 w 42"/>
                              <a:gd name="T9" fmla="*/ 14 h 22"/>
                              <a:gd name="T10" fmla="*/ 37 w 42"/>
                              <a:gd name="T11" fmla="*/ 20 h 22"/>
                              <a:gd name="T12" fmla="*/ 39 w 42"/>
                              <a:gd name="T13" fmla="*/ 20 h 22"/>
                              <a:gd name="T14" fmla="*/ 40 w 42"/>
                              <a:gd name="T15" fmla="*/ 17 h 22"/>
                              <a:gd name="T16" fmla="*/ 42 w 42"/>
                              <a:gd name="T17" fmla="*/ 18 h 22"/>
                              <a:gd name="T18" fmla="*/ 38 w 42"/>
                              <a:gd name="T19" fmla="*/ 22 h 22"/>
                              <a:gd name="T20" fmla="*/ 37 w 42"/>
                              <a:gd name="T21" fmla="*/ 8 h 22"/>
                              <a:gd name="T22" fmla="*/ 36 w 42"/>
                              <a:gd name="T23" fmla="*/ 12 h 22"/>
                              <a:gd name="T24" fmla="*/ 40 w 42"/>
                              <a:gd name="T25" fmla="*/ 10 h 22"/>
                              <a:gd name="T26" fmla="*/ 38 w 42"/>
                              <a:gd name="T27" fmla="*/ 8 h 22"/>
                              <a:gd name="T28" fmla="*/ 11 w 42"/>
                              <a:gd name="T29" fmla="*/ 22 h 22"/>
                              <a:gd name="T30" fmla="*/ 11 w 42"/>
                              <a:gd name="T31" fmla="*/ 6 h 22"/>
                              <a:gd name="T32" fmla="*/ 13 w 42"/>
                              <a:gd name="T33" fmla="*/ 18 h 22"/>
                              <a:gd name="T34" fmla="*/ 14 w 42"/>
                              <a:gd name="T35" fmla="*/ 20 h 22"/>
                              <a:gd name="T36" fmla="*/ 16 w 42"/>
                              <a:gd name="T37" fmla="*/ 19 h 22"/>
                              <a:gd name="T38" fmla="*/ 19 w 42"/>
                              <a:gd name="T39" fmla="*/ 6 h 22"/>
                              <a:gd name="T40" fmla="*/ 16 w 42"/>
                              <a:gd name="T41" fmla="*/ 22 h 22"/>
                              <a:gd name="T42" fmla="*/ 16 w 42"/>
                              <a:gd name="T43" fmla="*/ 20 h 22"/>
                              <a:gd name="T44" fmla="*/ 12 w 42"/>
                              <a:gd name="T45" fmla="*/ 22 h 22"/>
                              <a:gd name="T46" fmla="*/ 27 w 42"/>
                              <a:gd name="T47" fmla="*/ 22 h 22"/>
                              <a:gd name="T48" fmla="*/ 25 w 42"/>
                              <a:gd name="T49" fmla="*/ 20 h 22"/>
                              <a:gd name="T50" fmla="*/ 23 w 42"/>
                              <a:gd name="T51" fmla="*/ 22 h 22"/>
                              <a:gd name="T52" fmla="*/ 25 w 42"/>
                              <a:gd name="T53" fmla="*/ 0 h 22"/>
                              <a:gd name="T54" fmla="*/ 26 w 42"/>
                              <a:gd name="T55" fmla="*/ 7 h 22"/>
                              <a:gd name="T56" fmla="*/ 28 w 42"/>
                              <a:gd name="T57" fmla="*/ 6 h 22"/>
                              <a:gd name="T58" fmla="*/ 31 w 42"/>
                              <a:gd name="T59" fmla="*/ 10 h 22"/>
                              <a:gd name="T60" fmla="*/ 30 w 42"/>
                              <a:gd name="T61" fmla="*/ 21 h 22"/>
                              <a:gd name="T62" fmla="*/ 27 w 42"/>
                              <a:gd name="T63" fmla="*/ 8 h 22"/>
                              <a:gd name="T64" fmla="*/ 25 w 42"/>
                              <a:gd name="T65" fmla="*/ 9 h 22"/>
                              <a:gd name="T66" fmla="*/ 26 w 42"/>
                              <a:gd name="T67" fmla="*/ 20 h 22"/>
                              <a:gd name="T68" fmla="*/ 28 w 42"/>
                              <a:gd name="T69" fmla="*/ 20 h 22"/>
                              <a:gd name="T70" fmla="*/ 28 w 42"/>
                              <a:gd name="T71" fmla="*/ 10 h 22"/>
                              <a:gd name="T72" fmla="*/ 27 w 42"/>
                              <a:gd name="T73" fmla="*/ 8 h 22"/>
                              <a:gd name="T74" fmla="*/ 4 w 42"/>
                              <a:gd name="T75" fmla="*/ 3 h 22"/>
                              <a:gd name="T76" fmla="*/ 0 w 42"/>
                              <a:gd name="T77" fmla="*/ 0 h 22"/>
                              <a:gd name="T78" fmla="*/ 10 w 42"/>
                              <a:gd name="T79" fmla="*/ 3 h 22"/>
                              <a:gd name="T80" fmla="*/ 6 w 42"/>
                              <a:gd name="T8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2" h="22">
                                <a:moveTo>
                                  <a:pt x="38" y="22"/>
                                </a:moveTo>
                                <a:cubicBezTo>
                                  <a:pt x="37" y="22"/>
                                  <a:pt x="36" y="22"/>
                                  <a:pt x="35" y="21"/>
                                </a:cubicBezTo>
                                <a:cubicBezTo>
                                  <a:pt x="34" y="20"/>
                                  <a:pt x="34" y="19"/>
                                  <a:pt x="34" y="18"/>
                                </a:cubicBezTo>
                                <a:cubicBezTo>
                                  <a:pt x="34" y="10"/>
                                  <a:pt x="34" y="10"/>
                                  <a:pt x="34" y="10"/>
                                </a:cubicBezTo>
                                <a:cubicBezTo>
                                  <a:pt x="34" y="9"/>
                                  <a:pt x="34" y="8"/>
                                  <a:pt x="35" y="7"/>
                                </a:cubicBezTo>
                                <a:cubicBezTo>
                                  <a:pt x="36" y="6"/>
                                  <a:pt x="37" y="6"/>
                                  <a:pt x="38" y="6"/>
                                </a:cubicBezTo>
                                <a:cubicBezTo>
                                  <a:pt x="39" y="6"/>
                                  <a:pt x="40" y="6"/>
                                  <a:pt x="41" y="7"/>
                                </a:cubicBezTo>
                                <a:cubicBezTo>
                                  <a:pt x="42" y="8"/>
                                  <a:pt x="42" y="9"/>
                                  <a:pt x="42" y="10"/>
                                </a:cubicBezTo>
                                <a:cubicBezTo>
                                  <a:pt x="42" y="14"/>
                                  <a:pt x="42" y="14"/>
                                  <a:pt x="42" y="14"/>
                                </a:cubicBezTo>
                                <a:cubicBezTo>
                                  <a:pt x="36" y="14"/>
                                  <a:pt x="36" y="14"/>
                                  <a:pt x="36" y="14"/>
                                </a:cubicBezTo>
                                <a:cubicBezTo>
                                  <a:pt x="36" y="18"/>
                                  <a:pt x="36" y="18"/>
                                  <a:pt x="36" y="18"/>
                                </a:cubicBezTo>
                                <a:cubicBezTo>
                                  <a:pt x="36" y="19"/>
                                  <a:pt x="36" y="19"/>
                                  <a:pt x="37" y="20"/>
                                </a:cubicBezTo>
                                <a:cubicBezTo>
                                  <a:pt x="37" y="20"/>
                                  <a:pt x="37" y="20"/>
                                  <a:pt x="38" y="20"/>
                                </a:cubicBezTo>
                                <a:cubicBezTo>
                                  <a:pt x="39" y="20"/>
                                  <a:pt x="39" y="20"/>
                                  <a:pt x="39" y="20"/>
                                </a:cubicBezTo>
                                <a:cubicBezTo>
                                  <a:pt x="40" y="19"/>
                                  <a:pt x="40" y="19"/>
                                  <a:pt x="40" y="18"/>
                                </a:cubicBezTo>
                                <a:cubicBezTo>
                                  <a:pt x="40" y="17"/>
                                  <a:pt x="40" y="17"/>
                                  <a:pt x="40" y="17"/>
                                </a:cubicBezTo>
                                <a:cubicBezTo>
                                  <a:pt x="42" y="17"/>
                                  <a:pt x="42" y="17"/>
                                  <a:pt x="42" y="17"/>
                                </a:cubicBezTo>
                                <a:cubicBezTo>
                                  <a:pt x="42" y="18"/>
                                  <a:pt x="42" y="18"/>
                                  <a:pt x="42" y="18"/>
                                </a:cubicBezTo>
                                <a:cubicBezTo>
                                  <a:pt x="42" y="19"/>
                                  <a:pt x="42" y="20"/>
                                  <a:pt x="41" y="21"/>
                                </a:cubicBezTo>
                                <a:cubicBezTo>
                                  <a:pt x="40" y="22"/>
                                  <a:pt x="39" y="22"/>
                                  <a:pt x="38" y="22"/>
                                </a:cubicBezTo>
                                <a:close/>
                                <a:moveTo>
                                  <a:pt x="38" y="8"/>
                                </a:moveTo>
                                <a:cubicBezTo>
                                  <a:pt x="37" y="8"/>
                                  <a:pt x="37" y="8"/>
                                  <a:pt x="37" y="8"/>
                                </a:cubicBezTo>
                                <a:cubicBezTo>
                                  <a:pt x="36" y="9"/>
                                  <a:pt x="36" y="9"/>
                                  <a:pt x="36" y="10"/>
                                </a:cubicBezTo>
                                <a:cubicBezTo>
                                  <a:pt x="36" y="12"/>
                                  <a:pt x="36" y="12"/>
                                  <a:pt x="36" y="12"/>
                                </a:cubicBezTo>
                                <a:cubicBezTo>
                                  <a:pt x="40" y="12"/>
                                  <a:pt x="40" y="12"/>
                                  <a:pt x="40" y="12"/>
                                </a:cubicBezTo>
                                <a:cubicBezTo>
                                  <a:pt x="40" y="10"/>
                                  <a:pt x="40" y="10"/>
                                  <a:pt x="40" y="10"/>
                                </a:cubicBezTo>
                                <a:cubicBezTo>
                                  <a:pt x="40" y="9"/>
                                  <a:pt x="40" y="9"/>
                                  <a:pt x="39" y="8"/>
                                </a:cubicBezTo>
                                <a:cubicBezTo>
                                  <a:pt x="39" y="8"/>
                                  <a:pt x="39" y="8"/>
                                  <a:pt x="38" y="8"/>
                                </a:cubicBezTo>
                                <a:close/>
                                <a:moveTo>
                                  <a:pt x="12" y="22"/>
                                </a:moveTo>
                                <a:cubicBezTo>
                                  <a:pt x="12" y="22"/>
                                  <a:pt x="11" y="22"/>
                                  <a:pt x="11" y="22"/>
                                </a:cubicBezTo>
                                <a:cubicBezTo>
                                  <a:pt x="11" y="21"/>
                                  <a:pt x="11" y="21"/>
                                  <a:pt x="11" y="20"/>
                                </a:cubicBezTo>
                                <a:cubicBezTo>
                                  <a:pt x="11" y="6"/>
                                  <a:pt x="11" y="6"/>
                                  <a:pt x="11" y="6"/>
                                </a:cubicBezTo>
                                <a:cubicBezTo>
                                  <a:pt x="13" y="6"/>
                                  <a:pt x="13" y="6"/>
                                  <a:pt x="13" y="6"/>
                                </a:cubicBezTo>
                                <a:cubicBezTo>
                                  <a:pt x="13" y="18"/>
                                  <a:pt x="13" y="18"/>
                                  <a:pt x="13" y="18"/>
                                </a:cubicBezTo>
                                <a:cubicBezTo>
                                  <a:pt x="13" y="19"/>
                                  <a:pt x="13" y="19"/>
                                  <a:pt x="13" y="20"/>
                                </a:cubicBezTo>
                                <a:cubicBezTo>
                                  <a:pt x="13" y="20"/>
                                  <a:pt x="14" y="20"/>
                                  <a:pt x="14" y="20"/>
                                </a:cubicBezTo>
                                <a:cubicBezTo>
                                  <a:pt x="14" y="20"/>
                                  <a:pt x="15" y="20"/>
                                  <a:pt x="15" y="20"/>
                                </a:cubicBezTo>
                                <a:cubicBezTo>
                                  <a:pt x="16" y="19"/>
                                  <a:pt x="16" y="19"/>
                                  <a:pt x="16" y="19"/>
                                </a:cubicBezTo>
                                <a:cubicBezTo>
                                  <a:pt x="16" y="6"/>
                                  <a:pt x="16" y="6"/>
                                  <a:pt x="16" y="6"/>
                                </a:cubicBezTo>
                                <a:cubicBezTo>
                                  <a:pt x="19" y="6"/>
                                  <a:pt x="19" y="6"/>
                                  <a:pt x="19" y="6"/>
                                </a:cubicBezTo>
                                <a:cubicBezTo>
                                  <a:pt x="19" y="22"/>
                                  <a:pt x="19" y="22"/>
                                  <a:pt x="19" y="22"/>
                                </a:cubicBezTo>
                                <a:cubicBezTo>
                                  <a:pt x="16" y="22"/>
                                  <a:pt x="16" y="22"/>
                                  <a:pt x="16" y="22"/>
                                </a:cubicBezTo>
                                <a:cubicBezTo>
                                  <a:pt x="16" y="19"/>
                                  <a:pt x="16" y="19"/>
                                  <a:pt x="16" y="19"/>
                                </a:cubicBezTo>
                                <a:cubicBezTo>
                                  <a:pt x="16" y="20"/>
                                  <a:pt x="16" y="20"/>
                                  <a:pt x="16" y="20"/>
                                </a:cubicBezTo>
                                <a:cubicBezTo>
                                  <a:pt x="15" y="21"/>
                                  <a:pt x="15" y="21"/>
                                  <a:pt x="14" y="22"/>
                                </a:cubicBezTo>
                                <a:cubicBezTo>
                                  <a:pt x="13" y="22"/>
                                  <a:pt x="13" y="22"/>
                                  <a:pt x="12" y="22"/>
                                </a:cubicBezTo>
                                <a:close/>
                                <a:moveTo>
                                  <a:pt x="28" y="22"/>
                                </a:moveTo>
                                <a:cubicBezTo>
                                  <a:pt x="28" y="22"/>
                                  <a:pt x="27" y="22"/>
                                  <a:pt x="27" y="22"/>
                                </a:cubicBezTo>
                                <a:cubicBezTo>
                                  <a:pt x="26" y="22"/>
                                  <a:pt x="26" y="21"/>
                                  <a:pt x="26" y="21"/>
                                </a:cubicBezTo>
                                <a:cubicBezTo>
                                  <a:pt x="25" y="20"/>
                                  <a:pt x="25" y="20"/>
                                  <a:pt x="25" y="20"/>
                                </a:cubicBezTo>
                                <a:cubicBezTo>
                                  <a:pt x="25" y="22"/>
                                  <a:pt x="25" y="22"/>
                                  <a:pt x="25" y="22"/>
                                </a:cubicBezTo>
                                <a:cubicBezTo>
                                  <a:pt x="23" y="22"/>
                                  <a:pt x="23" y="22"/>
                                  <a:pt x="23" y="22"/>
                                </a:cubicBezTo>
                                <a:cubicBezTo>
                                  <a:pt x="23" y="0"/>
                                  <a:pt x="23" y="0"/>
                                  <a:pt x="23" y="0"/>
                                </a:cubicBezTo>
                                <a:cubicBezTo>
                                  <a:pt x="25" y="0"/>
                                  <a:pt x="25" y="0"/>
                                  <a:pt x="25" y="0"/>
                                </a:cubicBezTo>
                                <a:cubicBezTo>
                                  <a:pt x="25" y="8"/>
                                  <a:pt x="25" y="8"/>
                                  <a:pt x="25" y="8"/>
                                </a:cubicBezTo>
                                <a:cubicBezTo>
                                  <a:pt x="26" y="7"/>
                                  <a:pt x="26" y="7"/>
                                  <a:pt x="26" y="7"/>
                                </a:cubicBezTo>
                                <a:cubicBezTo>
                                  <a:pt x="26" y="7"/>
                                  <a:pt x="26" y="6"/>
                                  <a:pt x="27" y="6"/>
                                </a:cubicBezTo>
                                <a:cubicBezTo>
                                  <a:pt x="27" y="6"/>
                                  <a:pt x="28" y="6"/>
                                  <a:pt x="28" y="6"/>
                                </a:cubicBezTo>
                                <a:cubicBezTo>
                                  <a:pt x="29" y="6"/>
                                  <a:pt x="29" y="6"/>
                                  <a:pt x="30" y="7"/>
                                </a:cubicBezTo>
                                <a:cubicBezTo>
                                  <a:pt x="30" y="7"/>
                                  <a:pt x="31" y="8"/>
                                  <a:pt x="31" y="10"/>
                                </a:cubicBezTo>
                                <a:cubicBezTo>
                                  <a:pt x="31" y="19"/>
                                  <a:pt x="31" y="19"/>
                                  <a:pt x="31" y="19"/>
                                </a:cubicBezTo>
                                <a:cubicBezTo>
                                  <a:pt x="31" y="20"/>
                                  <a:pt x="30" y="21"/>
                                  <a:pt x="30" y="21"/>
                                </a:cubicBezTo>
                                <a:cubicBezTo>
                                  <a:pt x="30" y="22"/>
                                  <a:pt x="29" y="22"/>
                                  <a:pt x="28" y="22"/>
                                </a:cubicBezTo>
                                <a:close/>
                                <a:moveTo>
                                  <a:pt x="27" y="8"/>
                                </a:moveTo>
                                <a:cubicBezTo>
                                  <a:pt x="26" y="8"/>
                                  <a:pt x="26" y="8"/>
                                  <a:pt x="26" y="8"/>
                                </a:cubicBezTo>
                                <a:cubicBezTo>
                                  <a:pt x="25" y="9"/>
                                  <a:pt x="25" y="9"/>
                                  <a:pt x="25" y="9"/>
                                </a:cubicBezTo>
                                <a:cubicBezTo>
                                  <a:pt x="25" y="19"/>
                                  <a:pt x="25" y="19"/>
                                  <a:pt x="25" y="19"/>
                                </a:cubicBezTo>
                                <a:cubicBezTo>
                                  <a:pt x="25" y="20"/>
                                  <a:pt x="26" y="20"/>
                                  <a:pt x="26" y="20"/>
                                </a:cubicBezTo>
                                <a:cubicBezTo>
                                  <a:pt x="27" y="20"/>
                                  <a:pt x="27" y="20"/>
                                  <a:pt x="27" y="20"/>
                                </a:cubicBezTo>
                                <a:cubicBezTo>
                                  <a:pt x="27" y="20"/>
                                  <a:pt x="28" y="20"/>
                                  <a:pt x="28" y="20"/>
                                </a:cubicBezTo>
                                <a:cubicBezTo>
                                  <a:pt x="28" y="20"/>
                                  <a:pt x="28" y="19"/>
                                  <a:pt x="28" y="18"/>
                                </a:cubicBezTo>
                                <a:cubicBezTo>
                                  <a:pt x="28" y="10"/>
                                  <a:pt x="28" y="10"/>
                                  <a:pt x="28" y="10"/>
                                </a:cubicBezTo>
                                <a:cubicBezTo>
                                  <a:pt x="28" y="9"/>
                                  <a:pt x="28" y="9"/>
                                  <a:pt x="28" y="8"/>
                                </a:cubicBezTo>
                                <a:cubicBezTo>
                                  <a:pt x="28" y="8"/>
                                  <a:pt x="27" y="8"/>
                                  <a:pt x="27" y="8"/>
                                </a:cubicBezTo>
                                <a:close/>
                                <a:moveTo>
                                  <a:pt x="4" y="22"/>
                                </a:moveTo>
                                <a:cubicBezTo>
                                  <a:pt x="4" y="3"/>
                                  <a:pt x="4" y="3"/>
                                  <a:pt x="4" y="3"/>
                                </a:cubicBezTo>
                                <a:cubicBezTo>
                                  <a:pt x="0" y="3"/>
                                  <a:pt x="0" y="3"/>
                                  <a:pt x="0" y="3"/>
                                </a:cubicBezTo>
                                <a:cubicBezTo>
                                  <a:pt x="0" y="0"/>
                                  <a:pt x="0" y="0"/>
                                  <a:pt x="0" y="0"/>
                                </a:cubicBezTo>
                                <a:cubicBezTo>
                                  <a:pt x="10" y="0"/>
                                  <a:pt x="10" y="0"/>
                                  <a:pt x="10" y="0"/>
                                </a:cubicBezTo>
                                <a:cubicBezTo>
                                  <a:pt x="10" y="3"/>
                                  <a:pt x="10" y="3"/>
                                  <a:pt x="10" y="3"/>
                                </a:cubicBezTo>
                                <a:cubicBezTo>
                                  <a:pt x="6" y="3"/>
                                  <a:pt x="6" y="3"/>
                                  <a:pt x="6" y="3"/>
                                </a:cubicBezTo>
                                <a:cubicBezTo>
                                  <a:pt x="6" y="22"/>
                                  <a:pt x="6" y="22"/>
                                  <a:pt x="6" y="22"/>
                                </a:cubicBezTo>
                                <a:lnTo>
                                  <a:pt x="4" y="2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45036580" name="Freeform 52"/>
                      <wps:cNvSpPr>
                        <a:spLocks noEditPoints="1"/>
                      </wps:cNvSpPr>
                      <wps:spPr bwMode="auto">
                        <a:xfrm>
                          <a:off x="1" y="8571"/>
                          <a:ext cx="361950" cy="360363"/>
                        </a:xfrm>
                        <a:custGeom>
                          <a:avLst/>
                          <a:gdLst>
                            <a:gd name="T0" fmla="*/ 86 w 96"/>
                            <a:gd name="T1" fmla="*/ 0 h 96"/>
                            <a:gd name="T2" fmla="*/ 10 w 96"/>
                            <a:gd name="T3" fmla="*/ 0 h 96"/>
                            <a:gd name="T4" fmla="*/ 0 w 96"/>
                            <a:gd name="T5" fmla="*/ 10 h 96"/>
                            <a:gd name="T6" fmla="*/ 0 w 96"/>
                            <a:gd name="T7" fmla="*/ 86 h 96"/>
                            <a:gd name="T8" fmla="*/ 10 w 96"/>
                            <a:gd name="T9" fmla="*/ 96 h 96"/>
                            <a:gd name="T10" fmla="*/ 86 w 96"/>
                            <a:gd name="T11" fmla="*/ 96 h 96"/>
                            <a:gd name="T12" fmla="*/ 96 w 96"/>
                            <a:gd name="T13" fmla="*/ 86 h 96"/>
                            <a:gd name="T14" fmla="*/ 96 w 96"/>
                            <a:gd name="T15" fmla="*/ 10 h 96"/>
                            <a:gd name="T16" fmla="*/ 86 w 96"/>
                            <a:gd name="T17" fmla="*/ 0 h 96"/>
                            <a:gd name="T18" fmla="*/ 32 w 96"/>
                            <a:gd name="T19" fmla="*/ 76 h 96"/>
                            <a:gd name="T20" fmla="*/ 31 w 96"/>
                            <a:gd name="T21" fmla="*/ 76 h 96"/>
                            <a:gd name="T22" fmla="*/ 20 w 96"/>
                            <a:gd name="T23" fmla="*/ 76 h 96"/>
                            <a:gd name="T24" fmla="*/ 20 w 96"/>
                            <a:gd name="T25" fmla="*/ 36 h 96"/>
                            <a:gd name="T26" fmla="*/ 32 w 96"/>
                            <a:gd name="T27" fmla="*/ 36 h 96"/>
                            <a:gd name="T28" fmla="*/ 32 w 96"/>
                            <a:gd name="T29" fmla="*/ 76 h 96"/>
                            <a:gd name="T30" fmla="*/ 26 w 96"/>
                            <a:gd name="T31" fmla="*/ 30 h 96"/>
                            <a:gd name="T32" fmla="*/ 18 w 96"/>
                            <a:gd name="T33" fmla="*/ 23 h 96"/>
                            <a:gd name="T34" fmla="*/ 26 w 96"/>
                            <a:gd name="T35" fmla="*/ 15 h 96"/>
                            <a:gd name="T36" fmla="*/ 33 w 96"/>
                            <a:gd name="T37" fmla="*/ 23 h 96"/>
                            <a:gd name="T38" fmla="*/ 26 w 96"/>
                            <a:gd name="T39" fmla="*/ 30 h 96"/>
                            <a:gd name="T40" fmla="*/ 76 w 96"/>
                            <a:gd name="T41" fmla="*/ 76 h 96"/>
                            <a:gd name="T42" fmla="*/ 64 w 96"/>
                            <a:gd name="T43" fmla="*/ 76 h 96"/>
                            <a:gd name="T44" fmla="*/ 64 w 96"/>
                            <a:gd name="T45" fmla="*/ 54 h 96"/>
                            <a:gd name="T46" fmla="*/ 57 w 96"/>
                            <a:gd name="T47" fmla="*/ 46 h 96"/>
                            <a:gd name="T48" fmla="*/ 52 w 96"/>
                            <a:gd name="T49" fmla="*/ 50 h 96"/>
                            <a:gd name="T50" fmla="*/ 52 w 96"/>
                            <a:gd name="T51" fmla="*/ 54 h 96"/>
                            <a:gd name="T52" fmla="*/ 52 w 96"/>
                            <a:gd name="T53" fmla="*/ 76 h 96"/>
                            <a:gd name="T54" fmla="*/ 40 w 96"/>
                            <a:gd name="T55" fmla="*/ 76 h 96"/>
                            <a:gd name="T56" fmla="*/ 40 w 96"/>
                            <a:gd name="T57" fmla="*/ 36 h 96"/>
                            <a:gd name="T58" fmla="*/ 52 w 96"/>
                            <a:gd name="T59" fmla="*/ 36 h 96"/>
                            <a:gd name="T60" fmla="*/ 52 w 96"/>
                            <a:gd name="T61" fmla="*/ 42 h 96"/>
                            <a:gd name="T62" fmla="*/ 64 w 96"/>
                            <a:gd name="T63" fmla="*/ 35 h 96"/>
                            <a:gd name="T64" fmla="*/ 76 w 96"/>
                            <a:gd name="T65" fmla="*/ 49 h 96"/>
                            <a:gd name="T66" fmla="*/ 76 w 96"/>
                            <a:gd name="T67" fmla="*/ 7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 h="96">
                              <a:moveTo>
                                <a:pt x="86" y="0"/>
                              </a:moveTo>
                              <a:cubicBezTo>
                                <a:pt x="10" y="0"/>
                                <a:pt x="10" y="0"/>
                                <a:pt x="10" y="0"/>
                              </a:cubicBezTo>
                              <a:cubicBezTo>
                                <a:pt x="4" y="0"/>
                                <a:pt x="0" y="4"/>
                                <a:pt x="0" y="10"/>
                              </a:cubicBezTo>
                              <a:cubicBezTo>
                                <a:pt x="0" y="86"/>
                                <a:pt x="0" y="86"/>
                                <a:pt x="0" y="86"/>
                              </a:cubicBezTo>
                              <a:cubicBezTo>
                                <a:pt x="0" y="91"/>
                                <a:pt x="4" y="96"/>
                                <a:pt x="10" y="96"/>
                              </a:cubicBezTo>
                              <a:cubicBezTo>
                                <a:pt x="86" y="96"/>
                                <a:pt x="86" y="96"/>
                                <a:pt x="86" y="96"/>
                              </a:cubicBezTo>
                              <a:cubicBezTo>
                                <a:pt x="91" y="96"/>
                                <a:pt x="96" y="91"/>
                                <a:pt x="96" y="86"/>
                              </a:cubicBezTo>
                              <a:cubicBezTo>
                                <a:pt x="96" y="10"/>
                                <a:pt x="96" y="10"/>
                                <a:pt x="96" y="10"/>
                              </a:cubicBezTo>
                              <a:cubicBezTo>
                                <a:pt x="96" y="4"/>
                                <a:pt x="91" y="0"/>
                                <a:pt x="86" y="0"/>
                              </a:cubicBezTo>
                              <a:close/>
                              <a:moveTo>
                                <a:pt x="32" y="76"/>
                              </a:moveTo>
                              <a:cubicBezTo>
                                <a:pt x="31" y="76"/>
                                <a:pt x="31" y="76"/>
                                <a:pt x="31" y="76"/>
                              </a:cubicBezTo>
                              <a:cubicBezTo>
                                <a:pt x="20" y="76"/>
                                <a:pt x="20" y="76"/>
                                <a:pt x="20" y="76"/>
                              </a:cubicBezTo>
                              <a:cubicBezTo>
                                <a:pt x="20" y="36"/>
                                <a:pt x="20" y="36"/>
                                <a:pt x="20" y="36"/>
                              </a:cubicBezTo>
                              <a:cubicBezTo>
                                <a:pt x="32" y="36"/>
                                <a:pt x="32" y="36"/>
                                <a:pt x="32" y="36"/>
                              </a:cubicBezTo>
                              <a:lnTo>
                                <a:pt x="32" y="76"/>
                              </a:lnTo>
                              <a:close/>
                              <a:moveTo>
                                <a:pt x="26" y="30"/>
                              </a:moveTo>
                              <a:cubicBezTo>
                                <a:pt x="22" y="30"/>
                                <a:pt x="18" y="27"/>
                                <a:pt x="18" y="23"/>
                              </a:cubicBezTo>
                              <a:cubicBezTo>
                                <a:pt x="18" y="19"/>
                                <a:pt x="22" y="15"/>
                                <a:pt x="26" y="15"/>
                              </a:cubicBezTo>
                              <a:cubicBezTo>
                                <a:pt x="30" y="15"/>
                                <a:pt x="33" y="19"/>
                                <a:pt x="33" y="23"/>
                              </a:cubicBezTo>
                              <a:cubicBezTo>
                                <a:pt x="33" y="27"/>
                                <a:pt x="30" y="30"/>
                                <a:pt x="26" y="30"/>
                              </a:cubicBezTo>
                              <a:close/>
                              <a:moveTo>
                                <a:pt x="76" y="76"/>
                              </a:moveTo>
                              <a:cubicBezTo>
                                <a:pt x="64" y="76"/>
                                <a:pt x="64" y="76"/>
                                <a:pt x="64" y="76"/>
                              </a:cubicBezTo>
                              <a:cubicBezTo>
                                <a:pt x="64" y="54"/>
                                <a:pt x="64" y="54"/>
                                <a:pt x="64" y="54"/>
                              </a:cubicBezTo>
                              <a:cubicBezTo>
                                <a:pt x="64" y="49"/>
                                <a:pt x="62" y="46"/>
                                <a:pt x="57" y="46"/>
                              </a:cubicBezTo>
                              <a:cubicBezTo>
                                <a:pt x="54" y="46"/>
                                <a:pt x="53" y="48"/>
                                <a:pt x="52" y="50"/>
                              </a:cubicBezTo>
                              <a:cubicBezTo>
                                <a:pt x="52" y="51"/>
                                <a:pt x="52" y="52"/>
                                <a:pt x="52" y="54"/>
                              </a:cubicBezTo>
                              <a:cubicBezTo>
                                <a:pt x="52" y="76"/>
                                <a:pt x="52" y="76"/>
                                <a:pt x="52" y="76"/>
                              </a:cubicBezTo>
                              <a:cubicBezTo>
                                <a:pt x="40" y="76"/>
                                <a:pt x="40" y="76"/>
                                <a:pt x="40" y="76"/>
                              </a:cubicBezTo>
                              <a:cubicBezTo>
                                <a:pt x="40" y="76"/>
                                <a:pt x="40" y="39"/>
                                <a:pt x="40" y="36"/>
                              </a:cubicBezTo>
                              <a:cubicBezTo>
                                <a:pt x="52" y="36"/>
                                <a:pt x="52" y="36"/>
                                <a:pt x="52" y="36"/>
                              </a:cubicBezTo>
                              <a:cubicBezTo>
                                <a:pt x="52" y="42"/>
                                <a:pt x="52" y="42"/>
                                <a:pt x="52" y="42"/>
                              </a:cubicBezTo>
                              <a:cubicBezTo>
                                <a:pt x="52" y="40"/>
                                <a:pt x="55" y="35"/>
                                <a:pt x="64" y="35"/>
                              </a:cubicBezTo>
                              <a:cubicBezTo>
                                <a:pt x="73" y="35"/>
                                <a:pt x="76" y="36"/>
                                <a:pt x="76" y="49"/>
                              </a:cubicBezTo>
                              <a:cubicBezTo>
                                <a:pt x="76" y="62"/>
                                <a:pt x="76" y="76"/>
                                <a:pt x="76" y="76"/>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g:grpSp>
                      <wpg:cNvPr id="245036581" name="Group 245036581"/>
                      <wpg:cNvGrpSpPr/>
                      <wpg:grpSpPr>
                        <a:xfrm>
                          <a:off x="0" y="0"/>
                          <a:ext cx="2395292" cy="358703"/>
                          <a:chOff x="0" y="0"/>
                          <a:chExt cx="2395292" cy="358703"/>
                        </a:xfrm>
                      </wpg:grpSpPr>
                      <wps:wsp>
                        <wps:cNvPr id="245036582" name="Rectangle 245036582">
                          <a:hlinkClick r:id="rId1"/>
                        </wps:cNvPr>
                        <wps:cNvSpPr/>
                        <wps:spPr>
                          <a:xfrm>
                            <a:off x="510455" y="0"/>
                            <a:ext cx="362815" cy="3563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036583" name="Rectangle 245036583">
                          <a:hlinkClick r:id="rId2"/>
                        </wps:cNvPr>
                        <wps:cNvSpPr/>
                        <wps:spPr>
                          <a:xfrm>
                            <a:off x="0" y="6110"/>
                            <a:ext cx="362815" cy="345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036584" name="Rectangle 245036584">
                          <a:hlinkClick r:id="rId3"/>
                        </wps:cNvPr>
                        <wps:cNvSpPr/>
                        <wps:spPr>
                          <a:xfrm>
                            <a:off x="1525623" y="2320"/>
                            <a:ext cx="362815" cy="3563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036586" name="Rectangle 245036586">
                          <a:hlinkClick r:id="rId4"/>
                        </wps:cNvPr>
                        <wps:cNvSpPr/>
                        <wps:spPr>
                          <a:xfrm>
                            <a:off x="1013842" y="1428"/>
                            <a:ext cx="362815" cy="3501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036587" name="Rectangle 245036587">
                          <a:hlinkClick r:id="rId5"/>
                        </wps:cNvPr>
                        <wps:cNvSpPr/>
                        <wps:spPr>
                          <a:xfrm>
                            <a:off x="2032477" y="1428"/>
                            <a:ext cx="362815" cy="357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08FA247" id="Group 245036560" o:spid="_x0000_s1026" alt="&quot;&quot;" style="width:91.4pt;height:14.05pt;mso-position-horizontal-relative:char;mso-position-vertical-relative:line" coordsize="23952,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">
              <v:group id="Group 245036561" o:spid="_x0000_s1027" style="position:absolute;left:20241;top:85;width:3604;height:3604" coordorigin="20241,85" coordsize="3603,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">
                <v:shape id="Freeform 14" o:spid="_x0000_s1028" style="position:absolute;left:20241;top:85;width:1016;height:104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" path="m27,24v-3,,-3,,-3,c24,,24,,24,,20,,20,,20,v,24,,24,,24c16,24,16,24,16,24,16,,16,,16,,12,,12,,12,v,24,,24,,24c8,24,8,24,8,24,8,,8,,8,,3,1,,5,,10,,28,,28,,28v24,,24,,24,c25,26,26,25,27,24e" filled="f" stroked="f">
                  <v:path arrowok="t" o:connecttype="custom" o:connectlocs="101600,89807;90311,89807;90311,0;75259,0;75259,89807;60207,89807;60207,0;45156,0;45156,89807;30104,89807;30104,0;0,37420;0,104775;90311,104775;101600,89807" o:connectangles="0,0,0,0,0,0,0,0,0,0,0,0,0,0,0"/>
                </v:shape>
                <v:shape id="Freeform 15" o:spid="_x0000_s1029" style="position:absolute;left:20241;top:1292;width:3604;height:2397;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" path="m76,12c76,27,64,40,48,40,32,40,19,27,19,12,19,7,20,3,22,,,,,,,,,54,,54,,54v,5,4,10,10,10c86,64,86,64,86,64v5,,10,-5,10,-10c96,,96,,96,,74,,74,,74,v1,3,2,7,2,12e" filled="f" stroked="f">
                  <v:path arrowok="t" o:connecttype="custom" o:connectlocs="285287,44946;180182,149821;71322,44946;82583,0;0,0;0,202258;37538,239713;322825,239713;360363,202258;360363,0;277780,0;285287,44946" o:connectangles="0,0,0,0,0,0,0,0,0,0,0,0"/>
                </v:shape>
                <v:shape id="Freeform 16" o:spid="_x0000_s1030" style="position:absolute;left:21305;top:85;width:2540;height:1048;visibility:visible;mso-wrap-style:square;v-text-anchor:top" coordsize="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" path="m58,c,,,,,,,23,,23,,23,5,18,12,15,20,15v10,,18,5,23,13c68,28,68,28,68,28v,-18,,-18,,-18c68,4,63,,58,t2,20c60,22,58,24,56,24v-8,,-8,,-8,c46,24,44,22,44,20v,-8,,-8,,-8c44,9,46,8,48,8v8,,8,,8,c58,8,60,9,60,12v,8,,8,,8e" filled="f" stroked="f">
                  <v:path arrowok="t" o:connecttype="custom" o:connectlocs="216647,0;0,0;0,86065;74706,56129;160618,104775;254000,104775;254000,37420;216647,0;224118,74839;209176,89807;179294,89807;164353,74839;164353,44904;179294,29936;209176,29936;224118,44904;224118,74839" o:connectangles="0,0,0,0,0,0,0,0,0,0,0,0,0,0,0,0,0"/>
                  <o:lock v:ext="edit" verticies="t"/>
                </v:shape>
                <v:shape id="Freeform 17" o:spid="_x0000_s1031" style="position:absolute;left:22956;top:387;width:603;height:603;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" path="m12,c4,,4,,4,,2,,,1,,4v,8,,8,,8c,14,2,16,4,16v8,,8,,8,c14,16,16,14,16,12v,-8,,-8,,-8c16,1,14,,12,e" filled="f" stroked="f">
                  <v:path arrowok="t" o:connecttype="custom" o:connectlocs="45244,0;15081,0;0,15081;0,45244;15081,60325;45244,60325;60325,45244;60325,15081;45244,0" o:connectangles="0,0,0,0,0,0,0,0,0"/>
                </v:shape>
                <v:shape id="Freeform 18" o:spid="_x0000_s1032" style="position:absolute;left:21146;top:85;width:159;height:905;visibility:visible;mso-wrap-style:square;v-text-anchor:top" coordsize="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" path="m10,l,,,57r10,l10,55r,l10,xe" filled="f" stroked="f">
                  <v:path arrowok="t" o:connecttype="custom" o:connectlocs="15875,0;0,0;0,90488;15875,90488;15875,87313;15875,87313;15875,0" o:connectangles="0,0,0,0,0,0,0"/>
                </v:shape>
                <v:shape id="Freeform 19" o:spid="_x0000_s1033" style="position:absolute;left:21146;top:85;width:159;height:905;visibility:visible;mso-wrap-style:square;v-text-anchor:top" coordsize="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" path="m10,l,,,57r10,l10,55r,l10,e" filled="f" stroked="f">
                  <v:path arrowok="t" o:connecttype="custom" o:connectlocs="15875,0;0,0;0,90488;15875,90488;15875,87313;15875,87313;15875,0" o:connectangles="0,0,0,0,0,0,0"/>
                </v:shape>
                <v:rect id="Rectangle 245036568" o:spid="_x0000_s1034" style="position:absolute;left:20845;top:85;width:15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" filled="f" stroked="f"/>
                <v:rect id="Rectangle 245036569" o:spid="_x0000_s1035" style="position:absolute;left:20845;top:85;width:15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" filled="f" stroked="f"/>
                <v:rect id="Rectangle 245036570" o:spid="_x0000_s1036" style="position:absolute;left:20543;top:85;width:159;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" filled="f" stroked="f"/>
                <v:rect id="Rectangle 245036571" o:spid="_x0000_s1037" style="position:absolute;left:20543;top:85;width:159;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" filled="f" stroked="f"/>
                <v:shape id="Freeform 24" o:spid="_x0000_s1038" style="position:absolute;left:21368;top:1069;width:1318;height:1302;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" path="m18,c16,,14,1,13,1v1,2,3,4,3,7c16,8,16,8,16,8v,,,,,c16,12,12,16,8,16,5,16,3,14,1,12,1,14,,16,,18v,9,8,17,18,17c27,35,35,27,35,18,35,8,27,,18,e" filled="f" stroked="f">
                  <v:path arrowok="t" o:connecttype="custom" o:connectlocs="67764,0;48941,3719;60235,29754;60235,29754;60235,29754;30117,59509;3765,44631;0,66947;67764,130175;131763,66947;67764,0" o:connectangles="0,0,0,0,0,0,0,0,0,0,0"/>
                </v:shape>
                <v:shape id="Freeform 25" o:spid="_x0000_s1039" style="position:absolute;left:21226;top:879;width:1651;height:1683;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" path="m22,c10,,,10,,23,,35,10,45,22,45,34,45,44,35,44,23,44,10,34,,22,xm22,40c12,40,4,32,4,23,4,13,12,5,22,5v9,,17,8,17,18c39,32,31,40,22,40xe" filled="f" stroked="f">
                  <v:path arrowok="t" o:connecttype="custom" o:connectlocs="82550,0;0,86007;82550,168275;165100,86007;82550,0;82550,149578;15009,86007;82550,18697;146339,86007;82550,149578" o:connectangles="0,0,0,0,0,0,0,0,0,0"/>
                  <o:lock v:ext="edit" verticies="t"/>
                </v:shape>
              </v:group>
              <v:shape id="Freeform 26" o:spid="_x0000_s1040" style="position:absolute;left:5072;top:85;width:3603;height:3604;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" path="m86,c10,,10,,10,,4,,,4,,10,,86,,86,,86v,5,4,10,10,10c86,96,86,96,86,96v5,,10,-5,10,-10c96,10,96,10,96,10,96,4,91,,86,xm76,35v,1,,1,,2c76,56,62,78,36,78,27,78,20,75,14,71v1,1,2,1,3,1c24,72,30,69,35,65,29,65,23,61,21,56v1,,2,,3,c25,56,27,56,28,55,21,54,16,48,16,41v,,,,,c18,42,21,43,23,43,19,40,16,36,16,31v,-3,1,-5,2,-7c25,32,36,38,48,39v,-1,,-3,,-4c48,27,54,21,62,21v4,,8,2,10,5c76,25,79,24,82,22v-2,3,-4,6,-7,8c78,30,81,29,83,28v-1,3,-4,5,-7,7xe" fillcolor="white [3212]" stroked="f">
                <v:path arrowok="t" o:connecttype="custom" o:connectlocs="322825,0;37538,0;0,37538;0,322825;37538,360363;322825,360363;360363,322825;360363,37538;322825,0;285287,131382;285287,138890;135136,292795;52553,266518;63814,270272;131382,243996;78829,210212;90091,210212;105106,206458;60061,153905;60061,153905;86337,161413;60061,116367;67568,90091;180182,146397;180182,131382;232734,78829;270272,97598;307810,82583;281534,112613;311564,105106;285287,131382" o:connectangles="0,0,0,0,0,0,0,0,0,0,0,0,0,0,0,0,0,0,0,0,0,0,0,0,0,0,0,0,0,0,0"/>
                <o:lock v:ext="edit" verticies="t"/>
              </v:shape>
              <v:shape id="Freeform 27" o:spid="_x0000_s1041" style="position:absolute;left:15185;top:85;width:3603;height:3604;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" path="m96,10v,76,,76,,76c96,91,91,96,86,96v-22,,-22,,-22,c64,56,64,56,64,56v12,,12,,12,c76,44,76,44,76,44v-12,,-12,,-12,c64,37,64,37,64,37v,-4,1,-5,6,-5c76,32,76,32,76,32v,-16,,-16,,-16c76,16,72,16,60,16,48,16,48,28,48,32v,4,,12,,12c40,44,40,44,40,44v,12,,12,,12c48,56,48,56,48,56v,40,,40,,40c10,96,10,96,10,96,4,96,,91,,86,,10,,10,,10,,4,4,,10,,86,,86,,86,v5,,10,4,10,10xe" fillcolor="white [3212]" stroked="f">
                <v:path arrowok="t" o:connecttype="custom" o:connectlocs="360363,37538;360363,322825;322825,360363;240242,360363;240242,210212;285287,210212;285287,165166;240242,165166;240242,138890;262765,120121;285287,120121;285287,60061;225227,60061;180182,120121;180182,165166;150151,165166;150151,210212;180182,210212;180182,360363;37538,360363;0,322825;0,37538;37538,0;322825,0;360363,37538" o:connectangles="0,0,0,0,0,0,0,0,0,0,0,0,0,0,0,0,0,0,0,0,0,0,0,0,0"/>
              </v:shape>
              <v:group id="Group 245036576" o:spid="_x0000_s1042" style="position:absolute;left:10128;top:85;width:3604;height:3588" coordorigin="10128,85" coordsize="3603,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">
                <v:shape id="Freeform 45" o:spid="_x0000_s1043" style="position:absolute;left:11779;top:974;width:159;height:572;visibility:visible;mso-wrap-style:square;v-text-anchor:top" coordsize="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" path="m1,15v1,,2,,2,-1c3,14,4,14,4,14,4,1,4,1,4,1,3,1,3,1,3,1,3,,2,,2,,1,,1,,1,,,1,,1,,1,,14,,14,,14v,,,,,c,15,1,15,1,15xe" filled="f" stroked="f">
                  <v:path arrowok="t" o:connecttype="custom" o:connectlocs="3969,57150;11906,53340;15875,53340;15875,3810;11906,3810;7938,0;3969,0;0,3810;0,53340;0,53340;3969,57150" o:connectangles="0,0,0,0,0,0,0,0,0,0,0"/>
                </v:shape>
                <v:shape id="Freeform 46" o:spid="_x0000_s1044" style="position:absolute;left:10128;top:85;width:3604;height:3588;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" path="m86,c10,,10,,10,,4,,,4,,10,,86,,86,,86v,5,4,10,10,10c86,96,86,96,86,96v5,,10,-5,10,-10c96,10,96,10,96,10,96,4,91,,86,xm56,20v4,,4,,4,c60,38,60,38,60,38v,,,,,c60,38,61,38,62,38v2,-1,2,-1,2,-1c64,20,64,20,64,20v4,,4,,4,c68,44,68,44,68,44v-4,,-4,,-4,c64,42,64,42,64,42v,1,-2,1,-2,1c61,44,59,44,59,44v-2,,-2,,-3,-1c56,42,56,41,56,39r,-19xm50,21v1,1,2,2,2,4c52,37,52,37,52,37v,2,-1,4,-2,5c49,44,47,44,45,44v-2,,-3,,-4,-2c40,41,40,39,40,37v,-12,,-12,,-12c40,23,40,22,41,20v1,-1,3,-1,5,-1c48,19,49,19,50,21xm29,12v3,10,3,10,3,10c34,12,34,12,34,12v7,,7,,7,c36,30,36,30,36,30v,14,,14,,14c28,44,28,44,28,44v,-13,,-13,,-13c22,12,22,12,22,12r7,xm76,68v,6,-6,12,-12,12c32,80,32,80,32,80,25,80,20,74,20,68v,-8,,-8,,-8c20,53,25,48,32,48v32,,32,,32,c70,48,76,53,76,60r,8xe" filled="f" stroked="f">
                  <v:path arrowok="t" o:connecttype="custom" o:connectlocs="322825,0;37538,0;0,37372;0,321403;37538,358775;322825,358775;360363,321403;360363,37372;322825,0;210212,74745;225227,74745;225227,142015;225227,142015;232734,142015;240242,138278;240242,74745;255257,74745;255257,164439;240242,164439;240242,156964;232734,160701;221473,164439;210212,160701;210212,145752;210212,74745;187689,78482;195197,93431;195197,138278;187689,156964;168920,164439;153905,156964;150151,138278;150151,93431;153905,74745;172674,71008;187689,78482;108860,44847;120121,82219;127629,44847;153905,44847;135136,112117;135136,164439;105106,164439;105106,115854;82583,44847;108860,44847;285287,254132;240242,298979;120121,298979;75076,254132;75076,224234;120121,179388;240242,179388;285287,224234;285287,254132" o:connectangles="0,0,0,0,0,0,0,0,0,0,0,0,0,0,0,0,0,0,0,0,0,0,0,0,0,0,0,0,0,0,0,0,0,0,0,0,0,0,0,0,0,0,0,0,0,0,0,0,0,0,0,0,0,0,0"/>
                  <o:lock v:ext="edit" verticies="t"/>
                </v:shape>
                <v:shape id="Freeform 47" o:spid="_x0000_s1045" style="position:absolute;left:11113;top:2070;width:1571;height:825;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" path="m38,22v-1,,-2,,-3,-1c34,20,34,19,34,18v,-8,,-8,,-8c34,9,34,8,35,7,36,6,37,6,38,6v1,,2,,3,1c42,8,42,9,42,10v,4,,4,,4c36,14,36,14,36,14v,4,,4,,4c36,19,36,19,37,20v,,,,1,c39,20,39,20,39,20v1,-1,1,-1,1,-2c40,17,40,17,40,17v2,,2,,2,c42,18,42,18,42,18v,1,,2,-1,3c40,22,39,22,38,22xm38,8v-1,,-1,,-1,c36,9,36,9,36,10v,2,,2,,2c40,12,40,12,40,12v,-2,,-2,,-2c40,9,40,9,39,8v,,,,-1,xm12,22v,,-1,,-1,c11,21,11,21,11,20,11,6,11,6,11,6v2,,2,,2,c13,18,13,18,13,18v,1,,1,,2c13,20,14,20,14,20v,,1,,1,c16,19,16,19,16,19,16,6,16,6,16,6v3,,3,,3,c19,22,19,22,19,22v-3,,-3,,-3,c16,19,16,19,16,19v,1,,1,,1c15,21,15,21,14,22v-1,,-1,,-2,xm28,22v,,-1,,-1,c26,22,26,21,26,21,25,20,25,20,25,20v,2,,2,,2c23,22,23,22,23,22,23,,23,,23,v2,,2,,2,c25,8,25,8,25,8,26,7,26,7,26,7v,,,-1,1,-1c27,6,28,6,28,6v1,,1,,2,1c30,7,31,8,31,10v,9,,9,,9c31,20,30,21,30,21v,1,-1,1,-2,1xm27,8v-1,,-1,,-1,c25,9,25,9,25,9v,10,,10,,10c25,20,26,20,26,20v1,,1,,1,c27,20,28,20,28,20v,,,-1,,-2c28,10,28,10,28,10v,-1,,-1,,-2c28,8,27,8,27,8xm4,22c4,3,4,3,4,3,,3,,3,,3,,,,,,,10,,10,,10,v,3,,3,,3c6,3,6,3,6,3v,19,,19,,19l4,22xe" filled="f" stroked="f">
                  <v:path arrowok="t" o:connecttype="custom" o:connectlocs="130969,78798;127227,37523;142195,22514;157163,37523;134711,52532;138453,75045;145937,75045;149679,63789;157163,67541;142195,82550;138453,30018;134711,45027;149679,37523;142195,30018;41162,82550;41162,22514;48646,67541;52388,75045;59872,71293;71098,22514;59872,82550;59872,75045;44904,82550;101033,82550;93549,75045;86065,82550;93549,0;97291,26266;104775,22514;116001,37523;112259,78798;101033,30018;93549,33770;97291,75045;104775,75045;104775,37523;101033,30018;14968,11257;0,0;37420,11257;22452,82550" o:connectangles="0,0,0,0,0,0,0,0,0,0,0,0,0,0,0,0,0,0,0,0,0,0,0,0,0,0,0,0,0,0,0,0,0,0,0,0,0,0,0,0,0"/>
                  <o:lock v:ext="edit" verticies="t"/>
                </v:shape>
              </v:group>
              <v:shape id="Freeform 52" o:spid="_x0000_s1046" style="position:absolute;top:85;width:3619;height:3604;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" path="m86,c10,,10,,10,,4,,,4,,10,,86,,86,,86v,5,4,10,10,10c86,96,86,96,86,96v5,,10,-5,10,-10c96,10,96,10,96,10,96,4,91,,86,xm32,76v-1,,-1,,-1,c20,76,20,76,20,76v,-40,,-40,,-40c32,36,32,36,32,36r,40xm26,30v-4,,-8,-3,-8,-7c18,19,22,15,26,15v4,,7,4,7,8c33,27,30,30,26,30xm76,76v-12,,-12,,-12,c64,54,64,54,64,54v,-5,-2,-8,-7,-8c54,46,53,48,52,50v,1,,2,,4c52,76,52,76,52,76v-12,,-12,,-12,c40,76,40,39,40,36v12,,12,,12,c52,42,52,42,52,42v,-2,3,-7,12,-7c73,35,76,36,76,49v,13,,27,,27xe" fillcolor="white [3212]" stroked="f">
                <v:path arrowok="t" o:connecttype="custom" o:connectlocs="324247,0;37703,0;0,37538;0,322825;37703,360363;324247,360363;361950,322825;361950,37538;324247,0;120650,285287;116880,285287;75406,285287;75406,135136;120650,135136;120650,285287;98028,112613;67866,86337;98028,56307;124420,86337;98028,112613;286544,285287;241300,285287;241300,202704;214908,172674;196056,187689;196056,202704;196056,285287;150813,285287;150813,135136;196056,135136;196056,157659;241300,131382;286544,183935;286544,285287" o:connectangles="0,0,0,0,0,0,0,0,0,0,0,0,0,0,0,0,0,0,0,0,0,0,0,0,0,0,0,0,0,0,0,0,0,0"/>
                <o:lock v:ext="edit" verticies="t"/>
              </v:shape>
              <v:group id="Group 245036581" o:spid="_x0000_s1047" style="position:absolute;width:23952;height:3587" coordsize="2395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">
                <v:rect id="Rectangle 245036582" o:spid="_x0000_s1048" href="https://twitter.com/kpmgaustralia" style="position:absolute;left:5104;width:3628;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" o:button="t" filled="f" stroked="f" strokeweight="1pt">
                  <v:fill o:detectmouseclick="t"/>
                </v:rect>
                <v:rect id="Rectangle 245036583" o:spid="_x0000_s1049" href="https://www.linkedin.com/company/kpmg-australia/" style="position:absolute;top:61;width:3628;height: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" o:button="t" filled="f" stroked="f" strokeweight="1pt">
                  <v:fill o:detectmouseclick="t"/>
                </v:rect>
                <v:rect id="Rectangle 245036584" o:spid="_x0000_s1050" href="https://www.facebook.com/KPMGAustralia" style="position:absolute;left:15256;top:23;width:3628;height: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" o:button="t" filled="f" stroked="f" strokeweight="1pt">
                  <v:fill o:detectmouseclick="t"/>
                </v:rect>
                <v:rect id="Rectangle 245036586" o:spid="_x0000_s1051" href="https://www.youtube.com/user/kpmgaustralia" style="position:absolute;left:10138;top:14;width:3628;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" o:button="t" filled="f" stroked="f" strokeweight="1pt">
                  <v:fill o:detectmouseclick="t"/>
                </v:rect>
                <v:rect id="Rectangle 245036587" o:spid="_x0000_s1052" href="https://www.instagram.com/kpmgaustralia" style="position:absolute;left:20324;top:14;width:3628;height: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" o:button="t" filled="f" stroked="f" strokeweight="1pt">
                  <v:fill o:detectmouseclick="t"/>
                </v:rect>
              </v:group>
              <w10:anchorlock/>
            </v:group>
          </w:pict>
        </mc:Fallback>
      </mc:AlternateContent>
    </w:r>
  </w:p>
  <w:p w14:paraId="07588E85" w14:textId="19577C6D" w:rsidR="00B410B3" w:rsidRPr="00281D11" w:rsidRDefault="00B410B3" w:rsidP="00585DB3">
    <w:pPr>
      <w:pStyle w:val="Footer"/>
      <w:spacing w:before="60"/>
      <w:ind w:left="-142"/>
    </w:pPr>
    <w:r w:rsidRPr="00281D11">
      <w:t>©202</w:t>
    </w:r>
    <w:r w:rsidR="006E771B" w:rsidRPr="00281D11">
      <w:t>4</w:t>
    </w:r>
    <w:r w:rsidRPr="00281D11">
      <w:t xml:space="preserve"> KPMG, an Australian partnership and a member firm of the KPMG global organisation of independent member firms affiliated with KPMG International Limited, a</w:t>
    </w:r>
    <w:r w:rsidR="00837AAD" w:rsidRPr="00281D11">
      <w:t xml:space="preserve"> </w:t>
    </w:r>
    <w:r w:rsidRPr="00281D11">
      <w:t>private English company limited by guarantee. All rights reserved. The KPMG name and logo are trademarks used under license by the independent member firms of the</w:t>
    </w:r>
    <w:r w:rsidR="00837AAD" w:rsidRPr="00281D11">
      <w:t xml:space="preserve"> </w:t>
    </w:r>
    <w:r w:rsidRPr="00281D11">
      <w:t>KPMG global organisation.</w:t>
    </w:r>
    <w:r w:rsidR="00837AAD" w:rsidRPr="00281D11">
      <w:t xml:space="preserve"> </w:t>
    </w:r>
    <w:r w:rsidRPr="00281D11">
      <w:t>The KPMG name and logo and are registered trademarks or trademarks of KPMG International.</w:t>
    </w:r>
  </w:p>
  <w:p w14:paraId="6B6048E0" w14:textId="77777777" w:rsidR="00B410B3" w:rsidRPr="00281D11" w:rsidRDefault="00B410B3" w:rsidP="00585DB3">
    <w:pPr>
      <w:pStyle w:val="Footer"/>
      <w:spacing w:before="60"/>
      <w:ind w:left="-142"/>
    </w:pPr>
    <w:r w:rsidRPr="00281D11">
      <w:t>Liability limited by a scheme approved under Professional Standards Legislation.</w:t>
    </w:r>
  </w:p>
  <w:p w14:paraId="1D5D0FC8" w14:textId="67D89AEE" w:rsidR="009B6C5D" w:rsidRPr="00281D11" w:rsidRDefault="00B410B3" w:rsidP="00585DB3">
    <w:pPr>
      <w:pStyle w:val="Footer"/>
      <w:spacing w:before="60"/>
      <w:ind w:left="-142"/>
    </w:pPr>
    <w:r w:rsidRPr="00281D11">
      <w:t>Document Classification: KPMG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51F75" w14:textId="77777777" w:rsidR="00481C26" w:rsidRDefault="00481C26" w:rsidP="004A3F32">
      <w:pPr>
        <w:spacing w:after="0"/>
      </w:pPr>
      <w:r>
        <w:separator/>
      </w:r>
    </w:p>
  </w:footnote>
  <w:footnote w:type="continuationSeparator" w:id="0">
    <w:p w14:paraId="54B3F4A7" w14:textId="77777777" w:rsidR="00481C26" w:rsidRDefault="00481C26" w:rsidP="004A3F32">
      <w:pPr>
        <w:spacing w:after="0"/>
      </w:pPr>
      <w:r>
        <w:continuationSeparator/>
      </w:r>
    </w:p>
  </w:footnote>
  <w:footnote w:type="continuationNotice" w:id="1">
    <w:p w14:paraId="00F2D0FF" w14:textId="77777777" w:rsidR="00481C26" w:rsidRDefault="00481C26">
      <w:pPr>
        <w:spacing w:before="0" w:after="0"/>
      </w:pPr>
    </w:p>
  </w:footnote>
  <w:footnote w:id="2">
    <w:p w14:paraId="2BFF4C99" w14:textId="5EF99002" w:rsidR="003822DA" w:rsidRDefault="003822DA">
      <w:pPr>
        <w:pStyle w:val="FootnoteText"/>
      </w:pPr>
      <w:r>
        <w:rPr>
          <w:rStyle w:val="FootnoteReference"/>
        </w:rPr>
        <w:footnoteRef/>
      </w:r>
      <w:r>
        <w:t xml:space="preserve"> Australian Government Department of Health (2022)</w:t>
      </w:r>
      <w:r w:rsidR="00A97BE8">
        <w:t xml:space="preserve">. </w:t>
      </w:r>
      <w:r w:rsidR="00A97BE8" w:rsidRPr="00556D0D">
        <w:rPr>
          <w:i/>
          <w:iCs/>
        </w:rPr>
        <w:t>Department of Health and Aged Care Corporate Plan 2022–23</w:t>
      </w:r>
      <w:r w:rsidR="00A97BE8">
        <w:t>.</w:t>
      </w:r>
    </w:p>
  </w:footnote>
  <w:footnote w:id="3">
    <w:p w14:paraId="13F741DE" w14:textId="77777777" w:rsidR="00400DBB" w:rsidRPr="004A1F01" w:rsidRDefault="00400DBB" w:rsidP="00400DBB">
      <w:pPr>
        <w:pStyle w:val="FootnoteText"/>
      </w:pPr>
      <w:r>
        <w:rPr>
          <w:rStyle w:val="FootnoteReference"/>
        </w:rPr>
        <w:footnoteRef/>
      </w:r>
      <w:r>
        <w:t xml:space="preserve"> Australian Government Department of Health. (2021). </w:t>
      </w:r>
      <w:r>
        <w:rPr>
          <w:i/>
          <w:iCs/>
        </w:rPr>
        <w:t>Medical Physicists Support Program 2022-2025 Grant Opportunity Guidelines GO5318</w:t>
      </w:r>
      <w:r>
        <w:t>.</w:t>
      </w:r>
    </w:p>
  </w:footnote>
  <w:footnote w:id="4">
    <w:p w14:paraId="3534F8E8" w14:textId="77777777" w:rsidR="004C7450" w:rsidRPr="00DC27F5" w:rsidRDefault="004C7450" w:rsidP="00DC27F5">
      <w:pPr>
        <w:spacing w:before="0" w:after="0"/>
        <w:rPr>
          <w:rFonts w:cs="Arial"/>
        </w:rPr>
      </w:pPr>
      <w:r w:rsidRPr="00DC27F5">
        <w:rPr>
          <w:rStyle w:val="FootnoteReference"/>
          <w:rFonts w:cs="Arial"/>
          <w:sz w:val="16"/>
          <w:szCs w:val="16"/>
        </w:rPr>
        <w:footnoteRef/>
      </w:r>
      <w:r w:rsidRPr="00DC27F5">
        <w:rPr>
          <w:rStyle w:val="FootnoteReference"/>
          <w:rFonts w:cs="Arial"/>
          <w:sz w:val="16"/>
          <w:szCs w:val="16"/>
        </w:rPr>
        <w:t xml:space="preserve"> </w:t>
      </w:r>
      <w:r w:rsidRPr="00DC27F5">
        <w:rPr>
          <w:rFonts w:cs="Arial"/>
          <w:sz w:val="16"/>
          <w:szCs w:val="16"/>
        </w:rPr>
        <w:t xml:space="preserve">Bazeley, P. (2018). </w:t>
      </w:r>
      <w:r w:rsidRPr="00DC27F5">
        <w:rPr>
          <w:rFonts w:cs="Arial"/>
          <w:i/>
          <w:sz w:val="16"/>
          <w:szCs w:val="16"/>
        </w:rPr>
        <w:t>Integrating Analyses in Mixed Methods Research</w:t>
      </w:r>
      <w:r w:rsidRPr="00DC27F5">
        <w:rPr>
          <w:rFonts w:cs="Arial"/>
          <w:sz w:val="16"/>
          <w:szCs w:val="16"/>
        </w:rPr>
        <w:t>. SAGE Publications Ltd.</w:t>
      </w:r>
    </w:p>
  </w:footnote>
  <w:footnote w:id="5">
    <w:p w14:paraId="4C3DA4BD" w14:textId="77777777" w:rsidR="004C7450" w:rsidRPr="00DC27F5" w:rsidRDefault="004C7450" w:rsidP="00DC27F5">
      <w:pPr>
        <w:spacing w:before="0" w:after="0"/>
        <w:rPr>
          <w:rFonts w:cs="Arial"/>
        </w:rPr>
      </w:pPr>
      <w:r w:rsidRPr="00DC27F5">
        <w:rPr>
          <w:rStyle w:val="FootnoteReference"/>
          <w:rFonts w:cs="Arial"/>
          <w:sz w:val="16"/>
          <w:szCs w:val="16"/>
        </w:rPr>
        <w:footnoteRef/>
      </w:r>
      <w:r w:rsidRPr="00DC27F5">
        <w:rPr>
          <w:rStyle w:val="FootnoteReference"/>
          <w:rFonts w:cs="Arial"/>
          <w:sz w:val="16"/>
          <w:szCs w:val="16"/>
        </w:rPr>
        <w:t xml:space="preserve"> </w:t>
      </w:r>
      <w:r w:rsidRPr="00DC27F5">
        <w:rPr>
          <w:rFonts w:cs="Arial"/>
          <w:sz w:val="16"/>
          <w:szCs w:val="16"/>
        </w:rPr>
        <w:t xml:space="preserve">Greene, J. C. (2007). </w:t>
      </w:r>
      <w:r w:rsidRPr="00DC27F5">
        <w:rPr>
          <w:rFonts w:cs="Arial"/>
          <w:i/>
          <w:sz w:val="16"/>
          <w:szCs w:val="16"/>
        </w:rPr>
        <w:t>Mixed Methods in Social Inquiry. Wiley &amp; Sons</w:t>
      </w:r>
      <w:r w:rsidRPr="00DC27F5">
        <w:rPr>
          <w:rFonts w:cs="Arial"/>
          <w:sz w:val="16"/>
          <w:szCs w:val="16"/>
        </w:rPr>
        <w:t>.</w:t>
      </w:r>
      <w:r w:rsidRPr="00DC27F5">
        <w:rPr>
          <w:rFonts w:eastAsia="Times New Roman" w:cs="Arial"/>
          <w:szCs w:val="20"/>
        </w:rPr>
        <w:t xml:space="preserve"> </w:t>
      </w:r>
    </w:p>
  </w:footnote>
  <w:footnote w:id="6">
    <w:p w14:paraId="73E5B2EF" w14:textId="77777777" w:rsidR="004C7450" w:rsidRPr="00DC27F5" w:rsidRDefault="004C7450" w:rsidP="00DC27F5">
      <w:pPr>
        <w:spacing w:before="0" w:after="0"/>
        <w:rPr>
          <w:rFonts w:cs="Arial"/>
        </w:rPr>
      </w:pPr>
      <w:r w:rsidRPr="00DC27F5">
        <w:rPr>
          <w:rStyle w:val="FootnoteReference"/>
          <w:rFonts w:cs="Arial"/>
          <w:sz w:val="16"/>
          <w:szCs w:val="16"/>
        </w:rPr>
        <w:footnoteRef/>
      </w:r>
      <w:r w:rsidRPr="00DC27F5">
        <w:rPr>
          <w:rStyle w:val="FootnoteReference"/>
          <w:rFonts w:cs="Arial"/>
          <w:sz w:val="16"/>
          <w:szCs w:val="16"/>
        </w:rPr>
        <w:t xml:space="preserve"> </w:t>
      </w:r>
      <w:r w:rsidRPr="00DC27F5">
        <w:rPr>
          <w:rFonts w:cs="Arial"/>
          <w:sz w:val="16"/>
          <w:szCs w:val="16"/>
        </w:rPr>
        <w:t xml:space="preserve">Teddlie, C. &amp; Yu, F. (2007). Mixed Methods Sampling: A Typology with Examples. </w:t>
      </w:r>
      <w:r w:rsidRPr="00DC27F5">
        <w:rPr>
          <w:rFonts w:cs="Arial"/>
          <w:i/>
          <w:sz w:val="16"/>
          <w:szCs w:val="16"/>
        </w:rPr>
        <w:t>Journal of Mixed Methods Research, Vol.1</w:t>
      </w:r>
      <w:r w:rsidRPr="00DC27F5">
        <w:rPr>
          <w:rFonts w:cs="Arial"/>
          <w:sz w:val="16"/>
          <w:szCs w:val="16"/>
        </w:rPr>
        <w:t>, No.1: 77-100.</w:t>
      </w:r>
    </w:p>
  </w:footnote>
  <w:footnote w:id="7">
    <w:p w14:paraId="4E0E7794" w14:textId="77777777" w:rsidR="004C7450" w:rsidRPr="00DC27F5" w:rsidRDefault="004C7450" w:rsidP="00DC27F5">
      <w:pPr>
        <w:spacing w:before="0" w:after="0"/>
        <w:rPr>
          <w:rFonts w:eastAsia="Times New Roman" w:cs="Arial"/>
          <w:szCs w:val="20"/>
        </w:rPr>
      </w:pPr>
      <w:r w:rsidRPr="00DC27F5">
        <w:rPr>
          <w:rStyle w:val="FootnoteReference"/>
          <w:rFonts w:cs="Arial"/>
          <w:sz w:val="16"/>
          <w:szCs w:val="16"/>
        </w:rPr>
        <w:footnoteRef/>
      </w:r>
      <w:r w:rsidRPr="00DC27F5">
        <w:rPr>
          <w:rFonts w:cs="Arial"/>
        </w:rPr>
        <w:t xml:space="preserve"> </w:t>
      </w:r>
      <w:r w:rsidRPr="00DC27F5">
        <w:rPr>
          <w:rFonts w:cs="Arial"/>
          <w:sz w:val="16"/>
          <w:szCs w:val="16"/>
        </w:rPr>
        <w:t>Creswell, J. &amp; Plano Clark, V. (2017).</w:t>
      </w:r>
      <w:r w:rsidRPr="00DC27F5">
        <w:rPr>
          <w:rFonts w:cs="Arial" w:hint="eastAsia"/>
          <w:sz w:val="16"/>
          <w:szCs w:val="16"/>
        </w:rPr>
        <w:t> </w:t>
      </w:r>
      <w:r w:rsidRPr="00DC27F5">
        <w:rPr>
          <w:rFonts w:cs="Arial"/>
          <w:sz w:val="16"/>
          <w:szCs w:val="16"/>
        </w:rPr>
        <w:t>Designing and Conducting Mixed Methods Research. Sage.</w:t>
      </w:r>
      <w:r w:rsidRPr="00DC27F5">
        <w:rPr>
          <w:rFonts w:eastAsia="Times New Roman" w:cs="Arial"/>
          <w:szCs w:val="20"/>
        </w:rPr>
        <w:t xml:space="preserve"> </w:t>
      </w:r>
    </w:p>
  </w:footnote>
  <w:footnote w:id="8">
    <w:p w14:paraId="256D92B1" w14:textId="77777777" w:rsidR="00AD18CD" w:rsidRPr="00DC27F5" w:rsidRDefault="00AD18CD" w:rsidP="00DC27F5">
      <w:pPr>
        <w:pStyle w:val="ListParagraph"/>
        <w:spacing w:before="0" w:after="0"/>
        <w:ind w:left="0"/>
        <w:contextualSpacing w:val="0"/>
        <w:rPr>
          <w:rFonts w:cs="Arial"/>
          <w:sz w:val="16"/>
          <w:szCs w:val="16"/>
        </w:rPr>
      </w:pPr>
      <w:r w:rsidRPr="00E44FFE">
        <w:rPr>
          <w:rStyle w:val="FootnoteReference"/>
          <w:rFonts w:cs="Arial"/>
          <w:sz w:val="16"/>
          <w:szCs w:val="16"/>
        </w:rPr>
        <w:footnoteRef/>
      </w:r>
      <w:r w:rsidRPr="00E44FFE">
        <w:rPr>
          <w:rStyle w:val="FootnoteReference"/>
          <w:rFonts w:cs="Arial"/>
          <w:sz w:val="16"/>
          <w:szCs w:val="16"/>
        </w:rPr>
        <w:t xml:space="preserve"> </w:t>
      </w:r>
      <w:r w:rsidRPr="00FD09D0">
        <w:rPr>
          <w:rFonts w:cs="Arial"/>
          <w:sz w:val="16"/>
          <w:szCs w:val="16"/>
        </w:rPr>
        <w:t xml:space="preserve">Castleberry, A. </w:t>
      </w:r>
      <w:r>
        <w:rPr>
          <w:rFonts w:cs="Arial"/>
          <w:sz w:val="16"/>
          <w:szCs w:val="16"/>
        </w:rPr>
        <w:t xml:space="preserve">&amp; Nolen, A. </w:t>
      </w:r>
      <w:r w:rsidRPr="00FD09D0">
        <w:rPr>
          <w:rFonts w:cs="Arial"/>
          <w:sz w:val="16"/>
          <w:szCs w:val="16"/>
        </w:rPr>
        <w:t xml:space="preserve">(2018). Thematic analysis of qualitative research data: Is it as easy as it sounds? </w:t>
      </w:r>
      <w:r w:rsidRPr="00F621D2">
        <w:rPr>
          <w:rFonts w:cs="Arial"/>
          <w:i/>
          <w:sz w:val="16"/>
          <w:szCs w:val="16"/>
        </w:rPr>
        <w:t xml:space="preserve">Currents in Pharmacy Teaching and Learning, </w:t>
      </w:r>
      <w:r w:rsidRPr="009B25D8">
        <w:rPr>
          <w:rFonts w:cs="Arial"/>
          <w:i/>
          <w:sz w:val="16"/>
          <w:szCs w:val="16"/>
        </w:rPr>
        <w:t>10</w:t>
      </w:r>
      <w:r w:rsidRPr="00FD09D0">
        <w:rPr>
          <w:rFonts w:cs="Arial"/>
          <w:sz w:val="16"/>
          <w:szCs w:val="16"/>
        </w:rPr>
        <w:t>, 807–815.</w:t>
      </w:r>
    </w:p>
  </w:footnote>
  <w:footnote w:id="9">
    <w:p w14:paraId="77A15B73" w14:textId="77777777" w:rsidR="00AD18CD" w:rsidRPr="00DC27F5" w:rsidRDefault="00AD18CD" w:rsidP="00DC27F5">
      <w:pPr>
        <w:spacing w:before="0" w:after="0"/>
        <w:rPr>
          <w:rFonts w:cs="Arial"/>
          <w:sz w:val="16"/>
          <w:szCs w:val="16"/>
        </w:rPr>
      </w:pPr>
      <w:r w:rsidRPr="00DC27F5">
        <w:rPr>
          <w:rStyle w:val="FootnoteReference"/>
          <w:rFonts w:cs="Arial"/>
          <w:sz w:val="16"/>
          <w:szCs w:val="16"/>
        </w:rPr>
        <w:footnoteRef/>
      </w:r>
      <w:r w:rsidRPr="00DC27F5">
        <w:rPr>
          <w:rStyle w:val="FootnoteReference"/>
          <w:rFonts w:cs="Arial"/>
          <w:sz w:val="16"/>
          <w:szCs w:val="16"/>
        </w:rPr>
        <w:t xml:space="preserve"> </w:t>
      </w:r>
      <w:r w:rsidRPr="00DC27F5">
        <w:rPr>
          <w:rFonts w:cs="Arial"/>
          <w:sz w:val="16"/>
          <w:szCs w:val="16"/>
        </w:rPr>
        <w:t xml:space="preserve">Creswell, J. W. (2013). </w:t>
      </w:r>
      <w:r w:rsidRPr="00DC27F5">
        <w:rPr>
          <w:rFonts w:cs="Arial"/>
          <w:i/>
          <w:sz w:val="16"/>
          <w:szCs w:val="16"/>
        </w:rPr>
        <w:t xml:space="preserve">Qualitative Inquiry &amp; Research Design: Choosing Among Five Approaches. </w:t>
      </w:r>
      <w:r w:rsidRPr="00DC27F5">
        <w:rPr>
          <w:rFonts w:cs="Arial"/>
          <w:sz w:val="16"/>
          <w:szCs w:val="16"/>
        </w:rPr>
        <w:t>Thousand Oaks,</w:t>
      </w:r>
      <w:r w:rsidRPr="00DC27F5">
        <w:rPr>
          <w:rFonts w:cs="Arial"/>
          <w:i/>
          <w:sz w:val="16"/>
          <w:szCs w:val="16"/>
        </w:rPr>
        <w:t xml:space="preserve"> </w:t>
      </w:r>
      <w:r w:rsidRPr="00DC27F5">
        <w:rPr>
          <w:rFonts w:cs="Arial"/>
          <w:sz w:val="16"/>
          <w:szCs w:val="16"/>
        </w:rPr>
        <w:t>CA: SAGE Publications.</w:t>
      </w:r>
    </w:p>
  </w:footnote>
  <w:footnote w:id="10">
    <w:p w14:paraId="043E521A" w14:textId="77777777" w:rsidR="00AD18CD" w:rsidRPr="00DC27F5" w:rsidRDefault="00AD18CD" w:rsidP="00DC27F5">
      <w:pPr>
        <w:spacing w:before="0" w:after="0"/>
        <w:rPr>
          <w:rFonts w:cs="Arial"/>
          <w:sz w:val="16"/>
          <w:szCs w:val="16"/>
        </w:rPr>
      </w:pPr>
      <w:r w:rsidRPr="00DC27F5">
        <w:rPr>
          <w:rStyle w:val="FootnoteReference"/>
          <w:rFonts w:cs="Arial"/>
          <w:sz w:val="16"/>
          <w:szCs w:val="16"/>
        </w:rPr>
        <w:footnoteRef/>
      </w:r>
      <w:r w:rsidRPr="00DC27F5">
        <w:rPr>
          <w:rStyle w:val="FootnoteReference"/>
          <w:rFonts w:cs="Arial"/>
          <w:sz w:val="16"/>
          <w:szCs w:val="16"/>
        </w:rPr>
        <w:t xml:space="preserve"> </w:t>
      </w:r>
      <w:r w:rsidRPr="00DC27F5">
        <w:rPr>
          <w:rFonts w:cs="Arial"/>
          <w:sz w:val="16"/>
          <w:szCs w:val="16"/>
        </w:rPr>
        <w:t xml:space="preserve">Mackenzie, N., and Knipe, S. (2006). Research dilemmas: Paradigms, methods and methodology. </w:t>
      </w:r>
      <w:r w:rsidRPr="00DC27F5">
        <w:rPr>
          <w:rFonts w:cs="Arial"/>
          <w:i/>
          <w:sz w:val="16"/>
          <w:szCs w:val="16"/>
        </w:rPr>
        <w:t>Issues In Educational Research.</w:t>
      </w:r>
    </w:p>
  </w:footnote>
  <w:footnote w:id="11">
    <w:p w14:paraId="65E064B8" w14:textId="77777777" w:rsidR="00AD18CD" w:rsidRPr="00DC27F5" w:rsidRDefault="00AD18CD" w:rsidP="00DC27F5">
      <w:pPr>
        <w:spacing w:before="0" w:after="0"/>
        <w:rPr>
          <w:rFonts w:cs="Arial"/>
          <w:sz w:val="16"/>
          <w:szCs w:val="16"/>
        </w:rPr>
      </w:pPr>
      <w:r w:rsidRPr="00DC27F5">
        <w:rPr>
          <w:rStyle w:val="FootnoteReference"/>
          <w:rFonts w:cs="Arial"/>
          <w:sz w:val="16"/>
          <w:szCs w:val="16"/>
        </w:rPr>
        <w:footnoteRef/>
      </w:r>
      <w:r w:rsidRPr="00DC27F5">
        <w:rPr>
          <w:rStyle w:val="FootnoteReference"/>
          <w:rFonts w:cs="Arial"/>
          <w:sz w:val="16"/>
          <w:szCs w:val="16"/>
        </w:rPr>
        <w:t xml:space="preserve"> </w:t>
      </w:r>
      <w:r w:rsidRPr="00DC27F5">
        <w:rPr>
          <w:rFonts w:cs="Arial"/>
          <w:sz w:val="16"/>
          <w:szCs w:val="16"/>
        </w:rPr>
        <w:t xml:space="preserve">Punch, K. F. (2009). The analysis of qualitative data. </w:t>
      </w:r>
      <w:r w:rsidRPr="00DC27F5">
        <w:rPr>
          <w:rFonts w:cs="Arial"/>
          <w:i/>
          <w:sz w:val="16"/>
          <w:szCs w:val="16"/>
        </w:rPr>
        <w:t>In Introduction to Research Methods in Education</w:t>
      </w:r>
      <w:r w:rsidRPr="00DC27F5">
        <w:rPr>
          <w:rFonts w:cs="Arial"/>
          <w:sz w:val="16"/>
          <w:szCs w:val="16"/>
        </w:rPr>
        <w:t xml:space="preserve"> (pp. 169</w:t>
      </w:r>
      <w:r w:rsidRPr="00DC27F5">
        <w:rPr>
          <w:rFonts w:cs="Arial" w:hint="eastAsia"/>
          <w:sz w:val="16"/>
          <w:szCs w:val="16"/>
        </w:rPr>
        <w:t>–</w:t>
      </w:r>
      <w:r w:rsidRPr="00DC27F5">
        <w:rPr>
          <w:rFonts w:cs="Arial"/>
          <w:sz w:val="16"/>
          <w:szCs w:val="16"/>
        </w:rPr>
        <w:t>209).</w:t>
      </w:r>
    </w:p>
  </w:footnote>
  <w:footnote w:id="12">
    <w:p w14:paraId="6C84C64D" w14:textId="77777777" w:rsidR="00AD18CD" w:rsidRPr="00DC27F5" w:rsidRDefault="00AD18CD" w:rsidP="00DC27F5">
      <w:pPr>
        <w:pStyle w:val="ListParagraph"/>
        <w:spacing w:before="0" w:after="0"/>
        <w:ind w:left="0"/>
        <w:contextualSpacing w:val="0"/>
        <w:rPr>
          <w:rFonts w:cs="Arial"/>
          <w:sz w:val="16"/>
          <w:szCs w:val="16"/>
        </w:rPr>
      </w:pPr>
      <w:r w:rsidRPr="00E44FFE">
        <w:rPr>
          <w:rStyle w:val="FootnoteReference"/>
          <w:rFonts w:cs="Arial"/>
          <w:sz w:val="16"/>
          <w:szCs w:val="16"/>
        </w:rPr>
        <w:footnoteRef/>
      </w:r>
      <w:r w:rsidRPr="00E44FFE">
        <w:rPr>
          <w:rStyle w:val="FootnoteReference"/>
          <w:rFonts w:cs="Arial"/>
          <w:sz w:val="16"/>
          <w:szCs w:val="16"/>
        </w:rPr>
        <w:t xml:space="preserve"> </w:t>
      </w:r>
      <w:proofErr w:type="spellStart"/>
      <w:r w:rsidRPr="006F50BC">
        <w:rPr>
          <w:rFonts w:cs="Arial"/>
          <w:sz w:val="16"/>
          <w:szCs w:val="16"/>
        </w:rPr>
        <w:t>Verdinelli</w:t>
      </w:r>
      <w:proofErr w:type="spellEnd"/>
      <w:r w:rsidRPr="006F50BC">
        <w:rPr>
          <w:rFonts w:cs="Arial"/>
          <w:sz w:val="16"/>
          <w:szCs w:val="16"/>
        </w:rPr>
        <w:t xml:space="preserve">, S. and Scagnoli, N. I. (2013). Data display in qualitative research. </w:t>
      </w:r>
      <w:r w:rsidRPr="009B25D8">
        <w:rPr>
          <w:rFonts w:cs="Arial"/>
          <w:i/>
          <w:sz w:val="16"/>
          <w:szCs w:val="16"/>
        </w:rPr>
        <w:t>International Journal of Qualitative Methods, 12,</w:t>
      </w:r>
      <w:r w:rsidRPr="006F50BC">
        <w:rPr>
          <w:rFonts w:cs="Arial"/>
          <w:sz w:val="16"/>
          <w:szCs w:val="16"/>
        </w:rPr>
        <w:t xml:space="preserve"> 359–381</w:t>
      </w:r>
      <w:r w:rsidRPr="00DC27F5">
        <w:rPr>
          <w:rFonts w:cs="Arial"/>
          <w:sz w:val="16"/>
          <w:szCs w:val="16"/>
        </w:rPr>
        <w:t>.</w:t>
      </w:r>
    </w:p>
  </w:footnote>
  <w:footnote w:id="13">
    <w:p w14:paraId="3CB8618C" w14:textId="77777777" w:rsidR="00AD18CD" w:rsidRPr="00DC27F5" w:rsidRDefault="00AD18CD" w:rsidP="00DC27F5">
      <w:pPr>
        <w:pStyle w:val="ListParagraph"/>
        <w:spacing w:before="0" w:after="0"/>
        <w:ind w:left="0"/>
        <w:contextualSpacing w:val="0"/>
        <w:rPr>
          <w:rFonts w:cs="Arial"/>
          <w:sz w:val="16"/>
          <w:szCs w:val="16"/>
        </w:rPr>
      </w:pPr>
      <w:r w:rsidRPr="00E44FFE">
        <w:rPr>
          <w:rStyle w:val="FootnoteReference"/>
          <w:rFonts w:cs="Arial"/>
          <w:sz w:val="16"/>
          <w:szCs w:val="16"/>
        </w:rPr>
        <w:footnoteRef/>
      </w:r>
      <w:r w:rsidRPr="00E44FFE">
        <w:rPr>
          <w:rStyle w:val="FootnoteReference"/>
          <w:rFonts w:cs="Arial"/>
          <w:sz w:val="16"/>
          <w:szCs w:val="16"/>
        </w:rPr>
        <w:t xml:space="preserve"> </w:t>
      </w:r>
      <w:r w:rsidRPr="006F50BC">
        <w:rPr>
          <w:rFonts w:cs="Arial"/>
          <w:sz w:val="16"/>
          <w:szCs w:val="16"/>
        </w:rPr>
        <w:t xml:space="preserve">Willis, J. W. (2007). </w:t>
      </w:r>
      <w:r w:rsidRPr="00F621D2">
        <w:rPr>
          <w:rFonts w:cs="Arial"/>
          <w:i/>
          <w:sz w:val="16"/>
          <w:szCs w:val="16"/>
        </w:rPr>
        <w:t>Foundations of Qualitative Research: Interpretive and Critical Approaches.</w:t>
      </w:r>
      <w:r w:rsidRPr="006F50BC">
        <w:rPr>
          <w:rFonts w:cs="Arial"/>
          <w:sz w:val="16"/>
          <w:szCs w:val="16"/>
        </w:rPr>
        <w:t xml:space="preserve"> SAGE Publications.</w:t>
      </w:r>
    </w:p>
  </w:footnote>
  <w:footnote w:id="14">
    <w:p w14:paraId="7D918C1D" w14:textId="77777777" w:rsidR="005D1125" w:rsidRPr="00DC27F5" w:rsidRDefault="005D1125" w:rsidP="00DC27F5">
      <w:pPr>
        <w:spacing w:before="0" w:after="0"/>
        <w:rPr>
          <w:rFonts w:cs="Arial"/>
          <w:sz w:val="16"/>
          <w:szCs w:val="16"/>
        </w:rPr>
      </w:pPr>
      <w:r w:rsidRPr="00DC27F5">
        <w:rPr>
          <w:rStyle w:val="FootnoteReference"/>
          <w:rFonts w:cs="Arial"/>
          <w:sz w:val="16"/>
          <w:szCs w:val="16"/>
        </w:rPr>
        <w:footnoteRef/>
      </w:r>
      <w:r w:rsidRPr="00DC27F5">
        <w:rPr>
          <w:rStyle w:val="FootnoteReference"/>
          <w:rFonts w:cs="Arial"/>
          <w:sz w:val="16"/>
          <w:szCs w:val="16"/>
        </w:rPr>
        <w:t xml:space="preserve"> </w:t>
      </w:r>
      <w:r w:rsidRPr="00DC27F5">
        <w:rPr>
          <w:rFonts w:cs="Arial"/>
          <w:sz w:val="16"/>
          <w:szCs w:val="16"/>
        </w:rPr>
        <w:t>2014, National Health and Medical Research Council. Ethical Guidance in Quality Assurance and Evaluation Activities.</w:t>
      </w:r>
      <w:r w:rsidRPr="00DC27F5">
        <w:rPr>
          <w:rStyle w:val="FootnoteReference"/>
          <w:rFonts w:cs="Arial"/>
          <w:sz w:val="16"/>
          <w:szCs w:val="16"/>
        </w:rPr>
        <w:t xml:space="preserve"> </w:t>
      </w:r>
    </w:p>
  </w:footnote>
  <w:footnote w:id="15">
    <w:p w14:paraId="15AC5938" w14:textId="53034DB5" w:rsidR="00850F07" w:rsidRDefault="00850F07">
      <w:pPr>
        <w:pStyle w:val="FootnoteText"/>
      </w:pPr>
      <w:r>
        <w:rPr>
          <w:rStyle w:val="FootnoteReference"/>
        </w:rPr>
        <w:footnoteRef/>
      </w:r>
      <w:r>
        <w:t xml:space="preserve"> </w:t>
      </w:r>
      <w:r w:rsidR="00D46319">
        <w:t>ACPSEM.</w:t>
      </w:r>
      <w:r w:rsidR="008F485C">
        <w:t xml:space="preserve"> (2014).</w:t>
      </w:r>
      <w:r w:rsidR="00D46319">
        <w:t xml:space="preserve"> </w:t>
      </w:r>
      <w:r w:rsidRPr="008F485C">
        <w:rPr>
          <w:i/>
          <w:iCs/>
        </w:rPr>
        <w:t>A</w:t>
      </w:r>
      <w:r w:rsidR="00496CD1" w:rsidRPr="008F485C">
        <w:rPr>
          <w:i/>
          <w:iCs/>
        </w:rPr>
        <w:t>CPSEM Position on the roles and responsibilities of the Qualified Medical Physicist</w:t>
      </w:r>
      <w:r w:rsidR="00D46319">
        <w:t xml:space="preserve">. </w:t>
      </w:r>
      <w:hyperlink r:id="rId1" w:history="1">
        <w:r w:rsidR="00D46319" w:rsidRPr="002E652A">
          <w:rPr>
            <w:rStyle w:val="Hyperlink"/>
          </w:rPr>
          <w:t>https://www.acpsem.org.au/as_agentcs.p?cmd=Document_AnywhereDoc(C0000020,00004312,8621f6359f4043e187e43d7b5cc6920c1bac238d)&amp;TenID=ACPSEM</w:t>
        </w:r>
      </w:hyperlink>
      <w:r w:rsidR="00D46319">
        <w:t xml:space="preserve"> </w:t>
      </w:r>
    </w:p>
  </w:footnote>
  <w:footnote w:id="16">
    <w:p w14:paraId="0F2552D4" w14:textId="520EBF2F" w:rsidR="00B43E72" w:rsidRDefault="00B43E72">
      <w:pPr>
        <w:pStyle w:val="FootnoteText"/>
      </w:pPr>
      <w:r>
        <w:rPr>
          <w:rStyle w:val="FootnoteReference"/>
        </w:rPr>
        <w:footnoteRef/>
      </w:r>
      <w:r>
        <w:t xml:space="preserve"> </w:t>
      </w:r>
      <w:r w:rsidRPr="008D2A63">
        <w:rPr>
          <w:rFonts w:cs="Arial"/>
          <w:szCs w:val="16"/>
        </w:rPr>
        <w:t xml:space="preserve">International Atomic Energy Agency. (2013). </w:t>
      </w:r>
      <w:r w:rsidRPr="008D2A63">
        <w:rPr>
          <w:rFonts w:cs="Arial"/>
          <w:i/>
          <w:iCs/>
          <w:szCs w:val="16"/>
        </w:rPr>
        <w:t>Roles and Responsibilities, and Education and Training Requirements for Clinically Qualified Medical Physicists</w:t>
      </w:r>
      <w:r w:rsidRPr="008D2A63">
        <w:rPr>
          <w:rFonts w:cs="Arial"/>
          <w:szCs w:val="16"/>
        </w:rPr>
        <w:t xml:space="preserve">. </w:t>
      </w:r>
      <w:hyperlink r:id="rId2" w:history="1">
        <w:r w:rsidRPr="008D2A63">
          <w:rPr>
            <w:rFonts w:cs="Arial"/>
            <w:color w:val="0000FF"/>
            <w:szCs w:val="16"/>
            <w:u w:val="single"/>
          </w:rPr>
          <w:t>https://www.iaea.org/publications/10437/roles-and-responsibilities-and-education-and-training-requirements-for-clinically-qualified-medical-physicists</w:t>
        </w:r>
      </w:hyperlink>
    </w:p>
  </w:footnote>
  <w:footnote w:id="17">
    <w:p w14:paraId="284C30CD" w14:textId="77777777" w:rsidR="008554FA" w:rsidRPr="00CF552C" w:rsidRDefault="008554FA" w:rsidP="008554FA">
      <w:pPr>
        <w:pStyle w:val="FootnoteText"/>
        <w:rPr>
          <w:rFonts w:eastAsiaTheme="minorHAnsi" w:cs="Arial"/>
          <w:color w:val="0000FF"/>
          <w:szCs w:val="16"/>
          <w:u w:val="single"/>
          <w:lang w:eastAsia="en-US"/>
        </w:rPr>
      </w:pPr>
      <w:r>
        <w:rPr>
          <w:rStyle w:val="FootnoteReference"/>
        </w:rPr>
        <w:footnoteRef/>
      </w:r>
      <w:r>
        <w:t xml:space="preserve"> ACPSEM. (2022). </w:t>
      </w:r>
      <w:r>
        <w:rPr>
          <w:i/>
          <w:iCs/>
        </w:rPr>
        <w:t>Certification and Training Programs</w:t>
      </w:r>
      <w:r>
        <w:t xml:space="preserve">. </w:t>
      </w:r>
      <w:hyperlink r:id="rId3" w:history="1">
        <w:r w:rsidRPr="00CF552C">
          <w:rPr>
            <w:rFonts w:eastAsiaTheme="minorHAnsi" w:cs="Arial"/>
            <w:color w:val="0000FF"/>
            <w:szCs w:val="16"/>
            <w:u w:val="single"/>
            <w:lang w:eastAsia="en-US"/>
          </w:rPr>
          <w:t>https://www.acpsem.org.au/Our-Professions/Certification-and-Training-Programs</w:t>
        </w:r>
      </w:hyperlink>
      <w:r w:rsidRPr="00CF552C">
        <w:rPr>
          <w:rFonts w:eastAsiaTheme="minorHAnsi" w:cs="Arial"/>
          <w:color w:val="0000FF"/>
          <w:szCs w:val="16"/>
          <w:u w:val="single"/>
          <w:lang w:eastAsia="en-US"/>
        </w:rPr>
        <w:t xml:space="preserve"> </w:t>
      </w:r>
    </w:p>
  </w:footnote>
  <w:footnote w:id="18">
    <w:p w14:paraId="3FFD276C" w14:textId="569C417A" w:rsidR="00E82D99" w:rsidRPr="00780986" w:rsidRDefault="00E82D99">
      <w:pPr>
        <w:pStyle w:val="FootnoteText"/>
      </w:pPr>
      <w:r>
        <w:rPr>
          <w:rStyle w:val="FootnoteReference"/>
        </w:rPr>
        <w:footnoteRef/>
      </w:r>
      <w:r>
        <w:t xml:space="preserve"> ACPSEM. (2022). </w:t>
      </w:r>
      <w:r w:rsidR="00780986">
        <w:rPr>
          <w:i/>
          <w:iCs/>
        </w:rPr>
        <w:t>Diagnostic Imaging Medical Physics</w:t>
      </w:r>
      <w:r w:rsidR="00780986">
        <w:t xml:space="preserve">. </w:t>
      </w:r>
      <w:hyperlink r:id="rId4" w:history="1">
        <w:r w:rsidR="00780986" w:rsidRPr="005606DA">
          <w:rPr>
            <w:rStyle w:val="Hyperlink"/>
          </w:rPr>
          <w:t>https://www.acpsem.org.au/Our-Professions/Certification-and-Training-Programs/DIMP</w:t>
        </w:r>
      </w:hyperlink>
      <w:r w:rsidR="00780986">
        <w:t xml:space="preserve"> </w:t>
      </w:r>
    </w:p>
  </w:footnote>
  <w:footnote w:id="19">
    <w:p w14:paraId="37699E30" w14:textId="313D7509" w:rsidR="00A10A36" w:rsidRPr="007E5375" w:rsidRDefault="00A10A36">
      <w:pPr>
        <w:pStyle w:val="FootnoteText"/>
      </w:pPr>
      <w:r>
        <w:rPr>
          <w:rStyle w:val="FootnoteReference"/>
        </w:rPr>
        <w:footnoteRef/>
      </w:r>
      <w:r>
        <w:t xml:space="preserve"> ACPSEM. (2022). </w:t>
      </w:r>
      <w:r>
        <w:rPr>
          <w:i/>
          <w:iCs/>
        </w:rPr>
        <w:t>Radiopharm</w:t>
      </w:r>
      <w:r w:rsidR="007E5375">
        <w:rPr>
          <w:i/>
          <w:iCs/>
        </w:rPr>
        <w:t>aceutical Science</w:t>
      </w:r>
      <w:r w:rsidR="007E5375">
        <w:t>.</w:t>
      </w:r>
      <w:r w:rsidR="007E5375" w:rsidRPr="007E5375">
        <w:t xml:space="preserve"> </w:t>
      </w:r>
      <w:hyperlink r:id="rId5" w:history="1">
        <w:r w:rsidR="007E5375" w:rsidRPr="005606DA">
          <w:rPr>
            <w:rStyle w:val="Hyperlink"/>
          </w:rPr>
          <w:t>https://www.acpsem.org.au/Our-Professions/Certification-and-Training-Programs/RPS</w:t>
        </w:r>
      </w:hyperlink>
      <w:r w:rsidR="007E5375">
        <w:t xml:space="preserve">   </w:t>
      </w:r>
    </w:p>
  </w:footnote>
  <w:footnote w:id="20">
    <w:p w14:paraId="07523095" w14:textId="23721266" w:rsidR="001305C7" w:rsidRPr="004A1F01" w:rsidRDefault="001305C7">
      <w:pPr>
        <w:pStyle w:val="FootnoteText"/>
      </w:pPr>
      <w:r>
        <w:rPr>
          <w:rStyle w:val="FootnoteReference"/>
        </w:rPr>
        <w:footnoteRef/>
      </w:r>
      <w:r>
        <w:t xml:space="preserve"> </w:t>
      </w:r>
      <w:r w:rsidR="00A27530">
        <w:t xml:space="preserve">Australian Government Department of Health. (2021). </w:t>
      </w:r>
      <w:r w:rsidR="004A1F01">
        <w:rPr>
          <w:i/>
          <w:iCs/>
        </w:rPr>
        <w:t>Medical Physicists Support Program 2022-2025 Grant Opportunity Guidelines GO5318</w:t>
      </w:r>
      <w:r w:rsidR="004A1F01">
        <w:t>.</w:t>
      </w:r>
    </w:p>
  </w:footnote>
  <w:footnote w:id="21">
    <w:p w14:paraId="1F32F489" w14:textId="77777777" w:rsidR="00BE50FC" w:rsidRDefault="00BE50FC" w:rsidP="00BE50FC">
      <w:pPr>
        <w:pStyle w:val="FootnoteText"/>
      </w:pPr>
      <w:r>
        <w:rPr>
          <w:rStyle w:val="FootnoteReference"/>
        </w:rPr>
        <w:footnoteRef/>
      </w:r>
      <w:r>
        <w:t xml:space="preserve"> ACPSEM Funding Agreement. Provided to KPMG from the ACPSEM.</w:t>
      </w:r>
    </w:p>
  </w:footnote>
  <w:footnote w:id="22">
    <w:p w14:paraId="6A6C9439" w14:textId="634EC7DB" w:rsidR="00AE2B1B" w:rsidRPr="00AE2B1B" w:rsidRDefault="00AE2B1B">
      <w:pPr>
        <w:pStyle w:val="FootnoteText"/>
      </w:pPr>
      <w:r>
        <w:rPr>
          <w:rStyle w:val="FootnoteReference"/>
        </w:rPr>
        <w:footnoteRef/>
      </w:r>
      <w:r>
        <w:t xml:space="preserve"> Department of Health and Aged Care. (2023). </w:t>
      </w:r>
      <w:r>
        <w:rPr>
          <w:i/>
          <w:iCs/>
        </w:rPr>
        <w:t>National Registration and Accreditation Scheme</w:t>
      </w:r>
      <w:r>
        <w:t xml:space="preserve">. Australian Government. </w:t>
      </w:r>
      <w:hyperlink r:id="rId6" w:history="1">
        <w:r w:rsidRPr="00E00A57">
          <w:rPr>
            <w:rStyle w:val="Hyperlink"/>
          </w:rPr>
          <w:t>https://www.health.gov.au/our-work/national-registration-and-accreditation-scheme</w:t>
        </w:r>
      </w:hyperlink>
      <w:r>
        <w:t xml:space="preserve"> </w:t>
      </w:r>
    </w:p>
  </w:footnote>
  <w:footnote w:id="23">
    <w:p w14:paraId="0B394BFB" w14:textId="52E2A1A6" w:rsidR="00EB470F" w:rsidRPr="00561D5B" w:rsidRDefault="00EB470F">
      <w:pPr>
        <w:pStyle w:val="FootnoteText"/>
      </w:pPr>
      <w:r>
        <w:rPr>
          <w:rStyle w:val="FootnoteReference"/>
        </w:rPr>
        <w:footnoteRef/>
      </w:r>
      <w:r>
        <w:t xml:space="preserve"> Parliamentary Counsel Office. (20</w:t>
      </w:r>
      <w:r w:rsidR="00561D5B">
        <w:t xml:space="preserve">23). </w:t>
      </w:r>
      <w:r w:rsidR="00561D5B">
        <w:rPr>
          <w:i/>
          <w:iCs/>
        </w:rPr>
        <w:t>Health Practitioners Competence Assurance Act 2003</w:t>
      </w:r>
      <w:r w:rsidR="00561D5B">
        <w:t xml:space="preserve">. </w:t>
      </w:r>
      <w:hyperlink r:id="rId7" w:history="1">
        <w:r w:rsidR="00561D5B" w:rsidRPr="00E00A57">
          <w:rPr>
            <w:rStyle w:val="Hyperlink"/>
          </w:rPr>
          <w:t>https://www.legislation.govt.nz/act/public/2003/0048/latest/DLM203312.html</w:t>
        </w:r>
      </w:hyperlink>
      <w:r w:rsidR="00561D5B">
        <w:t xml:space="preserve"> </w:t>
      </w:r>
    </w:p>
  </w:footnote>
  <w:footnote w:id="24">
    <w:p w14:paraId="717BC84A" w14:textId="23E4D1BB" w:rsidR="00B44396" w:rsidRDefault="00B44396">
      <w:pPr>
        <w:pStyle w:val="FootnoteText"/>
      </w:pPr>
      <w:r>
        <w:rPr>
          <w:rStyle w:val="FootnoteReference"/>
        </w:rPr>
        <w:footnoteRef/>
      </w:r>
      <w:r>
        <w:t xml:space="preserve"> ACPSEM</w:t>
      </w:r>
      <w:r w:rsidR="000141F8">
        <w:t>.</w:t>
      </w:r>
      <w:r>
        <w:t xml:space="preserve"> </w:t>
      </w:r>
      <w:r w:rsidR="000141F8">
        <w:t>(</w:t>
      </w:r>
      <w:r>
        <w:t>2021</w:t>
      </w:r>
      <w:r w:rsidR="000141F8">
        <w:t xml:space="preserve">). </w:t>
      </w:r>
      <w:r w:rsidR="006240F4">
        <w:t>MPS Program Performance Assessment</w:t>
      </w:r>
      <w:r w:rsidR="002A46ED">
        <w:t xml:space="preserve"> </w:t>
      </w:r>
      <w:r w:rsidR="0027263C">
        <w:t xml:space="preserve">and Monitoring Report </w:t>
      </w:r>
      <w:r w:rsidR="002A46ED">
        <w:t>August 2020 to September 2021.</w:t>
      </w:r>
    </w:p>
  </w:footnote>
  <w:footnote w:id="25">
    <w:p w14:paraId="0FCA626F" w14:textId="35B638BE" w:rsidR="00B82971" w:rsidRDefault="00B82971" w:rsidP="00B82971">
      <w:pPr>
        <w:pStyle w:val="FootnoteText"/>
      </w:pPr>
      <w:r>
        <w:rPr>
          <w:rStyle w:val="FootnoteReference"/>
        </w:rPr>
        <w:footnoteRef/>
      </w:r>
      <w:r>
        <w:t xml:space="preserve"> ACPSEM</w:t>
      </w:r>
      <w:r w:rsidR="0027263C">
        <w:t>. (2023). MPS Program</w:t>
      </w:r>
      <w:r>
        <w:t xml:space="preserve"> </w:t>
      </w:r>
      <w:r w:rsidR="0027263C">
        <w:t>Performance</w:t>
      </w:r>
      <w:r>
        <w:t xml:space="preserve"> Assessment and Monitoring Report March 2022 to December 2022.</w:t>
      </w:r>
    </w:p>
  </w:footnote>
  <w:footnote w:id="26">
    <w:p w14:paraId="780EADC2" w14:textId="0229554D" w:rsidR="009C3682" w:rsidRDefault="009C3682">
      <w:pPr>
        <w:pStyle w:val="FootnoteText"/>
      </w:pPr>
      <w:r>
        <w:rPr>
          <w:rStyle w:val="FootnoteReference"/>
        </w:rPr>
        <w:footnoteRef/>
      </w:r>
      <w:r>
        <w:t xml:space="preserve"> </w:t>
      </w:r>
      <w:r w:rsidR="00EA79C7">
        <w:t>ACPSEM. (2023). Update to Department of Health on 2023 ACPSEM Horizon Planning Activities.</w:t>
      </w:r>
    </w:p>
  </w:footnote>
  <w:footnote w:id="27">
    <w:p w14:paraId="1D292295" w14:textId="77777777" w:rsidR="0010741A" w:rsidRPr="00002EE8" w:rsidRDefault="0010741A" w:rsidP="0010741A">
      <w:pPr>
        <w:pStyle w:val="FootnoteText"/>
        <w:rPr>
          <w:szCs w:val="16"/>
        </w:rPr>
      </w:pPr>
      <w:r>
        <w:rPr>
          <w:rStyle w:val="FootnoteReference"/>
        </w:rPr>
        <w:footnoteRef/>
      </w:r>
      <w:r>
        <w:t xml:space="preserve"> </w:t>
      </w:r>
      <w:r w:rsidRPr="00002EE8">
        <w:rPr>
          <w:rFonts w:cs="Arial"/>
          <w:color w:val="222222"/>
          <w:szCs w:val="16"/>
          <w:shd w:val="clear" w:color="auto" w:fill="FFFFFF"/>
        </w:rPr>
        <w:t>Clements, N., Mac Nally, C., Moylan, R., &amp; Waterhouse, D. (2021). A collaborative approach to ROMP TEAP registrar training. </w:t>
      </w:r>
      <w:r w:rsidRPr="00002EE8">
        <w:rPr>
          <w:rFonts w:cs="Arial"/>
          <w:i/>
          <w:iCs/>
          <w:color w:val="222222"/>
          <w:szCs w:val="16"/>
          <w:shd w:val="clear" w:color="auto" w:fill="FFFFFF"/>
        </w:rPr>
        <w:t>Physical and Engineering Sciences in Medicine</w:t>
      </w:r>
      <w:r w:rsidRPr="00002EE8">
        <w:rPr>
          <w:rFonts w:cs="Arial"/>
          <w:color w:val="222222"/>
          <w:szCs w:val="16"/>
          <w:shd w:val="clear" w:color="auto" w:fill="FFFFFF"/>
        </w:rPr>
        <w:t>, </w:t>
      </w:r>
      <w:r w:rsidRPr="00002EE8">
        <w:rPr>
          <w:rFonts w:cs="Arial"/>
          <w:i/>
          <w:iCs/>
          <w:color w:val="222222"/>
          <w:szCs w:val="16"/>
          <w:shd w:val="clear" w:color="auto" w:fill="FFFFFF"/>
        </w:rPr>
        <w:t>44</w:t>
      </w:r>
      <w:r w:rsidRPr="00002EE8">
        <w:rPr>
          <w:rFonts w:cs="Arial"/>
          <w:color w:val="222222"/>
          <w:szCs w:val="16"/>
          <w:shd w:val="clear" w:color="auto" w:fill="FFFFFF"/>
        </w:rPr>
        <w:t>, 351-356.</w:t>
      </w:r>
    </w:p>
  </w:footnote>
  <w:footnote w:id="28">
    <w:p w14:paraId="3F980E74" w14:textId="64EB666C" w:rsidR="006A077D" w:rsidRPr="00194457" w:rsidRDefault="006A077D">
      <w:pPr>
        <w:pStyle w:val="FootnoteText"/>
        <w:rPr>
          <w:i/>
        </w:rPr>
      </w:pPr>
      <w:r>
        <w:rPr>
          <w:rStyle w:val="FootnoteReference"/>
        </w:rPr>
        <w:footnoteRef/>
      </w:r>
      <w:r>
        <w:t xml:space="preserve"> </w:t>
      </w:r>
      <w:r w:rsidR="00032254">
        <w:t xml:space="preserve">ACPSEM. (2019). </w:t>
      </w:r>
      <w:r w:rsidRPr="00194457">
        <w:rPr>
          <w:i/>
        </w:rPr>
        <w:t>ACPSEM General Progress Report No. 2</w:t>
      </w:r>
      <w:r w:rsidR="00032254" w:rsidRPr="00194457">
        <w:rPr>
          <w:i/>
        </w:rPr>
        <w:t xml:space="preserve"> (Activity No 1). Grant Agreement Supporting Medical Physics 2018-2021.</w:t>
      </w:r>
    </w:p>
  </w:footnote>
  <w:footnote w:id="29">
    <w:p w14:paraId="1F5E155C" w14:textId="77777777" w:rsidR="00337C23" w:rsidRDefault="00337C23" w:rsidP="00337C23">
      <w:pPr>
        <w:pStyle w:val="FootnoteText"/>
      </w:pPr>
      <w:r>
        <w:rPr>
          <w:rStyle w:val="FootnoteReference"/>
        </w:rPr>
        <w:footnoteRef/>
      </w:r>
      <w:r>
        <w:t xml:space="preserve"> HETI. (2023). Excerpts of the HETI DIMP Education Evaluation Report</w:t>
      </w:r>
    </w:p>
  </w:footnote>
  <w:footnote w:id="30">
    <w:p w14:paraId="23432DB8" w14:textId="3568DA88" w:rsidR="00E54CEA" w:rsidRDefault="00E54CEA">
      <w:pPr>
        <w:pStyle w:val="FootnoteText"/>
      </w:pPr>
      <w:r>
        <w:rPr>
          <w:rStyle w:val="FootnoteReference"/>
        </w:rPr>
        <w:footnoteRef/>
      </w:r>
      <w:r>
        <w:t xml:space="preserve"> </w:t>
      </w:r>
      <w:proofErr w:type="spellStart"/>
      <w:r>
        <w:t>Venndelta</w:t>
      </w:r>
      <w:proofErr w:type="spellEnd"/>
      <w:r>
        <w:t xml:space="preserve">. (2021). </w:t>
      </w:r>
      <w:r>
        <w:rPr>
          <w:i/>
          <w:iCs/>
        </w:rPr>
        <w:t>ROMP Workforce Projections Model Summary</w:t>
      </w:r>
      <w:r>
        <w:t>.</w:t>
      </w:r>
    </w:p>
  </w:footnote>
  <w:footnote w:id="31">
    <w:p w14:paraId="3E2FDCF1" w14:textId="77777777" w:rsidR="00D875EF" w:rsidRPr="00D91319" w:rsidRDefault="00D875EF" w:rsidP="00D875EF">
      <w:pPr>
        <w:pStyle w:val="FootnoteText"/>
      </w:pPr>
      <w:r>
        <w:rPr>
          <w:rStyle w:val="FootnoteReference"/>
        </w:rPr>
        <w:footnoteRef/>
      </w:r>
      <w:r>
        <w:t xml:space="preserve"> </w:t>
      </w:r>
      <w:r w:rsidRPr="00D91319">
        <w:t xml:space="preserve">International Atomic Energy Agency. (2021). </w:t>
      </w:r>
      <w:r w:rsidRPr="00D91319">
        <w:rPr>
          <w:i/>
          <w:iCs/>
        </w:rPr>
        <w:t>Guidelines for the Certification of Clinically Qualified Medical Physicists</w:t>
      </w:r>
      <w:r w:rsidRPr="00D91319">
        <w:t xml:space="preserve">. </w:t>
      </w:r>
      <w:hyperlink r:id="rId8" w:history="1">
        <w:r w:rsidRPr="00D91319">
          <w:rPr>
            <w:rStyle w:val="Hyperlink"/>
          </w:rPr>
          <w:t>https://www-pub.iaea.org/MTCD/Publications/PDF/TCS-71web.pdf</w:t>
        </w:r>
      </w:hyperlink>
    </w:p>
  </w:footnote>
  <w:footnote w:id="32">
    <w:p w14:paraId="4D3BD54E" w14:textId="77777777" w:rsidR="00D875EF" w:rsidRPr="00E857E7" w:rsidRDefault="00D875EF" w:rsidP="00D875EF">
      <w:pPr>
        <w:pStyle w:val="FootnoteText"/>
      </w:pPr>
      <w:r>
        <w:rPr>
          <w:rStyle w:val="FootnoteReference"/>
        </w:rPr>
        <w:footnoteRef/>
      </w:r>
      <w:r>
        <w:t xml:space="preserve"> </w:t>
      </w:r>
      <w:r w:rsidRPr="007C02A5">
        <w:t xml:space="preserve">International Atomic Energy Agency. (2013). </w:t>
      </w:r>
      <w:r w:rsidRPr="007C02A5">
        <w:rPr>
          <w:i/>
          <w:iCs/>
        </w:rPr>
        <w:t>Roles and Responsibilities, and Education and Training Requirements for Clinically Qualified Medical Physicists</w:t>
      </w:r>
      <w:r w:rsidRPr="007C02A5">
        <w:t xml:space="preserve">. </w:t>
      </w:r>
      <w:hyperlink r:id="rId9" w:history="1">
        <w:r w:rsidRPr="007C02A5">
          <w:rPr>
            <w:rStyle w:val="Hyperlink"/>
          </w:rPr>
          <w:t>https://www.iaea.org/publications/10437/roles-and-responsibilities-and-education-and-training-requirements-for-clinically-qualified-medical-physicists</w:t>
        </w:r>
      </w:hyperlink>
    </w:p>
  </w:footnote>
  <w:footnote w:id="33">
    <w:p w14:paraId="0B72DD51" w14:textId="77777777" w:rsidR="00D875EF" w:rsidRDefault="00D875EF" w:rsidP="00D875EF">
      <w:pPr>
        <w:pStyle w:val="FootnoteText"/>
      </w:pPr>
      <w:r>
        <w:rPr>
          <w:rStyle w:val="FootnoteReference"/>
        </w:rPr>
        <w:footnoteRef/>
      </w:r>
      <w:r>
        <w:t xml:space="preserve"> Juntos Marketing and Doll Martin Associates. (2021). </w:t>
      </w:r>
      <w:r>
        <w:rPr>
          <w:i/>
          <w:iCs/>
        </w:rPr>
        <w:t>Diagnostic Imaging Medical Physicists Workforce 2021 Report</w:t>
      </w:r>
      <w:r>
        <w:t>.</w:t>
      </w:r>
    </w:p>
  </w:footnote>
  <w:footnote w:id="34">
    <w:p w14:paraId="50A126F2" w14:textId="77777777" w:rsidR="00D875EF" w:rsidRPr="00DC27F5" w:rsidRDefault="00D875EF" w:rsidP="00D875EF">
      <w:pPr>
        <w:pStyle w:val="FootnoteText"/>
        <w:rPr>
          <w:rFonts w:cs="Arial"/>
          <w:szCs w:val="16"/>
        </w:rPr>
      </w:pPr>
      <w:r w:rsidRPr="00DC27F5">
        <w:rPr>
          <w:rStyle w:val="FootnoteReference"/>
          <w:rFonts w:cs="Arial"/>
          <w:szCs w:val="16"/>
        </w:rPr>
        <w:footnoteRef/>
      </w:r>
      <w:r w:rsidRPr="00DC27F5">
        <w:rPr>
          <w:rFonts w:cs="Arial"/>
          <w:szCs w:val="16"/>
        </w:rPr>
        <w:t xml:space="preserve"> Newhauser, W. D. (2017). </w:t>
      </w:r>
      <w:r w:rsidRPr="00585D6E">
        <w:t>The medical physics workforce. Health Physics</w:t>
      </w:r>
      <w:r w:rsidRPr="00DC27F5">
        <w:rPr>
          <w:rFonts w:cs="Arial"/>
          <w:szCs w:val="16"/>
        </w:rPr>
        <w:t>, 112(2), 139-148.</w:t>
      </w:r>
    </w:p>
  </w:footnote>
  <w:footnote w:id="35">
    <w:p w14:paraId="1CE27D5E" w14:textId="77777777" w:rsidR="00293470" w:rsidRPr="00305636" w:rsidRDefault="00293470" w:rsidP="00293470">
      <w:pPr>
        <w:pStyle w:val="FootnoteText"/>
      </w:pPr>
      <w:r>
        <w:rPr>
          <w:rStyle w:val="FootnoteReference"/>
        </w:rPr>
        <w:footnoteRef/>
      </w:r>
      <w:r>
        <w:t xml:space="preserve"> AIHW. (2024). </w:t>
      </w:r>
      <w:r>
        <w:rPr>
          <w:i/>
          <w:iCs/>
        </w:rPr>
        <w:t>Older Australians</w:t>
      </w:r>
      <w:r>
        <w:t xml:space="preserve">. </w:t>
      </w:r>
      <w:hyperlink r:id="rId10" w:history="1">
        <w:r w:rsidRPr="00C3033D">
          <w:rPr>
            <w:rStyle w:val="Hyperlink"/>
          </w:rPr>
          <w:t>https://www.aihw.gov.au/reports/older-people/older-australians/contents/demographic-profile</w:t>
        </w:r>
      </w:hyperlink>
      <w:r>
        <w:t xml:space="preserve"> </w:t>
      </w:r>
    </w:p>
  </w:footnote>
  <w:footnote w:id="36">
    <w:p w14:paraId="3922773A" w14:textId="77777777" w:rsidR="0019282C" w:rsidRPr="00590522" w:rsidRDefault="0019282C" w:rsidP="0019282C">
      <w:pPr>
        <w:pStyle w:val="FootnoteText"/>
      </w:pPr>
      <w:r>
        <w:rPr>
          <w:rStyle w:val="FootnoteReference"/>
        </w:rPr>
        <w:footnoteRef/>
      </w:r>
      <w:r>
        <w:t xml:space="preserve"> Cancer Council SA. (2023). </w:t>
      </w:r>
      <w:r>
        <w:rPr>
          <w:i/>
          <w:iCs/>
        </w:rPr>
        <w:t>Cancer statistics.</w:t>
      </w:r>
      <w:r>
        <w:t xml:space="preserve"> </w:t>
      </w:r>
      <w:hyperlink r:id="rId11" w:history="1">
        <w:r w:rsidRPr="00C3033D">
          <w:rPr>
            <w:rStyle w:val="Hyperlink"/>
          </w:rPr>
          <w:t>https://www.cancersa.org.au/research/cancer-statistics/</w:t>
        </w:r>
      </w:hyperlink>
      <w:r>
        <w:t xml:space="preserve"> </w:t>
      </w:r>
    </w:p>
  </w:footnote>
  <w:footnote w:id="37">
    <w:p w14:paraId="6AD5FB4C" w14:textId="77777777" w:rsidR="002761FF" w:rsidRPr="00F97687" w:rsidRDefault="002761FF" w:rsidP="002761FF">
      <w:pPr>
        <w:pStyle w:val="FootnoteText"/>
      </w:pPr>
      <w:r>
        <w:rPr>
          <w:rStyle w:val="FootnoteReference"/>
        </w:rPr>
        <w:footnoteRef/>
      </w:r>
      <w:r>
        <w:t xml:space="preserve"> RANZCR. (2014). </w:t>
      </w:r>
      <w:r>
        <w:rPr>
          <w:i/>
          <w:iCs/>
        </w:rPr>
        <w:t xml:space="preserve">Faculty of Radiation Oncology RANZCR Submission to the House Health Committee Inquiry into Skin Cancer. </w:t>
      </w:r>
    </w:p>
  </w:footnote>
  <w:footnote w:id="38">
    <w:p w14:paraId="4F245FF9" w14:textId="77777777" w:rsidR="00D875EF" w:rsidRDefault="00D875EF" w:rsidP="00D875EF">
      <w:pPr>
        <w:pStyle w:val="FootnoteText"/>
      </w:pPr>
      <w:r>
        <w:rPr>
          <w:rStyle w:val="FootnoteReference"/>
        </w:rPr>
        <w:footnoteRef/>
      </w:r>
      <w:r>
        <w:t xml:space="preserve"> RANZCR. (2023). The </w:t>
      </w:r>
      <w:r>
        <w:rPr>
          <w:i/>
          <w:iCs/>
        </w:rPr>
        <w:t>Facilities Survey Report: Insights and Trends From 2010-2020 Australia</w:t>
      </w:r>
      <w:r>
        <w:t xml:space="preserve">. </w:t>
      </w:r>
      <w:r w:rsidRPr="002C1FEB">
        <w:t>https://www.ranzcr.com/college/document-library/facilities-survey-report-insights-and-trends-from-2010-2020-australia</w:t>
      </w:r>
    </w:p>
  </w:footnote>
  <w:footnote w:id="39">
    <w:p w14:paraId="4182B311" w14:textId="77777777" w:rsidR="00D875EF" w:rsidRPr="00DD2D0A" w:rsidRDefault="00D875EF" w:rsidP="00D875EF">
      <w:pPr>
        <w:pStyle w:val="FootnoteText"/>
      </w:pPr>
      <w:r>
        <w:rPr>
          <w:rStyle w:val="FootnoteReference"/>
        </w:rPr>
        <w:footnoteRef/>
      </w:r>
      <w:r>
        <w:t xml:space="preserve"> ANSTO. (2023). </w:t>
      </w:r>
      <w:r>
        <w:rPr>
          <w:i/>
          <w:iCs/>
        </w:rPr>
        <w:t>Safeguarding Australia’s healthcare sector with a new nuclear medicine facility</w:t>
      </w:r>
      <w:r>
        <w:t xml:space="preserve">. </w:t>
      </w:r>
      <w:hyperlink r:id="rId12" w:anchor=":~:text=Each%20week%20ANSTO%20produces%20nuclear,nuclear%20medicine%20used%20in%20Australia" w:history="1">
        <w:r w:rsidRPr="00910F80">
          <w:rPr>
            <w:rStyle w:val="Hyperlink"/>
          </w:rPr>
          <w:t>https://www.ansto.gov.au/news/safeguarding-australias-healthcare-sector-a-new-nuclear-medicine-facility#:~:text=Each%20week%20ANSTO%20produces%20nuclear,nuclear%20medicine%20used%20in%20Australia</w:t>
        </w:r>
      </w:hyperlink>
      <w:r w:rsidRPr="00DD2D0A">
        <w:t>.</w:t>
      </w:r>
      <w:r>
        <w:t xml:space="preserve"> </w:t>
      </w:r>
    </w:p>
  </w:footnote>
  <w:footnote w:id="40">
    <w:p w14:paraId="4F3836CE" w14:textId="7C58485C" w:rsidR="000D78B2" w:rsidRPr="00DC27F5" w:rsidRDefault="000D78B2" w:rsidP="000D78B2">
      <w:pPr>
        <w:pStyle w:val="FootnoteText"/>
        <w:rPr>
          <w:rFonts w:cs="Arial"/>
          <w:b/>
          <w:szCs w:val="16"/>
        </w:rPr>
      </w:pPr>
      <w:r>
        <w:rPr>
          <w:rStyle w:val="FootnoteReference"/>
        </w:rPr>
        <w:footnoteRef/>
      </w:r>
      <w:r>
        <w:t xml:space="preserve"> </w:t>
      </w:r>
      <w:r w:rsidRPr="00FA7FC0">
        <w:rPr>
          <w:rFonts w:cs="Arial"/>
          <w:szCs w:val="16"/>
        </w:rPr>
        <w:t xml:space="preserve">Newhauser, W. D., Gress, D. A., Mills, M. D., Jordan, D. W., </w:t>
      </w:r>
      <w:proofErr w:type="spellStart"/>
      <w:r w:rsidRPr="00FA7FC0">
        <w:rPr>
          <w:rFonts w:cs="Arial"/>
          <w:szCs w:val="16"/>
        </w:rPr>
        <w:t>Sutlief</w:t>
      </w:r>
      <w:proofErr w:type="spellEnd"/>
      <w:r w:rsidRPr="00FA7FC0">
        <w:rPr>
          <w:rFonts w:cs="Arial"/>
          <w:szCs w:val="16"/>
        </w:rPr>
        <w:t>, S. G., Martin, M. C., &amp; Jackson, E. (2022). Medical physics workforce in the United States. Journal of Applied Clinical Medical Physics, 23(Suppl 1).</w:t>
      </w:r>
    </w:p>
  </w:footnote>
  <w:footnote w:id="41">
    <w:p w14:paraId="4E1C6453" w14:textId="294B0061" w:rsidR="00D875EF" w:rsidRDefault="00D875EF" w:rsidP="00D875EF">
      <w:pPr>
        <w:pStyle w:val="FootnoteText"/>
      </w:pPr>
      <w:r>
        <w:rPr>
          <w:rStyle w:val="FootnoteReference"/>
        </w:rPr>
        <w:footnoteRef/>
      </w:r>
      <w:r>
        <w:t xml:space="preserve"> ACPSEM Assessment and Monitoring Report August 2020 to December 2020.</w:t>
      </w:r>
    </w:p>
  </w:footnote>
  <w:footnote w:id="42">
    <w:p w14:paraId="42DDAACD" w14:textId="7C8BB88A" w:rsidR="00EC6DE9" w:rsidRDefault="00EC6DE9">
      <w:pPr>
        <w:pStyle w:val="FootnoteText"/>
      </w:pPr>
      <w:r>
        <w:rPr>
          <w:rStyle w:val="FootnoteReference"/>
        </w:rPr>
        <w:footnoteRef/>
      </w:r>
      <w:r>
        <w:t xml:space="preserve"> </w:t>
      </w:r>
      <w:r w:rsidR="004041F7" w:rsidRPr="004041F7">
        <w:t xml:space="preserve">Wilkinson L, Brady Z &amp; Round H. </w:t>
      </w:r>
      <w:r w:rsidR="004041F7">
        <w:t>(</w:t>
      </w:r>
      <w:r w:rsidR="004041F7" w:rsidRPr="004041F7">
        <w:t>2020</w:t>
      </w:r>
      <w:r w:rsidR="004041F7">
        <w:t>)</w:t>
      </w:r>
      <w:r w:rsidR="004041F7" w:rsidRPr="004041F7">
        <w:t xml:space="preserve">. </w:t>
      </w:r>
      <w:r w:rsidR="004041F7" w:rsidRPr="00194457">
        <w:rPr>
          <w:i/>
        </w:rPr>
        <w:t>A 2020 survey of the Australasian diagnostic imaging medical physics workforce</w:t>
      </w:r>
      <w:r w:rsidR="004041F7" w:rsidRPr="004041F7">
        <w:t>. Presentation of project findings to EPSM conference.</w:t>
      </w:r>
    </w:p>
  </w:footnote>
  <w:footnote w:id="43">
    <w:p w14:paraId="32419321" w14:textId="77777777" w:rsidR="00D875EF" w:rsidRPr="005C0644" w:rsidRDefault="00D875EF" w:rsidP="00D875EF">
      <w:pPr>
        <w:pStyle w:val="FootnoteText"/>
      </w:pPr>
      <w:r>
        <w:rPr>
          <w:rStyle w:val="FootnoteReference"/>
        </w:rPr>
        <w:footnoteRef/>
      </w:r>
      <w:r>
        <w:t xml:space="preserve"> NSW Government. (2015). </w:t>
      </w:r>
      <w:r>
        <w:rPr>
          <w:i/>
          <w:iCs/>
        </w:rPr>
        <w:t>Career Fact Sheet 2015 – Radiopharmaceutical Scientists</w:t>
      </w:r>
      <w:r>
        <w:t xml:space="preserve">. </w:t>
      </w:r>
      <w:hyperlink r:id="rId13" w:history="1">
        <w:r w:rsidRPr="005606DA">
          <w:rPr>
            <w:rStyle w:val="Hyperlink"/>
          </w:rPr>
          <w:t>https://www.health.nsw.gov.au/workforce/alliedhealth/Factsheets/rps-career.pdf</w:t>
        </w:r>
      </w:hyperlink>
    </w:p>
  </w:footnote>
  <w:footnote w:id="44">
    <w:p w14:paraId="18B61DB3" w14:textId="77777777" w:rsidR="00D875EF" w:rsidRDefault="00D875EF" w:rsidP="00D875EF">
      <w:pPr>
        <w:pStyle w:val="FootnoteText"/>
      </w:pPr>
      <w:r>
        <w:rPr>
          <w:rStyle w:val="FootnoteReference"/>
        </w:rPr>
        <w:footnoteRef/>
      </w:r>
      <w:r>
        <w:t xml:space="preserve"> ACPSEM Assessment and Monitoring Report March 2022 to December 2022.</w:t>
      </w:r>
    </w:p>
  </w:footnote>
  <w:footnote w:id="45">
    <w:p w14:paraId="1D9E2529" w14:textId="77777777" w:rsidR="00D875EF" w:rsidRPr="009D409C" w:rsidRDefault="00D875EF" w:rsidP="00D875EF">
      <w:pPr>
        <w:pStyle w:val="FootnoteText"/>
      </w:pPr>
      <w:r>
        <w:rPr>
          <w:rStyle w:val="FootnoteReference"/>
        </w:rPr>
        <w:footnoteRef/>
      </w:r>
      <w:r>
        <w:t xml:space="preserve"> </w:t>
      </w:r>
      <w:r w:rsidRPr="00AA19FA">
        <w:t>The Allen Consulting Group</w:t>
      </w:r>
      <w:r>
        <w:t>. (2012).</w:t>
      </w:r>
      <w:r w:rsidRPr="00AA19FA">
        <w:t xml:space="preserve"> </w:t>
      </w:r>
      <w:r w:rsidRPr="009D409C">
        <w:rPr>
          <w:i/>
          <w:iCs/>
        </w:rPr>
        <w:t>Projecting the radiation oncology workforce, Report to The Royal Australian and New Zealand College of Radiologists</w:t>
      </w:r>
      <w:r>
        <w:t>.</w:t>
      </w:r>
    </w:p>
  </w:footnote>
  <w:footnote w:id="46">
    <w:p w14:paraId="57045429" w14:textId="77777777" w:rsidR="00D875EF" w:rsidRDefault="00D875EF" w:rsidP="00D875EF">
      <w:pPr>
        <w:pStyle w:val="FootnoteText"/>
      </w:pPr>
      <w:r>
        <w:rPr>
          <w:rStyle w:val="FootnoteReference"/>
        </w:rPr>
        <w:footnoteRef/>
      </w:r>
      <w:r>
        <w:t xml:space="preserve"> </w:t>
      </w:r>
      <w:proofErr w:type="spellStart"/>
      <w:r w:rsidRPr="003C6C28">
        <w:t>Venndelta</w:t>
      </w:r>
      <w:proofErr w:type="spellEnd"/>
      <w:r w:rsidRPr="003C6C28">
        <w:t xml:space="preserve">. (2021). </w:t>
      </w:r>
      <w:r w:rsidRPr="003C6C28">
        <w:rPr>
          <w:i/>
          <w:iCs/>
        </w:rPr>
        <w:t>ROMP Workforce Modelling Project Summary Workforce Paper</w:t>
      </w:r>
      <w:r w:rsidRPr="003C6C28">
        <w:t>.</w:t>
      </w:r>
    </w:p>
  </w:footnote>
  <w:footnote w:id="47">
    <w:p w14:paraId="5C1D808F" w14:textId="77777777" w:rsidR="00D875EF" w:rsidRDefault="00D875EF" w:rsidP="00D875EF">
      <w:pPr>
        <w:pStyle w:val="FootnoteText"/>
      </w:pPr>
      <w:r>
        <w:rPr>
          <w:rStyle w:val="FootnoteReference"/>
        </w:rPr>
        <w:footnoteRef/>
      </w:r>
      <w:r>
        <w:t xml:space="preserve"> Crowe, S., Aland, T., Fog, L., Greig, L., Hamlett, L., Lydon, J., Waterhouse, D., Doromal, D., Sawers, A. and Round, H. (2021). </w:t>
      </w:r>
      <w:r>
        <w:rPr>
          <w:i/>
          <w:iCs/>
        </w:rPr>
        <w:t>Report of the ACPSEM radiation oncology medical physics workforce modelling project task group</w:t>
      </w:r>
      <w:r>
        <w:t>.</w:t>
      </w:r>
    </w:p>
  </w:footnote>
  <w:footnote w:id="48">
    <w:p w14:paraId="72D9DBB7" w14:textId="77777777" w:rsidR="00D875EF" w:rsidRPr="00EB5869" w:rsidRDefault="00D875EF" w:rsidP="00D875EF">
      <w:pPr>
        <w:pStyle w:val="FootnoteText"/>
      </w:pPr>
      <w:r>
        <w:rPr>
          <w:rStyle w:val="FootnoteReference"/>
        </w:rPr>
        <w:footnoteRef/>
      </w:r>
      <w:r>
        <w:t xml:space="preserve"> </w:t>
      </w:r>
      <w:proofErr w:type="spellStart"/>
      <w:r>
        <w:t>Venndelta</w:t>
      </w:r>
      <w:proofErr w:type="spellEnd"/>
      <w:r>
        <w:t xml:space="preserve">. (2021). </w:t>
      </w:r>
      <w:r>
        <w:rPr>
          <w:i/>
          <w:iCs/>
        </w:rPr>
        <w:t>ROMP Workforce Projections Model Summary</w:t>
      </w:r>
      <w:r>
        <w:t>.</w:t>
      </w:r>
    </w:p>
  </w:footnote>
  <w:footnote w:id="49">
    <w:p w14:paraId="2ACEFFA8" w14:textId="3F2391AB" w:rsidR="00D875EF" w:rsidRPr="00DC27F5" w:rsidRDefault="00D875EF" w:rsidP="00D875EF">
      <w:pPr>
        <w:spacing w:before="0" w:after="0"/>
        <w:rPr>
          <w:rFonts w:cs="Arial"/>
          <w:bCs/>
          <w:sz w:val="16"/>
          <w:szCs w:val="16"/>
        </w:rPr>
      </w:pPr>
      <w:r w:rsidRPr="00DC27F5">
        <w:rPr>
          <w:rStyle w:val="FootnoteReference"/>
          <w:rFonts w:cs="Arial"/>
          <w:bCs/>
          <w:sz w:val="16"/>
          <w:szCs w:val="16"/>
        </w:rPr>
        <w:footnoteRef/>
      </w:r>
      <w:r w:rsidRPr="00DC27F5">
        <w:rPr>
          <w:rFonts w:cs="Arial"/>
          <w:bCs/>
          <w:sz w:val="16"/>
          <w:szCs w:val="16"/>
        </w:rPr>
        <w:t xml:space="preserve"> </w:t>
      </w:r>
      <w:proofErr w:type="spellStart"/>
      <w:r w:rsidRPr="00DC27F5">
        <w:rPr>
          <w:rFonts w:cs="Arial"/>
          <w:bCs/>
          <w:sz w:val="16"/>
          <w:szCs w:val="16"/>
        </w:rPr>
        <w:t>Rühm</w:t>
      </w:r>
      <w:proofErr w:type="spellEnd"/>
      <w:r w:rsidRPr="00DC27F5">
        <w:rPr>
          <w:rFonts w:cs="Arial"/>
          <w:bCs/>
          <w:sz w:val="16"/>
          <w:szCs w:val="16"/>
        </w:rPr>
        <w:t xml:space="preserve">, W., Cho, K., Larsson, C. M., Wojcik, A., Clement, C., Applegate, K., </w:t>
      </w:r>
      <w:r w:rsidR="00994246">
        <w:rPr>
          <w:rFonts w:cs="Arial"/>
          <w:bCs/>
          <w:sz w:val="16"/>
          <w:szCs w:val="16"/>
        </w:rPr>
        <w:t>et al.</w:t>
      </w:r>
      <w:r w:rsidRPr="00DC27F5">
        <w:rPr>
          <w:rFonts w:cs="Arial"/>
          <w:bCs/>
          <w:sz w:val="16"/>
          <w:szCs w:val="16"/>
        </w:rPr>
        <w:t xml:space="preserve"> (2023). Vancouver calls for action to strengthen expertise in radiological protection worldwide. Radiation and Environmental Biophysics, 62(2), 175-180.</w:t>
      </w:r>
    </w:p>
  </w:footnote>
  <w:footnote w:id="50">
    <w:p w14:paraId="62329364" w14:textId="77777777" w:rsidR="00D875EF" w:rsidRPr="00AF0E56" w:rsidRDefault="00D875EF" w:rsidP="00D875EF">
      <w:pPr>
        <w:spacing w:before="0" w:after="0"/>
        <w:rPr>
          <w:rFonts w:cs="Arial"/>
          <w:sz w:val="16"/>
          <w:szCs w:val="16"/>
        </w:rPr>
      </w:pPr>
      <w:r w:rsidRPr="00532EC4">
        <w:rPr>
          <w:rStyle w:val="FootnoteReference"/>
          <w:rFonts w:cs="Arial"/>
          <w:sz w:val="16"/>
          <w:szCs w:val="16"/>
        </w:rPr>
        <w:footnoteRef/>
      </w:r>
      <w:r w:rsidRPr="00532EC4">
        <w:rPr>
          <w:rFonts w:cs="Arial"/>
          <w:sz w:val="16"/>
          <w:szCs w:val="16"/>
        </w:rPr>
        <w:t xml:space="preserve"> Institute of Physics and Engineering in Medicine. (2023). Official IPEM statement: UK Medical Physics and Clinical Engineering </w:t>
      </w:r>
      <w:r w:rsidRPr="00AF0E56">
        <w:rPr>
          <w:rFonts w:cs="Arial"/>
          <w:sz w:val="16"/>
          <w:szCs w:val="16"/>
        </w:rPr>
        <w:t xml:space="preserve">workforce shortage requires urgent action. </w:t>
      </w:r>
      <w:hyperlink r:id="rId14" w:history="1">
        <w:r w:rsidRPr="002D4ABB">
          <w:rPr>
            <w:rStyle w:val="Hyperlink"/>
            <w:rFonts w:cs="Arial"/>
            <w:sz w:val="16"/>
            <w:szCs w:val="16"/>
          </w:rPr>
          <w:t>https://www.ipem.ac.uk/resources/other-resources/statements-and-notices/ipem-statement-on-the-medical-physics-and-clinical-engineering-workforce/</w:t>
        </w:r>
      </w:hyperlink>
    </w:p>
  </w:footnote>
  <w:footnote w:id="51">
    <w:p w14:paraId="494D487B" w14:textId="77777777" w:rsidR="00D875EF" w:rsidRPr="00095A0C" w:rsidRDefault="00D875EF" w:rsidP="00D875EF">
      <w:pPr>
        <w:pStyle w:val="FootnoteText"/>
        <w:rPr>
          <w:rFonts w:cs="Arial"/>
          <w:szCs w:val="16"/>
        </w:rPr>
      </w:pPr>
      <w:r w:rsidRPr="00AF0E56">
        <w:rPr>
          <w:rStyle w:val="FootnoteReference"/>
          <w:rFonts w:cs="Arial"/>
          <w:szCs w:val="16"/>
        </w:rPr>
        <w:footnoteRef/>
      </w:r>
      <w:r w:rsidRPr="00AF0E56">
        <w:rPr>
          <w:rFonts w:cs="Arial"/>
          <w:szCs w:val="16"/>
        </w:rPr>
        <w:t xml:space="preserve"> Harkness, B. A., &amp; Fahey, F. H. (2016). The current state of nuclear medicine physics training: findings of the AAPM/SNMMI Task Force. Journal of </w:t>
      </w:r>
      <w:r w:rsidRPr="00095A0C">
        <w:rPr>
          <w:rFonts w:cs="Arial"/>
          <w:szCs w:val="16"/>
        </w:rPr>
        <w:t>Nuclear Medicine, 57(7), 1146-1147.</w:t>
      </w:r>
    </w:p>
  </w:footnote>
  <w:footnote w:id="52">
    <w:p w14:paraId="34E278C4" w14:textId="77777777" w:rsidR="00D875EF" w:rsidRPr="00095A0C" w:rsidRDefault="00D875EF" w:rsidP="00D875EF">
      <w:pPr>
        <w:pStyle w:val="FootnoteText"/>
        <w:rPr>
          <w:szCs w:val="16"/>
        </w:rPr>
      </w:pPr>
      <w:r w:rsidRPr="00095A0C">
        <w:rPr>
          <w:rStyle w:val="FootnoteReference"/>
          <w:szCs w:val="16"/>
        </w:rPr>
        <w:footnoteRef/>
      </w:r>
      <w:r w:rsidRPr="00095A0C">
        <w:rPr>
          <w:szCs w:val="16"/>
        </w:rPr>
        <w:t xml:space="preserve"> </w:t>
      </w:r>
      <w:proofErr w:type="spellStart"/>
      <w:r w:rsidRPr="00095A0C">
        <w:rPr>
          <w:rFonts w:cs="Arial"/>
          <w:color w:val="222222"/>
          <w:szCs w:val="16"/>
          <w:shd w:val="clear" w:color="auto" w:fill="FFFFFF"/>
        </w:rPr>
        <w:t>Chougule</w:t>
      </w:r>
      <w:proofErr w:type="spellEnd"/>
      <w:r w:rsidRPr="00095A0C">
        <w:rPr>
          <w:rFonts w:cs="Arial"/>
          <w:color w:val="222222"/>
          <w:szCs w:val="16"/>
          <w:shd w:val="clear" w:color="auto" w:fill="FFFFFF"/>
        </w:rPr>
        <w:t>, A. (2021). Status of medical physics education and training in AFOMP region. </w:t>
      </w:r>
      <w:r w:rsidRPr="00095A0C">
        <w:rPr>
          <w:rFonts w:cs="Arial"/>
          <w:i/>
          <w:iCs/>
          <w:color w:val="222222"/>
          <w:szCs w:val="16"/>
          <w:shd w:val="clear" w:color="auto" w:fill="FFFFFF"/>
        </w:rPr>
        <w:t>Physical and Engineering Sciences in Medicine</w:t>
      </w:r>
      <w:r w:rsidRPr="00095A0C">
        <w:rPr>
          <w:rFonts w:cs="Arial"/>
          <w:color w:val="222222"/>
          <w:szCs w:val="16"/>
          <w:shd w:val="clear" w:color="auto" w:fill="FFFFFF"/>
        </w:rPr>
        <w:t>, </w:t>
      </w:r>
      <w:r w:rsidRPr="00095A0C">
        <w:rPr>
          <w:rFonts w:cs="Arial"/>
          <w:i/>
          <w:iCs/>
          <w:color w:val="222222"/>
          <w:szCs w:val="16"/>
          <w:shd w:val="clear" w:color="auto" w:fill="FFFFFF"/>
        </w:rPr>
        <w:t>44</w:t>
      </w:r>
      <w:r w:rsidRPr="00095A0C">
        <w:rPr>
          <w:rFonts w:cs="Arial"/>
          <w:color w:val="222222"/>
          <w:szCs w:val="16"/>
          <w:shd w:val="clear" w:color="auto" w:fill="FFFFFF"/>
        </w:rPr>
        <w:t>, 357-364.</w:t>
      </w:r>
    </w:p>
  </w:footnote>
  <w:footnote w:id="53">
    <w:p w14:paraId="18B92205" w14:textId="178B8412" w:rsidR="002B41A1" w:rsidRPr="004355E9" w:rsidRDefault="002B41A1" w:rsidP="002B41A1">
      <w:pPr>
        <w:spacing w:before="0" w:after="0"/>
        <w:rPr>
          <w:rFonts w:cs="Arial"/>
          <w:b/>
          <w:sz w:val="16"/>
          <w:szCs w:val="16"/>
        </w:rPr>
      </w:pPr>
      <w:r w:rsidRPr="004355E9">
        <w:rPr>
          <w:rStyle w:val="FootnoteReference"/>
          <w:rFonts w:cs="Arial"/>
          <w:b/>
          <w:sz w:val="16"/>
          <w:szCs w:val="16"/>
        </w:rPr>
        <w:footnoteRef/>
      </w:r>
      <w:r w:rsidRPr="004355E9">
        <w:rPr>
          <w:rFonts w:cs="Arial"/>
          <w:b/>
          <w:bCs/>
          <w:sz w:val="16"/>
          <w:szCs w:val="16"/>
        </w:rPr>
        <w:t xml:space="preserve"> </w:t>
      </w:r>
      <w:proofErr w:type="spellStart"/>
      <w:r w:rsidRPr="004355E9">
        <w:rPr>
          <w:rFonts w:cs="Arial"/>
          <w:sz w:val="16"/>
          <w:szCs w:val="16"/>
        </w:rPr>
        <w:t>Rühm</w:t>
      </w:r>
      <w:proofErr w:type="spellEnd"/>
      <w:r w:rsidRPr="004355E9">
        <w:rPr>
          <w:rFonts w:cs="Arial"/>
          <w:sz w:val="16"/>
          <w:szCs w:val="16"/>
        </w:rPr>
        <w:t xml:space="preserve">, W., Cho, K., Larsson, C. M., Wojcik, A., Clement, C., Applegate, K., </w:t>
      </w:r>
      <w:r w:rsidR="00994246">
        <w:rPr>
          <w:rFonts w:cs="Arial"/>
          <w:sz w:val="16"/>
          <w:szCs w:val="16"/>
        </w:rPr>
        <w:t>et al</w:t>
      </w:r>
      <w:r w:rsidRPr="004355E9">
        <w:rPr>
          <w:rFonts w:cs="Arial"/>
          <w:sz w:val="16"/>
          <w:szCs w:val="16"/>
        </w:rPr>
        <w:t>. (2023). Vancouver calls for action to strengthen expertise in radiological protection worldwide. Radiation and Environmental Biophysics, 62(2), 175-180.</w:t>
      </w:r>
    </w:p>
  </w:footnote>
  <w:footnote w:id="54">
    <w:p w14:paraId="115AC74E" w14:textId="77777777" w:rsidR="002B41A1" w:rsidRPr="00AF0E56" w:rsidRDefault="002B41A1" w:rsidP="002B41A1">
      <w:pPr>
        <w:spacing w:before="0" w:after="0"/>
        <w:rPr>
          <w:rFonts w:cs="Arial"/>
          <w:sz w:val="16"/>
          <w:szCs w:val="16"/>
        </w:rPr>
      </w:pPr>
      <w:r w:rsidRPr="00532EC4">
        <w:rPr>
          <w:rStyle w:val="FootnoteReference"/>
          <w:rFonts w:cs="Arial"/>
          <w:sz w:val="16"/>
          <w:szCs w:val="16"/>
        </w:rPr>
        <w:footnoteRef/>
      </w:r>
      <w:r w:rsidRPr="00532EC4">
        <w:rPr>
          <w:rFonts w:cs="Arial"/>
          <w:sz w:val="16"/>
          <w:szCs w:val="16"/>
        </w:rPr>
        <w:t xml:space="preserve"> Institute of Physics and Engineering in Medicine. (2023). Official IPEM statement: UK Medical Physics and Clinical Engineering </w:t>
      </w:r>
      <w:r w:rsidRPr="00AF0E56">
        <w:rPr>
          <w:rFonts w:cs="Arial"/>
          <w:sz w:val="16"/>
          <w:szCs w:val="16"/>
        </w:rPr>
        <w:t xml:space="preserve">workforce shortage requires urgent action. </w:t>
      </w:r>
      <w:hyperlink r:id="rId15" w:history="1">
        <w:r w:rsidRPr="002D4ABB">
          <w:rPr>
            <w:rStyle w:val="Hyperlink"/>
            <w:rFonts w:cs="Arial"/>
            <w:sz w:val="16"/>
            <w:szCs w:val="16"/>
          </w:rPr>
          <w:t>https://www.ipem.ac.uk/resources/other-resources/statements-and-notices/ipem-statement-on-the-medical-physics-and-clinical-engineering-workforce/</w:t>
        </w:r>
      </w:hyperlink>
    </w:p>
  </w:footnote>
  <w:footnote w:id="55">
    <w:p w14:paraId="629CA944" w14:textId="77777777" w:rsidR="002B41A1" w:rsidRPr="00095A0C" w:rsidRDefault="002B41A1" w:rsidP="002B41A1">
      <w:pPr>
        <w:pStyle w:val="FootnoteText"/>
        <w:rPr>
          <w:rFonts w:cs="Arial"/>
          <w:szCs w:val="16"/>
        </w:rPr>
      </w:pPr>
      <w:r w:rsidRPr="00AF0E56">
        <w:rPr>
          <w:rStyle w:val="FootnoteReference"/>
          <w:rFonts w:cs="Arial"/>
          <w:szCs w:val="16"/>
        </w:rPr>
        <w:footnoteRef/>
      </w:r>
      <w:r w:rsidRPr="00AF0E56">
        <w:rPr>
          <w:rFonts w:cs="Arial"/>
          <w:szCs w:val="16"/>
        </w:rPr>
        <w:t xml:space="preserve"> Harkness, B. A., &amp; Fahey, F. H. (2016). The current state of nuclear medicine physics training: findings of the AAPM/SNMMI Task Force. Journal of </w:t>
      </w:r>
      <w:r w:rsidRPr="00095A0C">
        <w:rPr>
          <w:rFonts w:cs="Arial"/>
          <w:szCs w:val="16"/>
        </w:rPr>
        <w:t>Nuclear Medicine, 57(7), 1146-1147.</w:t>
      </w:r>
    </w:p>
  </w:footnote>
  <w:footnote w:id="56">
    <w:p w14:paraId="2F167CCE" w14:textId="77777777" w:rsidR="002B41A1" w:rsidRPr="00095A0C" w:rsidRDefault="002B41A1" w:rsidP="002B41A1">
      <w:pPr>
        <w:pStyle w:val="FootnoteText"/>
        <w:rPr>
          <w:szCs w:val="16"/>
        </w:rPr>
      </w:pPr>
      <w:r w:rsidRPr="00095A0C">
        <w:rPr>
          <w:rStyle w:val="FootnoteReference"/>
          <w:szCs w:val="16"/>
        </w:rPr>
        <w:footnoteRef/>
      </w:r>
      <w:r w:rsidRPr="00095A0C">
        <w:rPr>
          <w:szCs w:val="16"/>
        </w:rPr>
        <w:t xml:space="preserve"> </w:t>
      </w:r>
      <w:proofErr w:type="spellStart"/>
      <w:r w:rsidRPr="00095A0C">
        <w:rPr>
          <w:rFonts w:cs="Arial"/>
          <w:color w:val="222222"/>
          <w:szCs w:val="16"/>
          <w:shd w:val="clear" w:color="auto" w:fill="FFFFFF"/>
        </w:rPr>
        <w:t>Chougule</w:t>
      </w:r>
      <w:proofErr w:type="spellEnd"/>
      <w:r w:rsidRPr="00095A0C">
        <w:rPr>
          <w:rFonts w:cs="Arial"/>
          <w:color w:val="222222"/>
          <w:szCs w:val="16"/>
          <w:shd w:val="clear" w:color="auto" w:fill="FFFFFF"/>
        </w:rPr>
        <w:t>, A. (2021). Status of medical physics education and training in AFOMP region. </w:t>
      </w:r>
      <w:r w:rsidRPr="00095A0C">
        <w:rPr>
          <w:rFonts w:cs="Arial"/>
          <w:i/>
          <w:iCs/>
          <w:color w:val="222222"/>
          <w:szCs w:val="16"/>
          <w:shd w:val="clear" w:color="auto" w:fill="FFFFFF"/>
        </w:rPr>
        <w:t>Physical and Engineering Sciences in Medicine</w:t>
      </w:r>
      <w:r w:rsidRPr="00095A0C">
        <w:rPr>
          <w:rFonts w:cs="Arial"/>
          <w:color w:val="222222"/>
          <w:szCs w:val="16"/>
          <w:shd w:val="clear" w:color="auto" w:fill="FFFFFF"/>
        </w:rPr>
        <w:t>, </w:t>
      </w:r>
      <w:r w:rsidRPr="00095A0C">
        <w:rPr>
          <w:rFonts w:cs="Arial"/>
          <w:i/>
          <w:iCs/>
          <w:color w:val="222222"/>
          <w:szCs w:val="16"/>
          <w:shd w:val="clear" w:color="auto" w:fill="FFFFFF"/>
        </w:rPr>
        <w:t>44</w:t>
      </w:r>
      <w:r w:rsidRPr="00095A0C">
        <w:rPr>
          <w:rFonts w:cs="Arial"/>
          <w:color w:val="222222"/>
          <w:szCs w:val="16"/>
          <w:shd w:val="clear" w:color="auto" w:fill="FFFFFF"/>
        </w:rPr>
        <w:t>, 357-364.</w:t>
      </w:r>
    </w:p>
  </w:footnote>
  <w:footnote w:id="57">
    <w:p w14:paraId="50BFB08F" w14:textId="23409A2F" w:rsidR="00F6782F" w:rsidRDefault="00F6782F">
      <w:pPr>
        <w:pStyle w:val="FootnoteText"/>
      </w:pPr>
      <w:r>
        <w:rPr>
          <w:rStyle w:val="FootnoteReference"/>
        </w:rPr>
        <w:footnoteRef/>
      </w:r>
      <w:r>
        <w:t xml:space="preserve"> </w:t>
      </w:r>
      <w:proofErr w:type="spellStart"/>
      <w:r w:rsidRPr="00213901">
        <w:rPr>
          <w:rFonts w:eastAsiaTheme="minorHAnsi" w:cs="Arial"/>
          <w:szCs w:val="16"/>
          <w:lang w:eastAsia="en-US"/>
        </w:rPr>
        <w:t>Chougule</w:t>
      </w:r>
      <w:proofErr w:type="spellEnd"/>
      <w:r w:rsidRPr="00213901">
        <w:rPr>
          <w:rFonts w:eastAsiaTheme="minorHAnsi" w:cs="Arial"/>
          <w:szCs w:val="16"/>
          <w:lang w:eastAsia="en-US"/>
        </w:rPr>
        <w:t xml:space="preserve">, A., &amp; Joan, M. (2024). </w:t>
      </w:r>
      <w:r w:rsidRPr="00213901">
        <w:rPr>
          <w:rFonts w:eastAsiaTheme="minorHAnsi" w:cs="Arial"/>
          <w:i/>
          <w:szCs w:val="16"/>
          <w:lang w:eastAsia="en-US"/>
        </w:rPr>
        <w:t>Article 3: Medical Physics Education – Time to transform to produce clinically competent medical physicists to take on the challenging profession</w:t>
      </w:r>
      <w:r w:rsidRPr="00213901">
        <w:rPr>
          <w:rFonts w:eastAsiaTheme="minorHAnsi" w:cs="Arial"/>
          <w:szCs w:val="16"/>
          <w:lang w:eastAsia="en-US"/>
        </w:rPr>
        <w:t xml:space="preserve">. AFOMP. </w:t>
      </w:r>
      <w:hyperlink r:id="rId16" w:history="1">
        <w:r w:rsidRPr="00213901">
          <w:rPr>
            <w:rFonts w:eastAsiaTheme="minorHAnsi" w:cs="Arial"/>
            <w:color w:val="0000FF"/>
            <w:szCs w:val="16"/>
            <w:u w:val="single"/>
            <w:lang w:eastAsia="en-US"/>
          </w:rPr>
          <w:t>https://afomp.org/2024/02/25/medical-physics-education-time-to-transform-to-produce-clinically-competent-medical-physicists-to-take-on-the-challenging-profession/</w:t>
        </w:r>
      </w:hyperlink>
    </w:p>
  </w:footnote>
  <w:footnote w:id="58">
    <w:p w14:paraId="72CF08C0" w14:textId="35331FE9" w:rsidR="00DA51B6" w:rsidRDefault="00DA51B6">
      <w:pPr>
        <w:pStyle w:val="FootnoteText"/>
      </w:pPr>
      <w:r>
        <w:rPr>
          <w:rStyle w:val="FootnoteReference"/>
        </w:rPr>
        <w:footnoteRef/>
      </w:r>
      <w:r>
        <w:t xml:space="preserve"> </w:t>
      </w:r>
      <w:r w:rsidRPr="009B583B">
        <w:rPr>
          <w:rFonts w:cs="Arial"/>
          <w:szCs w:val="16"/>
        </w:rPr>
        <w:t xml:space="preserve">Prisciandaro, J. I., Willis, C. E., Burmeister, J. W., Clarke, G. D., Das, R. K., </w:t>
      </w:r>
      <w:proofErr w:type="spellStart"/>
      <w:r w:rsidRPr="009B583B">
        <w:rPr>
          <w:rFonts w:cs="Arial"/>
          <w:szCs w:val="16"/>
        </w:rPr>
        <w:t>Esthappan</w:t>
      </w:r>
      <w:proofErr w:type="spellEnd"/>
      <w:r w:rsidRPr="009B583B">
        <w:rPr>
          <w:rFonts w:cs="Arial"/>
          <w:szCs w:val="16"/>
        </w:rPr>
        <w:t xml:space="preserve">, J., </w:t>
      </w:r>
      <w:r w:rsidR="00994246">
        <w:rPr>
          <w:rFonts w:cs="Arial"/>
          <w:szCs w:val="16"/>
        </w:rPr>
        <w:t>et al</w:t>
      </w:r>
      <w:r w:rsidRPr="009B583B">
        <w:rPr>
          <w:rFonts w:cs="Arial"/>
          <w:szCs w:val="16"/>
        </w:rPr>
        <w:t>. (2014). Essentials and guidelines for clinical medical physics residency training programs: executive summary of AAPM Report Number 249. Journal of applied clinical medical physics, 15(3), 4-13.</w:t>
      </w:r>
    </w:p>
  </w:footnote>
  <w:footnote w:id="59">
    <w:p w14:paraId="798A0076" w14:textId="25D7D686" w:rsidR="00B444A1" w:rsidRPr="00516DD3" w:rsidRDefault="00B444A1" w:rsidP="00B444A1">
      <w:pPr>
        <w:pStyle w:val="FootnoteText"/>
        <w:rPr>
          <w:rFonts w:cs="Arial"/>
          <w:szCs w:val="16"/>
        </w:rPr>
      </w:pPr>
      <w:r>
        <w:rPr>
          <w:rStyle w:val="FootnoteReference"/>
        </w:rPr>
        <w:footnoteRef/>
      </w:r>
      <w:r>
        <w:t xml:space="preserve"> </w:t>
      </w:r>
      <w:r w:rsidRPr="00516DD3">
        <w:rPr>
          <w:rFonts w:cs="Arial"/>
          <w:szCs w:val="16"/>
        </w:rPr>
        <w:t xml:space="preserve">McLean, I. D., Healy, B. J., Adhikari, K., Jamal, N., Kakakhel, M. B., </w:t>
      </w:r>
      <w:proofErr w:type="spellStart"/>
      <w:r w:rsidRPr="00516DD3">
        <w:rPr>
          <w:rFonts w:cs="Arial"/>
          <w:szCs w:val="16"/>
        </w:rPr>
        <w:t>Krisanachinda</w:t>
      </w:r>
      <w:proofErr w:type="spellEnd"/>
      <w:r w:rsidRPr="00516DD3">
        <w:rPr>
          <w:rFonts w:cs="Arial"/>
          <w:szCs w:val="16"/>
        </w:rPr>
        <w:t xml:space="preserve">, A., </w:t>
      </w:r>
      <w:r w:rsidR="006D5B42">
        <w:rPr>
          <w:rFonts w:cs="Arial"/>
          <w:szCs w:val="16"/>
        </w:rPr>
        <w:t>et al</w:t>
      </w:r>
      <w:r w:rsidRPr="00516DD3">
        <w:rPr>
          <w:rFonts w:cs="Arial"/>
          <w:szCs w:val="16"/>
        </w:rPr>
        <w:t xml:space="preserve">. (2019). Recommendations for accreditation and certification in medical physics education and clinical training programmes for the </w:t>
      </w:r>
      <w:proofErr w:type="spellStart"/>
      <w:r w:rsidRPr="00516DD3">
        <w:rPr>
          <w:rFonts w:cs="Arial"/>
          <w:szCs w:val="16"/>
        </w:rPr>
        <w:t>rca</w:t>
      </w:r>
      <w:proofErr w:type="spellEnd"/>
      <w:r w:rsidRPr="00516DD3">
        <w:rPr>
          <w:rFonts w:cs="Arial"/>
          <w:szCs w:val="16"/>
        </w:rPr>
        <w:t xml:space="preserve"> region. </w:t>
      </w:r>
      <w:r w:rsidRPr="00516DD3">
        <w:rPr>
          <w:rFonts w:cs="Arial"/>
          <w:i/>
          <w:szCs w:val="16"/>
        </w:rPr>
        <w:t>Medical Physics International Journal, 7</w:t>
      </w:r>
      <w:r w:rsidRPr="00516DD3">
        <w:rPr>
          <w:rFonts w:cs="Arial"/>
          <w:szCs w:val="16"/>
        </w:rPr>
        <w:t>(3).</w:t>
      </w:r>
    </w:p>
  </w:footnote>
  <w:footnote w:id="60">
    <w:p w14:paraId="1DFF6A56" w14:textId="77777777" w:rsidR="00CD5A64" w:rsidRPr="00476F8C" w:rsidRDefault="00CD5A64" w:rsidP="00CD5A64">
      <w:pPr>
        <w:pStyle w:val="FootnoteText"/>
        <w:rPr>
          <w:rFonts w:cs="Arial"/>
          <w:szCs w:val="16"/>
        </w:rPr>
      </w:pPr>
      <w:r w:rsidRPr="00476F8C">
        <w:rPr>
          <w:rStyle w:val="FootnoteReference"/>
          <w:rFonts w:cs="Arial"/>
          <w:szCs w:val="16"/>
        </w:rPr>
        <w:footnoteRef/>
      </w:r>
      <w:r w:rsidRPr="00476F8C">
        <w:rPr>
          <w:rFonts w:cs="Arial"/>
          <w:szCs w:val="16"/>
        </w:rPr>
        <w:t xml:space="preserve"> </w:t>
      </w:r>
      <w:r w:rsidRPr="00476F8C">
        <w:rPr>
          <w:rFonts w:eastAsiaTheme="minorHAnsi" w:cs="Arial"/>
          <w:szCs w:val="16"/>
          <w:lang w:eastAsia="en-US"/>
        </w:rPr>
        <w:t xml:space="preserve">International Atomic Energy Agency. (2011). </w:t>
      </w:r>
      <w:r w:rsidRPr="00476F8C">
        <w:rPr>
          <w:rFonts w:eastAsiaTheme="minorHAnsi" w:cs="Arial"/>
          <w:i/>
          <w:iCs/>
          <w:szCs w:val="16"/>
          <w:lang w:eastAsia="en-US"/>
        </w:rPr>
        <w:t>Clinical Training of Medical Physicists Specializing in Nuclear Medicine</w:t>
      </w:r>
      <w:r w:rsidRPr="00476F8C">
        <w:rPr>
          <w:rFonts w:eastAsiaTheme="minorHAnsi" w:cs="Arial"/>
          <w:szCs w:val="16"/>
          <w:lang w:eastAsia="en-US"/>
        </w:rPr>
        <w:t xml:space="preserve">. </w:t>
      </w:r>
      <w:hyperlink r:id="rId17" w:history="1">
        <w:r w:rsidRPr="00476F8C">
          <w:rPr>
            <w:rFonts w:eastAsiaTheme="minorHAnsi" w:cs="Arial"/>
            <w:color w:val="0000FF"/>
            <w:szCs w:val="16"/>
            <w:u w:val="single"/>
            <w:lang w:eastAsia="en-US"/>
          </w:rPr>
          <w:t>https://www-pub.iaea.org/mtcd/publications/pdf/tcs-50_web.pdf</w:t>
        </w:r>
      </w:hyperlink>
    </w:p>
  </w:footnote>
  <w:footnote w:id="61">
    <w:p w14:paraId="1AB7CE05" w14:textId="4CD51AE7" w:rsidR="0065495B" w:rsidRDefault="0065495B">
      <w:pPr>
        <w:pStyle w:val="FootnoteText"/>
      </w:pPr>
      <w:r>
        <w:rPr>
          <w:rStyle w:val="FootnoteReference"/>
        </w:rPr>
        <w:footnoteRef/>
      </w:r>
      <w:r>
        <w:t xml:space="preserve"> </w:t>
      </w:r>
      <w:proofErr w:type="spellStart"/>
      <w:r w:rsidRPr="00213901">
        <w:rPr>
          <w:rFonts w:eastAsiaTheme="minorHAnsi" w:cs="Arial"/>
          <w:szCs w:val="16"/>
          <w:lang w:eastAsia="en-US"/>
        </w:rPr>
        <w:t>Chougule</w:t>
      </w:r>
      <w:proofErr w:type="spellEnd"/>
      <w:r w:rsidRPr="00213901">
        <w:rPr>
          <w:rFonts w:eastAsiaTheme="minorHAnsi" w:cs="Arial"/>
          <w:szCs w:val="16"/>
          <w:lang w:eastAsia="en-US"/>
        </w:rPr>
        <w:t xml:space="preserve">, A., &amp; Joan, M. (2024). </w:t>
      </w:r>
      <w:r w:rsidRPr="00213901">
        <w:rPr>
          <w:rFonts w:eastAsiaTheme="minorHAnsi" w:cs="Arial"/>
          <w:i/>
          <w:szCs w:val="16"/>
          <w:lang w:eastAsia="en-US"/>
        </w:rPr>
        <w:t>Article 3: Medical Physics Education – Time to transform to produce clinically competent medical physicists to take on the challenging profession</w:t>
      </w:r>
      <w:r w:rsidRPr="00213901">
        <w:rPr>
          <w:rFonts w:eastAsiaTheme="minorHAnsi" w:cs="Arial"/>
          <w:szCs w:val="16"/>
          <w:lang w:eastAsia="en-US"/>
        </w:rPr>
        <w:t xml:space="preserve">. AFOMP. </w:t>
      </w:r>
      <w:hyperlink r:id="rId18" w:history="1">
        <w:r w:rsidRPr="00213901">
          <w:rPr>
            <w:rFonts w:eastAsiaTheme="minorHAnsi" w:cs="Arial"/>
            <w:color w:val="0000FF"/>
            <w:szCs w:val="16"/>
            <w:u w:val="single"/>
            <w:lang w:eastAsia="en-US"/>
          </w:rPr>
          <w:t>https://afomp.org/2024/02/25/medical-physics-education-time-to-transform-to-produce-clinically-competent-medical-physicists-to-take-on-the-challenging-profession/</w:t>
        </w:r>
      </w:hyperlink>
    </w:p>
  </w:footnote>
  <w:footnote w:id="62">
    <w:p w14:paraId="0012CB5B" w14:textId="49902FBE" w:rsidR="00DA1BE6" w:rsidRDefault="00DA1BE6">
      <w:pPr>
        <w:pStyle w:val="FootnoteText"/>
      </w:pPr>
      <w:r>
        <w:rPr>
          <w:rStyle w:val="FootnoteReference"/>
        </w:rPr>
        <w:footnoteRef/>
      </w:r>
      <w:r>
        <w:t xml:space="preserve"> </w:t>
      </w:r>
      <w:r w:rsidR="00B16041" w:rsidRPr="00421288">
        <w:rPr>
          <w:rFonts w:cs="Arial"/>
          <w:szCs w:val="16"/>
        </w:rPr>
        <w:t xml:space="preserve">Bezak, E., </w:t>
      </w:r>
      <w:proofErr w:type="spellStart"/>
      <w:r w:rsidR="00B16041" w:rsidRPr="00421288">
        <w:rPr>
          <w:rFonts w:cs="Arial"/>
          <w:szCs w:val="16"/>
        </w:rPr>
        <w:t>Damilakis</w:t>
      </w:r>
      <w:proofErr w:type="spellEnd"/>
      <w:r w:rsidR="00B16041" w:rsidRPr="00421288">
        <w:rPr>
          <w:rFonts w:cs="Arial"/>
          <w:szCs w:val="16"/>
        </w:rPr>
        <w:t>, J., &amp; Rehani, M. M. (2023). Global status of medical physics human resource–The IOMP survey report. Physica Medica, 113, 102670.</w:t>
      </w:r>
    </w:p>
  </w:footnote>
  <w:footnote w:id="63">
    <w:p w14:paraId="43AD4F03" w14:textId="77777777" w:rsidR="006F4023" w:rsidRPr="00994863" w:rsidRDefault="006F4023" w:rsidP="006F4023">
      <w:pPr>
        <w:pStyle w:val="FootnoteText"/>
        <w:rPr>
          <w:rFonts w:cs="Arial"/>
          <w:szCs w:val="16"/>
        </w:rPr>
      </w:pPr>
      <w:r w:rsidRPr="00994863">
        <w:rPr>
          <w:rStyle w:val="FootnoteReference"/>
          <w:rFonts w:cs="Arial"/>
          <w:szCs w:val="16"/>
        </w:rPr>
        <w:footnoteRef/>
      </w:r>
      <w:r w:rsidRPr="00994863">
        <w:rPr>
          <w:rFonts w:cs="Arial"/>
          <w:szCs w:val="16"/>
        </w:rPr>
        <w:t xml:space="preserve"> </w:t>
      </w:r>
      <w:r w:rsidRPr="00994863">
        <w:rPr>
          <w:rFonts w:eastAsiaTheme="minorHAnsi" w:cs="Arial"/>
          <w:szCs w:val="16"/>
          <w:lang w:eastAsia="en-US"/>
        </w:rPr>
        <w:t xml:space="preserve">IOMP. (2010). </w:t>
      </w:r>
      <w:r w:rsidRPr="00994863">
        <w:rPr>
          <w:rFonts w:eastAsiaTheme="minorHAnsi" w:cs="Arial"/>
          <w:i/>
          <w:iCs/>
          <w:szCs w:val="16"/>
          <w:lang w:eastAsia="en-US"/>
        </w:rPr>
        <w:t>IOMP Policy Statement No. 1. The Medical Physicist: Role and Responsibilities</w:t>
      </w:r>
      <w:r w:rsidRPr="00994863">
        <w:rPr>
          <w:rFonts w:eastAsiaTheme="minorHAnsi" w:cs="Arial"/>
          <w:szCs w:val="16"/>
          <w:lang w:eastAsia="en-US"/>
        </w:rPr>
        <w:t xml:space="preserve">. </w:t>
      </w:r>
      <w:hyperlink r:id="rId19" w:history="1">
        <w:r w:rsidRPr="00994863">
          <w:rPr>
            <w:rFonts w:eastAsiaTheme="minorHAnsi" w:cs="Arial"/>
            <w:color w:val="0000FF"/>
            <w:szCs w:val="16"/>
            <w:u w:val="single"/>
            <w:lang w:eastAsia="en-US"/>
          </w:rPr>
          <w:t>https://www.iomp.org/wp-content/uploads/2019/02/iomp_policy_statement_no_1.pdf</w:t>
        </w:r>
      </w:hyperlink>
    </w:p>
  </w:footnote>
  <w:footnote w:id="64">
    <w:p w14:paraId="3A9A03F3" w14:textId="0D2187EE" w:rsidR="006C1051" w:rsidRDefault="006C1051">
      <w:pPr>
        <w:pStyle w:val="FootnoteText"/>
      </w:pPr>
      <w:r>
        <w:rPr>
          <w:rStyle w:val="FootnoteReference"/>
        </w:rPr>
        <w:footnoteRef/>
      </w:r>
      <w:r>
        <w:t xml:space="preserve"> </w:t>
      </w:r>
      <w:r w:rsidRPr="00476F8C">
        <w:rPr>
          <w:rFonts w:eastAsiaTheme="minorHAnsi" w:cs="Arial"/>
          <w:szCs w:val="16"/>
          <w:lang w:eastAsia="en-US"/>
        </w:rPr>
        <w:t xml:space="preserve">International Atomic Energy Agency. (2011). </w:t>
      </w:r>
      <w:r w:rsidRPr="00476F8C">
        <w:rPr>
          <w:rFonts w:eastAsiaTheme="minorHAnsi" w:cs="Arial"/>
          <w:i/>
          <w:iCs/>
          <w:szCs w:val="16"/>
          <w:lang w:eastAsia="en-US"/>
        </w:rPr>
        <w:t>Clinical Training of Medical Physicists Specializing in Nuclear Medicine</w:t>
      </w:r>
      <w:r w:rsidRPr="00476F8C">
        <w:rPr>
          <w:rFonts w:eastAsiaTheme="minorHAnsi" w:cs="Arial"/>
          <w:szCs w:val="16"/>
          <w:lang w:eastAsia="en-US"/>
        </w:rPr>
        <w:t xml:space="preserve">. </w:t>
      </w:r>
      <w:hyperlink r:id="rId20" w:history="1">
        <w:r w:rsidRPr="00476F8C">
          <w:rPr>
            <w:rFonts w:eastAsiaTheme="minorHAnsi" w:cs="Arial"/>
            <w:color w:val="0000FF"/>
            <w:szCs w:val="16"/>
            <w:u w:val="single"/>
            <w:lang w:eastAsia="en-US"/>
          </w:rPr>
          <w:t>https://www-pub.iaea.org/mtcd/publications/pdf/tcs-50_web.pdf</w:t>
        </w:r>
      </w:hyperlink>
    </w:p>
  </w:footnote>
  <w:footnote w:id="65">
    <w:p w14:paraId="515014EB" w14:textId="5F89B715" w:rsidR="006815A4" w:rsidRDefault="006815A4">
      <w:pPr>
        <w:pStyle w:val="FootnoteText"/>
      </w:pPr>
      <w:r>
        <w:rPr>
          <w:rStyle w:val="FootnoteReference"/>
        </w:rPr>
        <w:footnoteRef/>
      </w:r>
      <w:r>
        <w:t xml:space="preserve"> </w:t>
      </w:r>
      <w:r w:rsidRPr="00DA7068">
        <w:rPr>
          <w:rFonts w:cs="Arial"/>
          <w:szCs w:val="16"/>
        </w:rPr>
        <w:t xml:space="preserve">Casar, B., do Carmo Lopes, M., Drljević, A., </w:t>
      </w:r>
      <w:proofErr w:type="spellStart"/>
      <w:r w:rsidRPr="00DA7068">
        <w:rPr>
          <w:rFonts w:cs="Arial"/>
          <w:szCs w:val="16"/>
        </w:rPr>
        <w:t>Gershkevitsh</w:t>
      </w:r>
      <w:proofErr w:type="spellEnd"/>
      <w:r w:rsidRPr="00DA7068">
        <w:rPr>
          <w:rFonts w:cs="Arial"/>
          <w:szCs w:val="16"/>
        </w:rPr>
        <w:t xml:space="preserve">, E., &amp; </w:t>
      </w:r>
      <w:proofErr w:type="spellStart"/>
      <w:r w:rsidRPr="00DA7068">
        <w:rPr>
          <w:rFonts w:cs="Arial"/>
          <w:szCs w:val="16"/>
        </w:rPr>
        <w:t>Pesznyak</w:t>
      </w:r>
      <w:proofErr w:type="spellEnd"/>
      <w:r w:rsidRPr="00DA7068">
        <w:rPr>
          <w:rFonts w:cs="Arial"/>
          <w:szCs w:val="16"/>
        </w:rPr>
        <w:t>, C. (2016). Medical physics in Europe following recommendations of the International Atomic Energy Agency. Radiology and oncology, 50(1), 64-72.</w:t>
      </w:r>
    </w:p>
  </w:footnote>
  <w:footnote w:id="66">
    <w:p w14:paraId="56E7A5D8" w14:textId="77777777" w:rsidR="00B52CCB" w:rsidRPr="00B749E4" w:rsidRDefault="00B52CCB">
      <w:pPr>
        <w:pStyle w:val="FootnoteText"/>
      </w:pPr>
      <w:r>
        <w:rPr>
          <w:rStyle w:val="FootnoteReference"/>
        </w:rPr>
        <w:footnoteRef/>
      </w:r>
      <w:r w:rsidR="00B749E4">
        <w:t xml:space="preserve"> Department of Health and Aged Care. (2022). </w:t>
      </w:r>
      <w:r w:rsidR="00B749E4">
        <w:rPr>
          <w:i/>
          <w:iCs/>
        </w:rPr>
        <w:t xml:space="preserve">National Medical Workforce Strategy 2021 – 2031. </w:t>
      </w:r>
      <w:r w:rsidR="00B749E4">
        <w:t xml:space="preserve">Australian Government. </w:t>
      </w:r>
      <w:hyperlink r:id="rId21" w:history="1">
        <w:r w:rsidR="00B749E4" w:rsidRPr="00E00A57">
          <w:rPr>
            <w:rStyle w:val="Hyperlink"/>
          </w:rPr>
          <w:t>https://www.health.gov.au/resources/publications/national-medical-workforce-strategy-2021-2031</w:t>
        </w:r>
      </w:hyperlink>
      <w:r w:rsidR="00B749E4">
        <w:t xml:space="preserve"> </w:t>
      </w:r>
    </w:p>
  </w:footnote>
  <w:footnote w:id="67">
    <w:p w14:paraId="1DAB8614" w14:textId="4678CAE1" w:rsidR="008A0B3D" w:rsidRDefault="008A0B3D">
      <w:pPr>
        <w:pStyle w:val="FootnoteText"/>
      </w:pPr>
      <w:r>
        <w:rPr>
          <w:rStyle w:val="FootnoteReference"/>
        </w:rPr>
        <w:footnoteRef/>
      </w:r>
      <w:r>
        <w:t xml:space="preserve"> SA Health. (</w:t>
      </w:r>
      <w:r w:rsidR="0031584A">
        <w:t xml:space="preserve">2021). </w:t>
      </w:r>
      <w:r w:rsidR="0031584A">
        <w:rPr>
          <w:i/>
          <w:iCs/>
        </w:rPr>
        <w:t xml:space="preserve">SA Rural Allied and Scientific Health Workforce Plan 2021 – 26. </w:t>
      </w:r>
      <w:r w:rsidR="0031584A">
        <w:t xml:space="preserve">Government of South Australia. </w:t>
      </w:r>
      <w:hyperlink r:id="rId22" w:anchor=":~:text=The%20SA%20Rural%20Allied%20and,years%2C%20from%202021%E2%80%932026" w:history="1">
        <w:r w:rsidR="0031584A" w:rsidRPr="00E00A57">
          <w:rPr>
            <w:rStyle w:val="Hyperlink"/>
          </w:rPr>
          <w:t>https://www.sahealth.sa.gov.au/wps/wcm/connect/public+content/sa+health+internet/about+us/our+local+health+networks/regional+health+services/rural+health+workforce/rural+allied+and+scientific+health+workforce+plan#:~:text=The%20SA%20Rural%20Allied%20and,years%2C%20from%202021%E2%80%932026</w:t>
        </w:r>
      </w:hyperlink>
      <w:r w:rsidR="0031584A" w:rsidRPr="0031584A">
        <w:t>.</w:t>
      </w:r>
      <w:r w:rsidR="0031584A">
        <w:t xml:space="preserve"> </w:t>
      </w:r>
    </w:p>
  </w:footnote>
  <w:footnote w:id="68">
    <w:p w14:paraId="4F67E9F4" w14:textId="224019D1" w:rsidR="00EF7F93" w:rsidRDefault="00EF7F93">
      <w:pPr>
        <w:pStyle w:val="FootnoteText"/>
      </w:pPr>
      <w:r>
        <w:rPr>
          <w:rStyle w:val="FootnoteReference"/>
        </w:rPr>
        <w:footnoteRef/>
      </w:r>
      <w:r>
        <w:t xml:space="preserve"> </w:t>
      </w:r>
      <w:r w:rsidR="002C3996">
        <w:t xml:space="preserve">Victoria Department of Health. (2024). </w:t>
      </w:r>
      <w:r w:rsidR="002C3996">
        <w:rPr>
          <w:i/>
          <w:iCs/>
        </w:rPr>
        <w:t>Victorian health workforce strategy</w:t>
      </w:r>
      <w:r w:rsidR="002C3996">
        <w:t xml:space="preserve">. </w:t>
      </w:r>
      <w:hyperlink r:id="rId23" w:history="1">
        <w:r w:rsidR="00765DC9" w:rsidRPr="00E00A57">
          <w:rPr>
            <w:rStyle w:val="Hyperlink"/>
          </w:rPr>
          <w:t>https://content.health.vic.gov.au/sites/default/files/2024-02/victorian-health-workforce-strategy.pdf</w:t>
        </w:r>
      </w:hyperlink>
      <w:r w:rsidR="00765DC9">
        <w:t xml:space="preserve"> </w:t>
      </w:r>
    </w:p>
  </w:footnote>
  <w:footnote w:id="69">
    <w:p w14:paraId="0334D99A" w14:textId="36D980D9" w:rsidR="00570E55" w:rsidRDefault="00570E55" w:rsidP="00E51377">
      <w:pPr>
        <w:pStyle w:val="FootnoteText"/>
      </w:pPr>
      <w:r>
        <w:rPr>
          <w:rStyle w:val="FootnoteReference"/>
        </w:rPr>
        <w:footnoteRef/>
      </w:r>
      <w:r>
        <w:t xml:space="preserve"> </w:t>
      </w:r>
      <w:r w:rsidR="000C2A23">
        <w:rPr>
          <w:rFonts w:cs="Arial"/>
          <w:szCs w:val="16"/>
        </w:rPr>
        <w:t>Lee. J</w:t>
      </w:r>
      <w:r w:rsidR="000C2A23" w:rsidRPr="00FA7FC0">
        <w:rPr>
          <w:rFonts w:cs="Arial"/>
          <w:szCs w:val="16"/>
        </w:rPr>
        <w:t>.</w:t>
      </w:r>
      <w:r w:rsidR="003464A4">
        <w:rPr>
          <w:rFonts w:cs="Arial"/>
          <w:szCs w:val="16"/>
        </w:rPr>
        <w:t xml:space="preserve"> T.</w:t>
      </w:r>
      <w:r w:rsidR="000C2A23" w:rsidRPr="00FA7FC0">
        <w:rPr>
          <w:rFonts w:cs="Arial"/>
          <w:szCs w:val="16"/>
        </w:rPr>
        <w:t xml:space="preserve">, </w:t>
      </w:r>
      <w:proofErr w:type="spellStart"/>
      <w:r w:rsidR="000C2A23">
        <w:rPr>
          <w:rFonts w:cs="Arial"/>
          <w:szCs w:val="16"/>
        </w:rPr>
        <w:t>Crettenden</w:t>
      </w:r>
      <w:proofErr w:type="spellEnd"/>
      <w:r w:rsidR="000C2A23" w:rsidRPr="00FA7FC0">
        <w:rPr>
          <w:rFonts w:cs="Arial"/>
          <w:szCs w:val="16"/>
        </w:rPr>
        <w:t xml:space="preserve">, </w:t>
      </w:r>
      <w:r w:rsidR="000C2A23">
        <w:rPr>
          <w:rFonts w:cs="Arial"/>
          <w:szCs w:val="16"/>
        </w:rPr>
        <w:t>I</w:t>
      </w:r>
      <w:r w:rsidR="000C2A23" w:rsidRPr="00FA7FC0">
        <w:rPr>
          <w:rFonts w:cs="Arial"/>
          <w:szCs w:val="16"/>
        </w:rPr>
        <w:t xml:space="preserve">., </w:t>
      </w:r>
      <w:r w:rsidR="003464A4">
        <w:rPr>
          <w:rFonts w:cs="Arial"/>
          <w:szCs w:val="16"/>
        </w:rPr>
        <w:t>Tran</w:t>
      </w:r>
      <w:r w:rsidR="000C2A23" w:rsidRPr="00FA7FC0">
        <w:rPr>
          <w:rFonts w:cs="Arial"/>
          <w:szCs w:val="16"/>
        </w:rPr>
        <w:t xml:space="preserve">, M., </w:t>
      </w:r>
      <w:r w:rsidR="003464A4">
        <w:rPr>
          <w:rFonts w:cs="Arial"/>
          <w:szCs w:val="16"/>
        </w:rPr>
        <w:t>Miller</w:t>
      </w:r>
      <w:r w:rsidR="000C2A23" w:rsidRPr="00FA7FC0">
        <w:rPr>
          <w:rFonts w:cs="Arial"/>
          <w:szCs w:val="16"/>
        </w:rPr>
        <w:t xml:space="preserve">, D., </w:t>
      </w:r>
      <w:r w:rsidR="003464A4">
        <w:rPr>
          <w:rFonts w:cs="Arial"/>
          <w:szCs w:val="16"/>
        </w:rPr>
        <w:t>Cormack</w:t>
      </w:r>
      <w:r w:rsidR="000C2A23" w:rsidRPr="00FA7FC0">
        <w:rPr>
          <w:rFonts w:cs="Arial"/>
          <w:szCs w:val="16"/>
        </w:rPr>
        <w:t xml:space="preserve">, </w:t>
      </w:r>
      <w:r w:rsidR="00556DF4">
        <w:rPr>
          <w:rFonts w:cs="Arial"/>
          <w:szCs w:val="16"/>
        </w:rPr>
        <w:t>M</w:t>
      </w:r>
      <w:r w:rsidR="000C2A23" w:rsidRPr="00FA7FC0">
        <w:rPr>
          <w:rFonts w:cs="Arial"/>
          <w:szCs w:val="16"/>
        </w:rPr>
        <w:t xml:space="preserve">., </w:t>
      </w:r>
      <w:r w:rsidR="00556DF4">
        <w:rPr>
          <w:rFonts w:cs="Arial"/>
          <w:szCs w:val="16"/>
        </w:rPr>
        <w:t>Cahil</w:t>
      </w:r>
      <w:r w:rsidR="000C2A23" w:rsidRPr="00FA7FC0">
        <w:rPr>
          <w:rFonts w:cs="Arial"/>
          <w:szCs w:val="16"/>
        </w:rPr>
        <w:t xml:space="preserve">, M., </w:t>
      </w:r>
      <w:r w:rsidR="006E49CD">
        <w:rPr>
          <w:rFonts w:cs="Arial"/>
          <w:szCs w:val="16"/>
        </w:rPr>
        <w:t>Li, J., Sug</w:t>
      </w:r>
      <w:r w:rsidR="00566A2F">
        <w:rPr>
          <w:rFonts w:cs="Arial"/>
          <w:szCs w:val="16"/>
        </w:rPr>
        <w:t>iura, T.,</w:t>
      </w:r>
      <w:r w:rsidR="005378EA">
        <w:rPr>
          <w:rFonts w:cs="Arial"/>
          <w:szCs w:val="16"/>
        </w:rPr>
        <w:t xml:space="preserve"> </w:t>
      </w:r>
      <w:r w:rsidR="000C2A23" w:rsidRPr="00FA7FC0">
        <w:rPr>
          <w:rFonts w:cs="Arial"/>
          <w:szCs w:val="16"/>
        </w:rPr>
        <w:t xml:space="preserve">&amp; </w:t>
      </w:r>
      <w:r w:rsidR="005378EA">
        <w:rPr>
          <w:rFonts w:cs="Arial"/>
          <w:szCs w:val="16"/>
        </w:rPr>
        <w:t>Xiang</w:t>
      </w:r>
      <w:r w:rsidR="000C2A23" w:rsidRPr="00FA7FC0">
        <w:rPr>
          <w:rFonts w:cs="Arial"/>
          <w:szCs w:val="16"/>
        </w:rPr>
        <w:t xml:space="preserve">, </w:t>
      </w:r>
      <w:r w:rsidR="00A96C0F">
        <w:rPr>
          <w:rFonts w:cs="Arial"/>
          <w:szCs w:val="16"/>
        </w:rPr>
        <w:t>F</w:t>
      </w:r>
      <w:r w:rsidR="000C2A23" w:rsidRPr="00FA7FC0">
        <w:rPr>
          <w:rFonts w:cs="Arial"/>
          <w:szCs w:val="16"/>
        </w:rPr>
        <w:t>. (202</w:t>
      </w:r>
      <w:r w:rsidR="00A96C0F">
        <w:rPr>
          <w:rFonts w:cs="Arial"/>
          <w:szCs w:val="16"/>
        </w:rPr>
        <w:t>4</w:t>
      </w:r>
      <w:r w:rsidR="000C2A23" w:rsidRPr="00FA7FC0">
        <w:rPr>
          <w:rFonts w:cs="Arial"/>
          <w:szCs w:val="16"/>
        </w:rPr>
        <w:t xml:space="preserve">). </w:t>
      </w:r>
      <w:r w:rsidR="00E51377" w:rsidRPr="00E51377">
        <w:rPr>
          <w:rFonts w:cs="Arial"/>
          <w:szCs w:val="16"/>
        </w:rPr>
        <w:t>Methods for health workforce projection model: systematic review and recommended good practice reporting guideline</w:t>
      </w:r>
      <w:r w:rsidR="000C2A23" w:rsidRPr="00FA7FC0">
        <w:rPr>
          <w:rFonts w:cs="Arial"/>
          <w:szCs w:val="16"/>
        </w:rPr>
        <w:t>. </w:t>
      </w:r>
      <w:r w:rsidR="00E51377">
        <w:rPr>
          <w:rFonts w:cs="Arial"/>
          <w:szCs w:val="16"/>
        </w:rPr>
        <w:t>Human Resources for Health</w:t>
      </w:r>
      <w:r w:rsidR="000C2A23" w:rsidRPr="00FA7FC0">
        <w:rPr>
          <w:rFonts w:cs="Arial"/>
          <w:szCs w:val="16"/>
        </w:rPr>
        <w:t>.</w:t>
      </w:r>
    </w:p>
  </w:footnote>
  <w:footnote w:id="70">
    <w:p w14:paraId="190CCF4D" w14:textId="50520E0E" w:rsidR="00496A41" w:rsidRPr="00F156B0" w:rsidRDefault="00496A41">
      <w:pPr>
        <w:pStyle w:val="FootnoteText"/>
      </w:pPr>
      <w:r>
        <w:rPr>
          <w:rStyle w:val="FootnoteReference"/>
        </w:rPr>
        <w:footnoteRef/>
      </w:r>
      <w:r>
        <w:t xml:space="preserve"> Department of Health and Aged Care. (</w:t>
      </w:r>
      <w:r w:rsidR="00F156B0">
        <w:t xml:space="preserve">2024.) </w:t>
      </w:r>
      <w:r w:rsidR="00F156B0">
        <w:rPr>
          <w:i/>
          <w:iCs/>
        </w:rPr>
        <w:t>Data Tool</w:t>
      </w:r>
      <w:r w:rsidR="00F156B0">
        <w:t xml:space="preserve">. </w:t>
      </w:r>
      <w:r w:rsidR="00F156B0" w:rsidRPr="00F156B0">
        <w:t>https://hwd.health.gov.au/datatool/</w:t>
      </w:r>
      <w:r w:rsidR="00F156B0">
        <w:t xml:space="preserve"> </w:t>
      </w:r>
    </w:p>
  </w:footnote>
  <w:footnote w:id="71">
    <w:p w14:paraId="2D7859D0" w14:textId="2FC0769F" w:rsidR="00F156B0" w:rsidRPr="00FF4E30" w:rsidRDefault="00F156B0">
      <w:pPr>
        <w:pStyle w:val="FootnoteText"/>
      </w:pPr>
      <w:r>
        <w:rPr>
          <w:rStyle w:val="FootnoteReference"/>
        </w:rPr>
        <w:footnoteRef/>
      </w:r>
      <w:r>
        <w:t xml:space="preserve"> </w:t>
      </w:r>
      <w:r w:rsidR="00FF4E30">
        <w:t xml:space="preserve">Department of Health and Aged Care. (2022.) </w:t>
      </w:r>
      <w:r w:rsidR="00CA594E" w:rsidRPr="00CA594E">
        <w:rPr>
          <w:i/>
          <w:iCs/>
        </w:rPr>
        <w:t xml:space="preserve">National </w:t>
      </w:r>
      <w:r w:rsidR="00FF4E30">
        <w:rPr>
          <w:i/>
          <w:iCs/>
        </w:rPr>
        <w:t>Health Workforce Dataset</w:t>
      </w:r>
      <w:r w:rsidR="00FF4E30">
        <w:t xml:space="preserve">. </w:t>
      </w:r>
      <w:r w:rsidR="00FF4E30" w:rsidRPr="00FF4E30">
        <w:t>https://hwd.health.gov.au/resources/information/nhwds.html</w:t>
      </w:r>
      <w:r w:rsidR="00CA594E">
        <w:t xml:space="preserve"> </w:t>
      </w:r>
    </w:p>
  </w:footnote>
  <w:footnote w:id="72">
    <w:p w14:paraId="4A7327E8" w14:textId="77777777" w:rsidR="00B138C1" w:rsidRPr="00A40C2A" w:rsidRDefault="00B138C1" w:rsidP="00205DE6">
      <w:pPr>
        <w:pStyle w:val="FootnoteText"/>
      </w:pPr>
      <w:r>
        <w:rPr>
          <w:rStyle w:val="FootnoteReference"/>
        </w:rPr>
        <w:footnoteRef/>
      </w:r>
      <w:r>
        <w:t xml:space="preserve"> Australasian College of Physical Scientists and Engineering in Medicine. (2023.) </w:t>
      </w:r>
      <w:r>
        <w:rPr>
          <w:i/>
          <w:iCs/>
        </w:rPr>
        <w:t>Medical physicist scope of practice – Key Capabilities and Enabling components.</w:t>
      </w:r>
      <w:r>
        <w:t xml:space="preserve"> </w:t>
      </w:r>
      <w:r w:rsidRPr="00A40C2A">
        <w:t>https://www.acpsem.org.au/as_agentcs.p?cmd=Document_AnywhereDoc(C0000020,00030128,bbeb9fe406c9fe2848ecceef2cf938be21f0bc32)&amp;TenID=ACPSEM</w:t>
      </w:r>
    </w:p>
  </w:footnote>
  <w:footnote w:id="73">
    <w:p w14:paraId="6547272C" w14:textId="024EBC41" w:rsidR="003E0A3C" w:rsidRDefault="003E0A3C">
      <w:pPr>
        <w:pStyle w:val="FootnoteText"/>
      </w:pPr>
      <w:r>
        <w:rPr>
          <w:rStyle w:val="FootnoteReference"/>
        </w:rPr>
        <w:footnoteRef/>
      </w:r>
      <w:r>
        <w:t xml:space="preserve"> COAG Health Council</w:t>
      </w:r>
      <w:r w:rsidR="00792891">
        <w:t xml:space="preserve">. (2018). </w:t>
      </w:r>
      <w:r w:rsidR="00792891" w:rsidRPr="00556D0D">
        <w:rPr>
          <w:i/>
          <w:iCs/>
        </w:rPr>
        <w:t xml:space="preserve">AHMAC information on regulatory assessment criteria and process for adding new professions to the National </w:t>
      </w:r>
      <w:r w:rsidR="00F40646" w:rsidRPr="00556D0D">
        <w:rPr>
          <w:i/>
          <w:iCs/>
        </w:rPr>
        <w:t>Registration</w:t>
      </w:r>
      <w:r w:rsidR="00792891" w:rsidRPr="00556D0D">
        <w:rPr>
          <w:i/>
          <w:iCs/>
        </w:rPr>
        <w:t xml:space="preserve"> and </w:t>
      </w:r>
      <w:r w:rsidR="00F40646" w:rsidRPr="00556D0D">
        <w:rPr>
          <w:i/>
          <w:iCs/>
        </w:rPr>
        <w:t>Accreditation</w:t>
      </w:r>
      <w:r w:rsidR="00792891" w:rsidRPr="00556D0D">
        <w:rPr>
          <w:i/>
          <w:iCs/>
        </w:rPr>
        <w:t xml:space="preserve"> Scheme</w:t>
      </w:r>
      <w:r w:rsidR="00F40646" w:rsidRPr="00556D0D">
        <w:rPr>
          <w:i/>
          <w:iCs/>
        </w:rPr>
        <w:t xml:space="preserve"> for the health professions</w:t>
      </w:r>
      <w:r w:rsidR="00F40646">
        <w:t>.</w:t>
      </w:r>
    </w:p>
  </w:footnote>
  <w:footnote w:id="74">
    <w:p w14:paraId="711E2F35" w14:textId="377356C2" w:rsidR="002C24DF" w:rsidRPr="00182345" w:rsidRDefault="002C24DF">
      <w:pPr>
        <w:pStyle w:val="FootnoteText"/>
      </w:pPr>
      <w:r>
        <w:rPr>
          <w:rStyle w:val="FootnoteReference"/>
        </w:rPr>
        <w:footnoteRef/>
      </w:r>
      <w:r>
        <w:t xml:space="preserve"> Austra</w:t>
      </w:r>
      <w:r w:rsidR="009338CE">
        <w:t xml:space="preserve">lasian </w:t>
      </w:r>
      <w:r w:rsidR="00182345">
        <w:t xml:space="preserve">College of Physical Scientists and Engineers in Medicine. (2022.) </w:t>
      </w:r>
      <w:r w:rsidR="00182345">
        <w:rPr>
          <w:i/>
          <w:iCs/>
        </w:rPr>
        <w:t>The ACPSEM Register</w:t>
      </w:r>
      <w:r w:rsidR="00182345">
        <w:t xml:space="preserve">. </w:t>
      </w:r>
      <w:r w:rsidR="00182345" w:rsidRPr="00182345">
        <w:t>https://www.acpsem.org.au/ACPSEM-Register</w:t>
      </w:r>
    </w:p>
  </w:footnote>
  <w:footnote w:id="75">
    <w:p w14:paraId="4AB75DDC" w14:textId="77777777" w:rsidR="00520254" w:rsidRDefault="00520254" w:rsidP="00520254">
      <w:pPr>
        <w:pStyle w:val="FootnoteText"/>
      </w:pPr>
      <w:r>
        <w:rPr>
          <w:rStyle w:val="FootnoteReference"/>
          <w:rFonts w:eastAsiaTheme="majorEastAsia"/>
        </w:rPr>
        <w:footnoteRef/>
      </w:r>
      <w:r>
        <w:t xml:space="preserve"> Australasian College of Physical Scientists &amp; Engineering in Medicine. (2022.) </w:t>
      </w:r>
      <w:r>
        <w:rPr>
          <w:i/>
          <w:iCs/>
        </w:rPr>
        <w:t>ACPSEM Registration Procedure</w:t>
      </w:r>
      <w:r>
        <w:t xml:space="preserve">. https://www.acpsem.org.au/as_agentcs.p?cmd=Document_AnywhereDoc(C0000020,00018074,886ab6f0e25308e2e14411db0288979712ae1d67)&amp;TenID=ACPSEM </w:t>
      </w:r>
    </w:p>
  </w:footnote>
  <w:footnote w:id="76">
    <w:p w14:paraId="68DE8D69" w14:textId="54B9D378" w:rsidR="003125B4" w:rsidRPr="003125B4" w:rsidRDefault="003125B4">
      <w:pPr>
        <w:pStyle w:val="FootnoteText"/>
        <w:rPr>
          <w:rFonts w:cs="Arial"/>
          <w:b/>
          <w:bCs/>
          <w:szCs w:val="16"/>
        </w:rPr>
      </w:pPr>
      <w:r w:rsidRPr="003125B4">
        <w:rPr>
          <w:rStyle w:val="FootnoteReference"/>
          <w:rFonts w:cs="Arial"/>
          <w:b/>
          <w:bCs/>
          <w:szCs w:val="16"/>
        </w:rPr>
        <w:footnoteRef/>
      </w:r>
      <w:r w:rsidRPr="003125B4">
        <w:rPr>
          <w:rFonts w:cs="Arial"/>
          <w:b/>
          <w:bCs/>
          <w:szCs w:val="16"/>
        </w:rPr>
        <w:t xml:space="preserve"> </w:t>
      </w:r>
      <w:r w:rsidRPr="003125B4">
        <w:rPr>
          <w:rFonts w:cs="Arial"/>
          <w:szCs w:val="16"/>
        </w:rPr>
        <w:t>Newhauser, W. D. (2017). The medical physics workforce. Health Physics, 112(2), 139-148.</w:t>
      </w:r>
    </w:p>
  </w:footnote>
  <w:footnote w:id="77">
    <w:p w14:paraId="1D5CCD84" w14:textId="3C83C8E7" w:rsidR="000E38CB" w:rsidRPr="00FA7FC0" w:rsidRDefault="000E38CB">
      <w:pPr>
        <w:pStyle w:val="FootnoteText"/>
        <w:rPr>
          <w:rFonts w:cs="Arial"/>
          <w:b/>
          <w:szCs w:val="16"/>
        </w:rPr>
      </w:pPr>
      <w:r w:rsidRPr="00FA7FC0">
        <w:rPr>
          <w:rStyle w:val="FootnoteReference"/>
          <w:rFonts w:cs="Arial"/>
          <w:b/>
          <w:szCs w:val="16"/>
        </w:rPr>
        <w:footnoteRef/>
      </w:r>
      <w:r w:rsidRPr="00FA7FC0">
        <w:rPr>
          <w:rFonts w:cs="Arial"/>
          <w:b/>
          <w:bCs/>
          <w:szCs w:val="16"/>
        </w:rPr>
        <w:t xml:space="preserve"> </w:t>
      </w:r>
      <w:r w:rsidR="00FA7FC0" w:rsidRPr="00FA7FC0">
        <w:rPr>
          <w:rFonts w:cs="Arial"/>
          <w:szCs w:val="16"/>
        </w:rPr>
        <w:t xml:space="preserve">Newhauser, W. D., Gress, D. A., Mills, M. D., Jordan, D. W., </w:t>
      </w:r>
      <w:proofErr w:type="spellStart"/>
      <w:r w:rsidR="00FA7FC0" w:rsidRPr="00FA7FC0">
        <w:rPr>
          <w:rFonts w:cs="Arial"/>
          <w:szCs w:val="16"/>
        </w:rPr>
        <w:t>Sutlief</w:t>
      </w:r>
      <w:proofErr w:type="spellEnd"/>
      <w:r w:rsidR="00FA7FC0" w:rsidRPr="00FA7FC0">
        <w:rPr>
          <w:rFonts w:cs="Arial"/>
          <w:szCs w:val="16"/>
        </w:rPr>
        <w:t>, S. G., Martin, M. C., &amp; Jackson, E. (2022). Medical physics workforce in the United States. Journal of Applied Clinical Medical Physics, 23(Suppl 1).</w:t>
      </w:r>
    </w:p>
  </w:footnote>
  <w:footnote w:id="78">
    <w:p w14:paraId="557A8C5E" w14:textId="0CFC6CAF" w:rsidR="00DA7068" w:rsidRPr="00DA7068" w:rsidRDefault="00DA7068">
      <w:pPr>
        <w:pStyle w:val="FootnoteText"/>
        <w:rPr>
          <w:rFonts w:cs="Arial"/>
          <w:szCs w:val="16"/>
        </w:rPr>
      </w:pPr>
      <w:r w:rsidRPr="00DA7068">
        <w:rPr>
          <w:rStyle w:val="FootnoteReference"/>
          <w:rFonts w:cs="Arial"/>
          <w:szCs w:val="16"/>
        </w:rPr>
        <w:footnoteRef/>
      </w:r>
      <w:r w:rsidRPr="00DA7068">
        <w:rPr>
          <w:rFonts w:cs="Arial"/>
          <w:szCs w:val="16"/>
        </w:rPr>
        <w:t xml:space="preserve"> Casar, B., do Carmo Lopes, M., Drljević, A., </w:t>
      </w:r>
      <w:proofErr w:type="spellStart"/>
      <w:r w:rsidRPr="00DA7068">
        <w:rPr>
          <w:rFonts w:cs="Arial"/>
          <w:szCs w:val="16"/>
        </w:rPr>
        <w:t>Gershkevitsh</w:t>
      </w:r>
      <w:proofErr w:type="spellEnd"/>
      <w:r w:rsidRPr="00DA7068">
        <w:rPr>
          <w:rFonts w:cs="Arial"/>
          <w:szCs w:val="16"/>
        </w:rPr>
        <w:t xml:space="preserve">, E., &amp; </w:t>
      </w:r>
      <w:proofErr w:type="spellStart"/>
      <w:r w:rsidRPr="00DA7068">
        <w:rPr>
          <w:rFonts w:cs="Arial"/>
          <w:szCs w:val="16"/>
        </w:rPr>
        <w:t>Pesznyak</w:t>
      </w:r>
      <w:proofErr w:type="spellEnd"/>
      <w:r w:rsidRPr="00DA7068">
        <w:rPr>
          <w:rFonts w:cs="Arial"/>
          <w:szCs w:val="16"/>
        </w:rPr>
        <w:t>, C. (2016). Medical physics in Europe following recommendations of the International Atomic Energy Agency. Radiology and oncology, 50(1), 64-72.</w:t>
      </w:r>
    </w:p>
  </w:footnote>
  <w:footnote w:id="79">
    <w:p w14:paraId="103BE1DB" w14:textId="59279B38" w:rsidR="00A576A4" w:rsidRPr="004355E9" w:rsidRDefault="00A576A4" w:rsidP="00532EC4">
      <w:pPr>
        <w:spacing w:before="0" w:after="0"/>
        <w:rPr>
          <w:rFonts w:cs="Arial"/>
          <w:b/>
          <w:sz w:val="16"/>
          <w:szCs w:val="16"/>
        </w:rPr>
      </w:pPr>
      <w:r w:rsidRPr="004355E9">
        <w:rPr>
          <w:rStyle w:val="FootnoteReference"/>
          <w:rFonts w:cs="Arial"/>
          <w:b/>
          <w:sz w:val="16"/>
          <w:szCs w:val="16"/>
        </w:rPr>
        <w:footnoteRef/>
      </w:r>
      <w:r w:rsidRPr="004355E9">
        <w:rPr>
          <w:rFonts w:cs="Arial"/>
          <w:b/>
          <w:bCs/>
          <w:sz w:val="16"/>
          <w:szCs w:val="16"/>
        </w:rPr>
        <w:t xml:space="preserve"> </w:t>
      </w:r>
      <w:proofErr w:type="spellStart"/>
      <w:r w:rsidR="004355E9" w:rsidRPr="004355E9">
        <w:rPr>
          <w:rFonts w:cs="Arial"/>
          <w:sz w:val="16"/>
          <w:szCs w:val="16"/>
        </w:rPr>
        <w:t>Rühm</w:t>
      </w:r>
      <w:proofErr w:type="spellEnd"/>
      <w:r w:rsidR="004355E9" w:rsidRPr="004355E9">
        <w:rPr>
          <w:rFonts w:cs="Arial"/>
          <w:sz w:val="16"/>
          <w:szCs w:val="16"/>
        </w:rPr>
        <w:t xml:space="preserve">, W., Cho, K., Larsson, C. M., Wojcik, A., Clement, C., Applegate, K., </w:t>
      </w:r>
      <w:r w:rsidR="00AE69BB">
        <w:rPr>
          <w:rFonts w:cs="Arial"/>
          <w:sz w:val="16"/>
          <w:szCs w:val="16"/>
        </w:rPr>
        <w:t>et al</w:t>
      </w:r>
      <w:r w:rsidR="004355E9" w:rsidRPr="004355E9">
        <w:rPr>
          <w:rFonts w:cs="Arial"/>
          <w:sz w:val="16"/>
          <w:szCs w:val="16"/>
        </w:rPr>
        <w:t xml:space="preserve">. (2023). Vancouver </w:t>
      </w:r>
      <w:r w:rsidR="006E526E" w:rsidRPr="004355E9">
        <w:rPr>
          <w:rFonts w:cs="Arial"/>
          <w:sz w:val="16"/>
          <w:szCs w:val="16"/>
        </w:rPr>
        <w:t>calls</w:t>
      </w:r>
      <w:r w:rsidR="004355E9" w:rsidRPr="004355E9">
        <w:rPr>
          <w:rFonts w:cs="Arial"/>
          <w:sz w:val="16"/>
          <w:szCs w:val="16"/>
        </w:rPr>
        <w:t xml:space="preserve"> for action to strengthen expertise in radiological protection worldwide. Radiation and Environmental Biophysics, 62(2), 175-180.</w:t>
      </w:r>
    </w:p>
  </w:footnote>
  <w:footnote w:id="80">
    <w:p w14:paraId="72BE2695" w14:textId="75652501" w:rsidR="004355E9" w:rsidRPr="00AF0E56" w:rsidRDefault="004355E9" w:rsidP="00532EC4">
      <w:pPr>
        <w:spacing w:before="0" w:after="0"/>
        <w:rPr>
          <w:rFonts w:cs="Arial"/>
          <w:sz w:val="16"/>
          <w:szCs w:val="16"/>
        </w:rPr>
      </w:pPr>
      <w:r w:rsidRPr="00532EC4">
        <w:rPr>
          <w:rStyle w:val="FootnoteReference"/>
          <w:rFonts w:cs="Arial"/>
          <w:sz w:val="16"/>
          <w:szCs w:val="16"/>
        </w:rPr>
        <w:footnoteRef/>
      </w:r>
      <w:r w:rsidRPr="00532EC4">
        <w:rPr>
          <w:rFonts w:cs="Arial"/>
          <w:sz w:val="16"/>
          <w:szCs w:val="16"/>
        </w:rPr>
        <w:t xml:space="preserve"> </w:t>
      </w:r>
      <w:r w:rsidR="00532EC4" w:rsidRPr="00532EC4">
        <w:rPr>
          <w:rFonts w:cs="Arial"/>
          <w:sz w:val="16"/>
          <w:szCs w:val="16"/>
        </w:rPr>
        <w:t xml:space="preserve">Institute of Physics and Engineering in Medicine. (2023). Official IPEM statement: UK Medical Physics and Clinical Engineering </w:t>
      </w:r>
      <w:r w:rsidR="00532EC4" w:rsidRPr="00AF0E56">
        <w:rPr>
          <w:rFonts w:cs="Arial"/>
          <w:sz w:val="16"/>
          <w:szCs w:val="16"/>
        </w:rPr>
        <w:t xml:space="preserve">workforce shortage requires urgent action. </w:t>
      </w:r>
      <w:hyperlink r:id="rId24" w:history="1">
        <w:r w:rsidR="00CA36E6" w:rsidRPr="002D4ABB">
          <w:rPr>
            <w:rStyle w:val="Hyperlink"/>
            <w:rFonts w:cs="Arial"/>
            <w:sz w:val="16"/>
            <w:szCs w:val="16"/>
          </w:rPr>
          <w:t>https://www.ipem.ac.uk/resources/other-resources/statements-and-notices/ipem-statement-on-the-medical-physics-and-clinical-engineering-workforce/</w:t>
        </w:r>
      </w:hyperlink>
    </w:p>
  </w:footnote>
  <w:footnote w:id="81">
    <w:p w14:paraId="6D04C5F2" w14:textId="6F0E4B70" w:rsidR="008647A4" w:rsidRPr="00095A0C" w:rsidRDefault="008647A4">
      <w:pPr>
        <w:pStyle w:val="FootnoteText"/>
        <w:rPr>
          <w:rFonts w:cs="Arial"/>
          <w:szCs w:val="16"/>
        </w:rPr>
      </w:pPr>
      <w:r w:rsidRPr="00AF0E56">
        <w:rPr>
          <w:rStyle w:val="FootnoteReference"/>
          <w:rFonts w:cs="Arial"/>
          <w:szCs w:val="16"/>
        </w:rPr>
        <w:footnoteRef/>
      </w:r>
      <w:r w:rsidRPr="00AF0E56">
        <w:rPr>
          <w:rFonts w:cs="Arial"/>
          <w:szCs w:val="16"/>
        </w:rPr>
        <w:t xml:space="preserve"> </w:t>
      </w:r>
      <w:r w:rsidR="00AF0E56" w:rsidRPr="00AF0E56">
        <w:rPr>
          <w:rFonts w:cs="Arial"/>
          <w:szCs w:val="16"/>
        </w:rPr>
        <w:t xml:space="preserve">Harkness, B. A., &amp; Fahey, F. H. (2016). The current state of nuclear medicine physics training: findings of the AAPM/SNMMI Task Force. Journal of </w:t>
      </w:r>
      <w:r w:rsidR="00AF0E56" w:rsidRPr="00095A0C">
        <w:rPr>
          <w:rFonts w:cs="Arial"/>
          <w:szCs w:val="16"/>
        </w:rPr>
        <w:t>Nuclear Medicine, 57(7), 1146-1147.</w:t>
      </w:r>
    </w:p>
  </w:footnote>
  <w:footnote w:id="82">
    <w:p w14:paraId="3B3B4451" w14:textId="37182796" w:rsidR="004355E9" w:rsidRPr="00095A0C" w:rsidRDefault="004355E9">
      <w:pPr>
        <w:pStyle w:val="FootnoteText"/>
        <w:rPr>
          <w:szCs w:val="16"/>
        </w:rPr>
      </w:pPr>
      <w:r w:rsidRPr="00095A0C">
        <w:rPr>
          <w:rStyle w:val="FootnoteReference"/>
          <w:szCs w:val="16"/>
        </w:rPr>
        <w:footnoteRef/>
      </w:r>
      <w:r w:rsidR="008C66D2" w:rsidRPr="00095A0C">
        <w:rPr>
          <w:szCs w:val="16"/>
        </w:rPr>
        <w:t xml:space="preserve"> </w:t>
      </w:r>
      <w:proofErr w:type="spellStart"/>
      <w:r w:rsidR="00095A0C" w:rsidRPr="00095A0C">
        <w:rPr>
          <w:rFonts w:cs="Arial"/>
          <w:color w:val="222222"/>
          <w:szCs w:val="16"/>
          <w:shd w:val="clear" w:color="auto" w:fill="FFFFFF"/>
        </w:rPr>
        <w:t>Chougule</w:t>
      </w:r>
      <w:proofErr w:type="spellEnd"/>
      <w:r w:rsidR="00095A0C" w:rsidRPr="00095A0C">
        <w:rPr>
          <w:rFonts w:cs="Arial"/>
          <w:color w:val="222222"/>
          <w:szCs w:val="16"/>
          <w:shd w:val="clear" w:color="auto" w:fill="FFFFFF"/>
        </w:rPr>
        <w:t>, A. (2021). Status of medical physics education and training in AFOMP region. </w:t>
      </w:r>
      <w:r w:rsidR="00095A0C" w:rsidRPr="00095A0C">
        <w:rPr>
          <w:rFonts w:cs="Arial"/>
          <w:i/>
          <w:iCs/>
          <w:color w:val="222222"/>
          <w:szCs w:val="16"/>
          <w:shd w:val="clear" w:color="auto" w:fill="FFFFFF"/>
        </w:rPr>
        <w:t>Physical and Engineering Sciences in Medicine</w:t>
      </w:r>
      <w:r w:rsidR="00095A0C" w:rsidRPr="00095A0C">
        <w:rPr>
          <w:rFonts w:cs="Arial"/>
          <w:color w:val="222222"/>
          <w:szCs w:val="16"/>
          <w:shd w:val="clear" w:color="auto" w:fill="FFFFFF"/>
        </w:rPr>
        <w:t>, </w:t>
      </w:r>
      <w:r w:rsidR="00095A0C" w:rsidRPr="00095A0C">
        <w:rPr>
          <w:rFonts w:cs="Arial"/>
          <w:i/>
          <w:iCs/>
          <w:color w:val="222222"/>
          <w:szCs w:val="16"/>
          <w:shd w:val="clear" w:color="auto" w:fill="FFFFFF"/>
        </w:rPr>
        <w:t>44</w:t>
      </w:r>
      <w:r w:rsidR="00095A0C" w:rsidRPr="00095A0C">
        <w:rPr>
          <w:rFonts w:cs="Arial"/>
          <w:color w:val="222222"/>
          <w:szCs w:val="16"/>
          <w:shd w:val="clear" w:color="auto" w:fill="FFFFFF"/>
        </w:rPr>
        <w:t>, 357-364.</w:t>
      </w:r>
    </w:p>
  </w:footnote>
  <w:footnote w:id="83">
    <w:p w14:paraId="45C57E5A" w14:textId="77777777" w:rsidR="0001107C" w:rsidRPr="00421288" w:rsidRDefault="0001107C">
      <w:pPr>
        <w:pStyle w:val="FootnoteText"/>
        <w:rPr>
          <w:rFonts w:cs="Arial"/>
          <w:b/>
          <w:szCs w:val="16"/>
        </w:rPr>
      </w:pPr>
      <w:r w:rsidRPr="00095A0C">
        <w:rPr>
          <w:rStyle w:val="FootnoteReference"/>
          <w:rFonts w:cs="Arial"/>
          <w:szCs w:val="16"/>
        </w:rPr>
        <w:footnoteRef/>
      </w:r>
      <w:r w:rsidRPr="00095A0C">
        <w:rPr>
          <w:rFonts w:cs="Arial"/>
          <w:szCs w:val="16"/>
        </w:rPr>
        <w:t xml:space="preserve"> </w:t>
      </w:r>
      <w:r w:rsidRPr="00421288">
        <w:rPr>
          <w:rFonts w:cs="Arial"/>
          <w:szCs w:val="16"/>
        </w:rPr>
        <w:t xml:space="preserve">Bezak, E., </w:t>
      </w:r>
      <w:proofErr w:type="spellStart"/>
      <w:r w:rsidRPr="00421288">
        <w:rPr>
          <w:rFonts w:cs="Arial"/>
          <w:szCs w:val="16"/>
        </w:rPr>
        <w:t>Damilakis</w:t>
      </w:r>
      <w:proofErr w:type="spellEnd"/>
      <w:r w:rsidRPr="00421288">
        <w:rPr>
          <w:rFonts w:cs="Arial"/>
          <w:szCs w:val="16"/>
        </w:rPr>
        <w:t>, J., &amp; Rehani, M. M. (2023). Global status of medical physics human resource–The IOMP survey report. Physica Medica, 113, 102670.</w:t>
      </w:r>
    </w:p>
  </w:footnote>
  <w:footnote w:id="84">
    <w:p w14:paraId="643F5903" w14:textId="77777777" w:rsidR="006148A5" w:rsidRPr="00251FFF" w:rsidRDefault="006148A5" w:rsidP="006148A5">
      <w:pPr>
        <w:pStyle w:val="FootnoteText"/>
        <w:rPr>
          <w:rFonts w:cs="Arial"/>
          <w:szCs w:val="16"/>
        </w:rPr>
      </w:pPr>
      <w:r>
        <w:rPr>
          <w:rStyle w:val="FootnoteReference"/>
        </w:rPr>
        <w:footnoteRef/>
      </w:r>
      <w:r>
        <w:t xml:space="preserve"> </w:t>
      </w:r>
      <w:r w:rsidRPr="00251FFF">
        <w:rPr>
          <w:rFonts w:cs="Arial"/>
          <w:szCs w:val="16"/>
        </w:rPr>
        <w:t xml:space="preserve">Casar, B., do Carmo Lopes, M., Drljević, A., </w:t>
      </w:r>
      <w:proofErr w:type="spellStart"/>
      <w:r w:rsidRPr="00251FFF">
        <w:rPr>
          <w:rFonts w:cs="Arial"/>
          <w:szCs w:val="16"/>
        </w:rPr>
        <w:t>Gershkevitsh</w:t>
      </w:r>
      <w:proofErr w:type="spellEnd"/>
      <w:r w:rsidRPr="00251FFF">
        <w:rPr>
          <w:rFonts w:cs="Arial"/>
          <w:szCs w:val="16"/>
        </w:rPr>
        <w:t xml:space="preserve">, E., &amp; </w:t>
      </w:r>
      <w:proofErr w:type="spellStart"/>
      <w:r w:rsidRPr="00251FFF">
        <w:rPr>
          <w:rFonts w:cs="Arial"/>
          <w:szCs w:val="16"/>
        </w:rPr>
        <w:t>Pesznyak</w:t>
      </w:r>
      <w:proofErr w:type="spellEnd"/>
      <w:r w:rsidRPr="00251FFF">
        <w:rPr>
          <w:rFonts w:cs="Arial"/>
          <w:szCs w:val="16"/>
        </w:rPr>
        <w:t>, C. (2016). Medical physics in Europe following recommendations of the International Atomic Energy Agency. </w:t>
      </w:r>
      <w:r w:rsidRPr="00251FFF">
        <w:rPr>
          <w:rFonts w:cs="Arial"/>
          <w:i/>
          <w:iCs/>
          <w:color w:val="222222"/>
          <w:szCs w:val="16"/>
        </w:rPr>
        <w:t>Radiology and oncology</w:t>
      </w:r>
      <w:r w:rsidRPr="00251FFF">
        <w:rPr>
          <w:rFonts w:cs="Arial"/>
          <w:szCs w:val="16"/>
        </w:rPr>
        <w:t>, </w:t>
      </w:r>
      <w:r w:rsidRPr="00251FFF">
        <w:rPr>
          <w:rFonts w:cs="Arial"/>
          <w:i/>
          <w:iCs/>
          <w:color w:val="222222"/>
          <w:szCs w:val="16"/>
        </w:rPr>
        <w:t>50</w:t>
      </w:r>
      <w:r w:rsidRPr="00251FFF">
        <w:rPr>
          <w:rFonts w:cs="Arial"/>
          <w:szCs w:val="16"/>
        </w:rPr>
        <w:t>(1), 64-72.</w:t>
      </w:r>
    </w:p>
  </w:footnote>
  <w:footnote w:id="85">
    <w:p w14:paraId="6D46B183" w14:textId="77777777" w:rsidR="006148A5" w:rsidRPr="00CB19D5" w:rsidRDefault="006148A5" w:rsidP="006148A5">
      <w:pPr>
        <w:pStyle w:val="FootnoteText"/>
        <w:rPr>
          <w:rFonts w:cs="Arial"/>
          <w:szCs w:val="16"/>
        </w:rPr>
      </w:pPr>
      <w:r>
        <w:rPr>
          <w:rStyle w:val="FootnoteReference"/>
        </w:rPr>
        <w:footnoteRef/>
      </w:r>
      <w:r>
        <w:t xml:space="preserve"> </w:t>
      </w:r>
      <w:r w:rsidRPr="00CB19D5">
        <w:rPr>
          <w:rFonts w:cs="Arial"/>
          <w:szCs w:val="16"/>
        </w:rPr>
        <w:t xml:space="preserve">Garibaldi, C., Essers, M., Heijmen, B., Bertholet, J., </w:t>
      </w:r>
      <w:proofErr w:type="spellStart"/>
      <w:r w:rsidRPr="00CB19D5">
        <w:rPr>
          <w:rFonts w:cs="Arial"/>
          <w:szCs w:val="16"/>
        </w:rPr>
        <w:t>Koutsouveli</w:t>
      </w:r>
      <w:proofErr w:type="spellEnd"/>
      <w:r w:rsidRPr="00CB19D5">
        <w:rPr>
          <w:rFonts w:cs="Arial"/>
          <w:szCs w:val="16"/>
        </w:rPr>
        <w:t xml:space="preserve">, E., Maas, A. J., </w:t>
      </w:r>
      <w:r>
        <w:rPr>
          <w:rFonts w:cs="Arial"/>
          <w:szCs w:val="16"/>
        </w:rPr>
        <w:t>et al.</w:t>
      </w:r>
      <w:r w:rsidRPr="00CB19D5">
        <w:rPr>
          <w:rFonts w:cs="Arial"/>
          <w:szCs w:val="16"/>
        </w:rPr>
        <w:t xml:space="preserve"> (2021). Towards an updated ESTRO-EFOMP core curriculum for education and training of medical physics experts in radiotherapy–A survey of current education and training practice in Europe. </w:t>
      </w:r>
      <w:r w:rsidRPr="00CB19D5">
        <w:rPr>
          <w:rFonts w:cs="Arial"/>
          <w:i/>
          <w:iCs/>
          <w:color w:val="222222"/>
          <w:szCs w:val="16"/>
        </w:rPr>
        <w:t>Physica Medica</w:t>
      </w:r>
      <w:r w:rsidRPr="00CB19D5">
        <w:rPr>
          <w:rFonts w:cs="Arial"/>
          <w:szCs w:val="16"/>
        </w:rPr>
        <w:t>, </w:t>
      </w:r>
      <w:r w:rsidRPr="00CB19D5">
        <w:rPr>
          <w:rFonts w:cs="Arial"/>
          <w:i/>
          <w:iCs/>
          <w:color w:val="222222"/>
          <w:szCs w:val="16"/>
        </w:rPr>
        <w:t>84</w:t>
      </w:r>
      <w:r w:rsidRPr="00CB19D5">
        <w:rPr>
          <w:rFonts w:cs="Arial"/>
          <w:szCs w:val="16"/>
        </w:rPr>
        <w:t>, 65-71.</w:t>
      </w:r>
    </w:p>
  </w:footnote>
  <w:footnote w:id="86">
    <w:p w14:paraId="64183EDD" w14:textId="77777777" w:rsidR="008D2A63" w:rsidRPr="008D2A63" w:rsidRDefault="00BD54A9" w:rsidP="008D2A63">
      <w:pPr>
        <w:spacing w:before="0" w:after="0"/>
        <w:rPr>
          <w:rFonts w:cs="Arial"/>
          <w:sz w:val="16"/>
          <w:szCs w:val="16"/>
        </w:rPr>
      </w:pPr>
      <w:r w:rsidRPr="008D2A63">
        <w:rPr>
          <w:rStyle w:val="FootnoteReference"/>
          <w:rFonts w:cs="Arial"/>
          <w:sz w:val="16"/>
          <w:szCs w:val="16"/>
        </w:rPr>
        <w:footnoteRef/>
      </w:r>
      <w:r w:rsidRPr="008D2A63">
        <w:rPr>
          <w:rFonts w:cs="Arial"/>
          <w:sz w:val="16"/>
          <w:szCs w:val="16"/>
        </w:rPr>
        <w:t xml:space="preserve"> </w:t>
      </w:r>
      <w:r w:rsidR="008D2A63" w:rsidRPr="008D2A63">
        <w:rPr>
          <w:rFonts w:cs="Arial"/>
          <w:sz w:val="16"/>
          <w:szCs w:val="16"/>
        </w:rPr>
        <w:t xml:space="preserve">International Atomic Energy Agency. (2013). </w:t>
      </w:r>
      <w:r w:rsidR="008D2A63" w:rsidRPr="008D2A63">
        <w:rPr>
          <w:rFonts w:cs="Arial"/>
          <w:i/>
          <w:iCs/>
          <w:sz w:val="16"/>
          <w:szCs w:val="16"/>
        </w:rPr>
        <w:t>Roles and Responsibilities, and Education and Training Requirements for Clinically Qualified Medical Physicists</w:t>
      </w:r>
      <w:r w:rsidR="008D2A63" w:rsidRPr="008D2A63">
        <w:rPr>
          <w:rFonts w:cs="Arial"/>
          <w:sz w:val="16"/>
          <w:szCs w:val="16"/>
        </w:rPr>
        <w:t xml:space="preserve">. </w:t>
      </w:r>
      <w:hyperlink r:id="rId25" w:history="1">
        <w:r w:rsidR="008D2A63" w:rsidRPr="008D2A63">
          <w:rPr>
            <w:rFonts w:cs="Arial"/>
            <w:color w:val="0000FF"/>
            <w:sz w:val="16"/>
            <w:szCs w:val="16"/>
            <w:u w:val="single"/>
          </w:rPr>
          <w:t>https://www.iaea.org/publications/10437/roles-and-responsibilities-and-education-and-training-requirements-for-clinically-qualified-medical-physicists</w:t>
        </w:r>
      </w:hyperlink>
    </w:p>
    <w:p w14:paraId="42585664" w14:textId="113085B2" w:rsidR="00BD54A9" w:rsidRDefault="00BD54A9">
      <w:pPr>
        <w:pStyle w:val="FootnoteText"/>
      </w:pPr>
    </w:p>
  </w:footnote>
  <w:footnote w:id="87">
    <w:p w14:paraId="4F316126" w14:textId="5A32D550" w:rsidR="009B583B" w:rsidRPr="009B583B" w:rsidRDefault="009B583B">
      <w:pPr>
        <w:pStyle w:val="FootnoteText"/>
        <w:rPr>
          <w:rFonts w:cs="Arial"/>
          <w:b/>
          <w:bCs/>
          <w:szCs w:val="16"/>
        </w:rPr>
      </w:pPr>
      <w:r w:rsidRPr="009B583B">
        <w:rPr>
          <w:rStyle w:val="FootnoteReference"/>
          <w:rFonts w:cs="Arial"/>
          <w:b/>
          <w:bCs/>
          <w:szCs w:val="16"/>
        </w:rPr>
        <w:footnoteRef/>
      </w:r>
      <w:r w:rsidRPr="009B583B">
        <w:rPr>
          <w:rFonts w:cs="Arial"/>
          <w:b/>
          <w:bCs/>
          <w:szCs w:val="16"/>
        </w:rPr>
        <w:t xml:space="preserve"> </w:t>
      </w:r>
      <w:r w:rsidRPr="009B583B">
        <w:rPr>
          <w:rFonts w:cs="Arial"/>
          <w:szCs w:val="16"/>
        </w:rPr>
        <w:t xml:space="preserve">Prisciandaro, J. I., Willis, C. E., Burmeister, J. W., Clarke, G. D., Das, R. K., </w:t>
      </w:r>
      <w:proofErr w:type="spellStart"/>
      <w:r w:rsidRPr="009B583B">
        <w:rPr>
          <w:rFonts w:cs="Arial"/>
          <w:szCs w:val="16"/>
        </w:rPr>
        <w:t>Esthappan</w:t>
      </w:r>
      <w:proofErr w:type="spellEnd"/>
      <w:r w:rsidRPr="009B583B">
        <w:rPr>
          <w:rFonts w:cs="Arial"/>
          <w:szCs w:val="16"/>
        </w:rPr>
        <w:t xml:space="preserve">, J., </w:t>
      </w:r>
      <w:r w:rsidR="00541EFF">
        <w:rPr>
          <w:rFonts w:cs="Arial"/>
          <w:szCs w:val="16"/>
        </w:rPr>
        <w:t>et al</w:t>
      </w:r>
      <w:r w:rsidRPr="009B583B">
        <w:rPr>
          <w:rFonts w:cs="Arial"/>
          <w:szCs w:val="16"/>
        </w:rPr>
        <w:t>. (2014). Essentials and guidelines for clinical medical physics residency training programs: executive summary of AAPM Report Number 249. Journal of applied clinical medical physics, 15(3), 4-13.</w:t>
      </w:r>
    </w:p>
  </w:footnote>
  <w:footnote w:id="88">
    <w:p w14:paraId="443C1761" w14:textId="26DB8131" w:rsidR="00476F8C" w:rsidRPr="00476F8C" w:rsidRDefault="00476F8C">
      <w:pPr>
        <w:pStyle w:val="FootnoteText"/>
        <w:rPr>
          <w:rFonts w:cs="Arial"/>
          <w:szCs w:val="16"/>
        </w:rPr>
      </w:pPr>
      <w:r w:rsidRPr="00476F8C">
        <w:rPr>
          <w:rStyle w:val="FootnoteReference"/>
          <w:rFonts w:cs="Arial"/>
          <w:szCs w:val="16"/>
        </w:rPr>
        <w:footnoteRef/>
      </w:r>
      <w:r w:rsidRPr="00476F8C">
        <w:rPr>
          <w:rFonts w:cs="Arial"/>
          <w:szCs w:val="16"/>
        </w:rPr>
        <w:t xml:space="preserve"> </w:t>
      </w:r>
      <w:r w:rsidRPr="00476F8C">
        <w:rPr>
          <w:rFonts w:eastAsiaTheme="minorHAnsi" w:cs="Arial"/>
          <w:szCs w:val="16"/>
          <w:lang w:eastAsia="en-US"/>
        </w:rPr>
        <w:t xml:space="preserve">International Atomic Energy Agency. (2011). </w:t>
      </w:r>
      <w:r w:rsidRPr="00476F8C">
        <w:rPr>
          <w:rFonts w:eastAsiaTheme="minorHAnsi" w:cs="Arial"/>
          <w:i/>
          <w:iCs/>
          <w:szCs w:val="16"/>
          <w:lang w:eastAsia="en-US"/>
        </w:rPr>
        <w:t>Clinical Training of Medical Physicists Specializing in Nuclear Medicine</w:t>
      </w:r>
      <w:r w:rsidRPr="00476F8C">
        <w:rPr>
          <w:rFonts w:eastAsiaTheme="minorHAnsi" w:cs="Arial"/>
          <w:szCs w:val="16"/>
          <w:lang w:eastAsia="en-US"/>
        </w:rPr>
        <w:t xml:space="preserve">. </w:t>
      </w:r>
      <w:hyperlink r:id="rId26" w:history="1">
        <w:r w:rsidRPr="00476F8C">
          <w:rPr>
            <w:rFonts w:eastAsiaTheme="minorHAnsi" w:cs="Arial"/>
            <w:color w:val="0000FF"/>
            <w:szCs w:val="16"/>
            <w:u w:val="single"/>
            <w:lang w:eastAsia="en-US"/>
          </w:rPr>
          <w:t>https://www-pub.iaea.org/mtcd/publications/pdf/tcs-50_web.pdf</w:t>
        </w:r>
      </w:hyperlink>
    </w:p>
  </w:footnote>
  <w:footnote w:id="89">
    <w:p w14:paraId="458B6918" w14:textId="2027F450" w:rsidR="007F70E7" w:rsidRPr="007F70E7" w:rsidRDefault="007F70E7">
      <w:pPr>
        <w:pStyle w:val="FootnoteText"/>
        <w:rPr>
          <w:rFonts w:cs="Arial"/>
          <w:b/>
          <w:bCs/>
          <w:szCs w:val="16"/>
        </w:rPr>
      </w:pPr>
      <w:r w:rsidRPr="007F70E7">
        <w:rPr>
          <w:rStyle w:val="FootnoteReference"/>
          <w:rFonts w:cs="Arial"/>
          <w:b/>
          <w:bCs/>
          <w:szCs w:val="16"/>
        </w:rPr>
        <w:footnoteRef/>
      </w:r>
      <w:r w:rsidRPr="007F70E7">
        <w:rPr>
          <w:rFonts w:cs="Arial"/>
          <w:b/>
          <w:bCs/>
          <w:szCs w:val="16"/>
        </w:rPr>
        <w:t xml:space="preserve"> </w:t>
      </w:r>
      <w:r w:rsidRPr="007F70E7">
        <w:rPr>
          <w:rFonts w:cs="Arial"/>
          <w:szCs w:val="16"/>
        </w:rPr>
        <w:t>Rehani, M. M., Pauwels, R., &amp; Rehani, B. (2018). Evaluation of medical physics training in radiology residency in 67 countries. Physica Medica, 54, 30-33.</w:t>
      </w:r>
    </w:p>
  </w:footnote>
  <w:footnote w:id="90">
    <w:p w14:paraId="7EB9229C" w14:textId="2A21F281" w:rsidR="006E5538" w:rsidRPr="00516DD3" w:rsidRDefault="006E5538">
      <w:pPr>
        <w:pStyle w:val="FootnoteText"/>
        <w:rPr>
          <w:rFonts w:cs="Arial"/>
          <w:szCs w:val="16"/>
        </w:rPr>
      </w:pPr>
      <w:r>
        <w:rPr>
          <w:rStyle w:val="FootnoteReference"/>
        </w:rPr>
        <w:footnoteRef/>
      </w:r>
      <w:r>
        <w:t xml:space="preserve"> </w:t>
      </w:r>
      <w:r w:rsidRPr="00516DD3">
        <w:rPr>
          <w:rFonts w:cs="Arial"/>
          <w:szCs w:val="16"/>
        </w:rPr>
        <w:t xml:space="preserve">McLean, I. D., Healy, B. J., Adhikari, K., Jamal, N., Kakakhel, M. B., </w:t>
      </w:r>
      <w:proofErr w:type="spellStart"/>
      <w:r w:rsidRPr="00516DD3">
        <w:rPr>
          <w:rFonts w:cs="Arial"/>
          <w:szCs w:val="16"/>
        </w:rPr>
        <w:t>Krisanachinda</w:t>
      </w:r>
      <w:proofErr w:type="spellEnd"/>
      <w:r w:rsidRPr="00516DD3">
        <w:rPr>
          <w:rFonts w:cs="Arial"/>
          <w:szCs w:val="16"/>
        </w:rPr>
        <w:t xml:space="preserve">, A., </w:t>
      </w:r>
      <w:r w:rsidR="008F1A10">
        <w:rPr>
          <w:rFonts w:cs="Arial"/>
          <w:szCs w:val="16"/>
        </w:rPr>
        <w:t>et al.</w:t>
      </w:r>
      <w:r w:rsidRPr="00516DD3">
        <w:rPr>
          <w:rFonts w:cs="Arial"/>
          <w:szCs w:val="16"/>
        </w:rPr>
        <w:t xml:space="preserve"> (2019). Recommendations for accreditation and certification in medical physics education and clinical training programmes for the </w:t>
      </w:r>
      <w:proofErr w:type="spellStart"/>
      <w:r w:rsidRPr="00516DD3">
        <w:rPr>
          <w:rFonts w:cs="Arial"/>
          <w:szCs w:val="16"/>
        </w:rPr>
        <w:t>rca</w:t>
      </w:r>
      <w:proofErr w:type="spellEnd"/>
      <w:r w:rsidRPr="00516DD3">
        <w:rPr>
          <w:rFonts w:cs="Arial"/>
          <w:szCs w:val="16"/>
        </w:rPr>
        <w:t xml:space="preserve"> region. </w:t>
      </w:r>
      <w:r w:rsidRPr="00516DD3">
        <w:rPr>
          <w:rFonts w:cs="Arial"/>
          <w:i/>
          <w:szCs w:val="16"/>
        </w:rPr>
        <w:t>Medical Physics International Journal, 7</w:t>
      </w:r>
      <w:r w:rsidRPr="00516DD3">
        <w:rPr>
          <w:rFonts w:cs="Arial"/>
          <w:szCs w:val="16"/>
        </w:rPr>
        <w:t>(3).</w:t>
      </w:r>
    </w:p>
  </w:footnote>
  <w:footnote w:id="91">
    <w:p w14:paraId="3044D8F2" w14:textId="471B003F" w:rsidR="004A15E5" w:rsidRPr="00941E09" w:rsidRDefault="004A15E5">
      <w:pPr>
        <w:pStyle w:val="FootnoteText"/>
        <w:rPr>
          <w:rFonts w:cs="Arial"/>
          <w:szCs w:val="16"/>
        </w:rPr>
      </w:pPr>
      <w:r>
        <w:rPr>
          <w:rStyle w:val="FootnoteReference"/>
        </w:rPr>
        <w:footnoteRef/>
      </w:r>
      <w:r>
        <w:t xml:space="preserve"> </w:t>
      </w:r>
      <w:r w:rsidR="00941E09" w:rsidRPr="00941E09">
        <w:rPr>
          <w:rFonts w:cs="Arial"/>
          <w:szCs w:val="16"/>
        </w:rPr>
        <w:t xml:space="preserve">Bezak, E., </w:t>
      </w:r>
      <w:proofErr w:type="spellStart"/>
      <w:r w:rsidR="00941E09" w:rsidRPr="00941E09">
        <w:rPr>
          <w:rFonts w:cs="Arial"/>
          <w:szCs w:val="16"/>
        </w:rPr>
        <w:t>Damilakis</w:t>
      </w:r>
      <w:proofErr w:type="spellEnd"/>
      <w:r w:rsidR="00941E09" w:rsidRPr="00941E09">
        <w:rPr>
          <w:rFonts w:cs="Arial"/>
          <w:szCs w:val="16"/>
        </w:rPr>
        <w:t>, J., &amp; Rehani, M. M. (2023). Global status of medical physics human resource–The IOMP survey report. </w:t>
      </w:r>
      <w:r w:rsidR="00941E09" w:rsidRPr="00941E09">
        <w:rPr>
          <w:rFonts w:cs="Arial"/>
          <w:i/>
          <w:iCs/>
          <w:color w:val="222222"/>
          <w:szCs w:val="16"/>
          <w:shd w:val="clear" w:color="auto" w:fill="FFFFFF"/>
        </w:rPr>
        <w:t>Physica Medica</w:t>
      </w:r>
      <w:r w:rsidR="00941E09" w:rsidRPr="00941E09">
        <w:rPr>
          <w:rFonts w:cs="Arial"/>
          <w:szCs w:val="16"/>
        </w:rPr>
        <w:t>, </w:t>
      </w:r>
      <w:r w:rsidR="00941E09" w:rsidRPr="00941E09">
        <w:rPr>
          <w:rFonts w:cs="Arial"/>
          <w:i/>
          <w:iCs/>
          <w:color w:val="222222"/>
          <w:szCs w:val="16"/>
          <w:shd w:val="clear" w:color="auto" w:fill="FFFFFF"/>
        </w:rPr>
        <w:t>113</w:t>
      </w:r>
      <w:r w:rsidR="00941E09" w:rsidRPr="00941E09">
        <w:rPr>
          <w:rFonts w:cs="Arial"/>
          <w:szCs w:val="16"/>
        </w:rPr>
        <w:t>, 102670.</w:t>
      </w:r>
    </w:p>
  </w:footnote>
  <w:footnote w:id="92">
    <w:p w14:paraId="01E35352" w14:textId="5930FA35" w:rsidR="00E51FE9" w:rsidRPr="00213901" w:rsidRDefault="00E51FE9">
      <w:pPr>
        <w:pStyle w:val="FootnoteText"/>
        <w:rPr>
          <w:rFonts w:cs="Arial"/>
          <w:szCs w:val="16"/>
        </w:rPr>
      </w:pPr>
      <w:r w:rsidRPr="00213901">
        <w:rPr>
          <w:rStyle w:val="FootnoteReference"/>
          <w:rFonts w:cs="Arial"/>
          <w:szCs w:val="16"/>
        </w:rPr>
        <w:footnoteRef/>
      </w:r>
      <w:r w:rsidRPr="00213901">
        <w:rPr>
          <w:rFonts w:cs="Arial"/>
          <w:szCs w:val="16"/>
        </w:rPr>
        <w:t xml:space="preserve"> </w:t>
      </w:r>
      <w:proofErr w:type="spellStart"/>
      <w:r w:rsidRPr="00213901">
        <w:rPr>
          <w:rFonts w:eastAsiaTheme="minorHAnsi" w:cs="Arial"/>
          <w:szCs w:val="16"/>
          <w:lang w:eastAsia="en-US"/>
        </w:rPr>
        <w:t>Chougule</w:t>
      </w:r>
      <w:proofErr w:type="spellEnd"/>
      <w:r w:rsidRPr="00213901">
        <w:rPr>
          <w:rFonts w:eastAsiaTheme="minorHAnsi" w:cs="Arial"/>
          <w:szCs w:val="16"/>
          <w:lang w:eastAsia="en-US"/>
        </w:rPr>
        <w:t xml:space="preserve">, A., &amp; Joan, M. (2024). </w:t>
      </w:r>
      <w:r w:rsidRPr="00213901">
        <w:rPr>
          <w:rFonts w:eastAsiaTheme="minorHAnsi" w:cs="Arial"/>
          <w:i/>
          <w:szCs w:val="16"/>
          <w:lang w:eastAsia="en-US"/>
        </w:rPr>
        <w:t>Article 3: Medical Physics Education – Time to transform to produce clinically competent medical physicists to take on the challenging profession</w:t>
      </w:r>
      <w:r w:rsidRPr="00213901">
        <w:rPr>
          <w:rFonts w:eastAsiaTheme="minorHAnsi" w:cs="Arial"/>
          <w:szCs w:val="16"/>
          <w:lang w:eastAsia="en-US"/>
        </w:rPr>
        <w:t xml:space="preserve">. AFOMP. </w:t>
      </w:r>
      <w:hyperlink r:id="rId27" w:history="1">
        <w:r w:rsidRPr="00213901">
          <w:rPr>
            <w:rFonts w:eastAsiaTheme="minorHAnsi" w:cs="Arial"/>
            <w:color w:val="0000FF"/>
            <w:szCs w:val="16"/>
            <w:u w:val="single"/>
            <w:lang w:eastAsia="en-US"/>
          </w:rPr>
          <w:t>https://afomp.org/2024/02/25/medical-physics-education-time-to-transform-to-produce-clinically-competent-medical-physicists-to-take-on-the-challenging-profession/</w:t>
        </w:r>
      </w:hyperlink>
    </w:p>
  </w:footnote>
  <w:footnote w:id="93">
    <w:p w14:paraId="28C87A30" w14:textId="392C5490" w:rsidR="00D840B5" w:rsidRPr="00D840B5" w:rsidRDefault="00D840B5">
      <w:pPr>
        <w:pStyle w:val="FootnoteText"/>
        <w:rPr>
          <w:rFonts w:cs="Arial"/>
          <w:szCs w:val="16"/>
        </w:rPr>
      </w:pPr>
      <w:r w:rsidRPr="00D840B5">
        <w:rPr>
          <w:rStyle w:val="FootnoteReference"/>
          <w:rFonts w:cs="Arial"/>
          <w:szCs w:val="16"/>
        </w:rPr>
        <w:footnoteRef/>
      </w:r>
      <w:r w:rsidRPr="00D840B5">
        <w:rPr>
          <w:rFonts w:cs="Arial"/>
          <w:szCs w:val="16"/>
        </w:rPr>
        <w:t xml:space="preserve"> </w:t>
      </w:r>
      <w:r w:rsidRPr="00D840B5">
        <w:rPr>
          <w:rFonts w:eastAsiaTheme="minorHAnsi" w:cs="Arial"/>
          <w:szCs w:val="16"/>
          <w:lang w:eastAsia="en-US"/>
        </w:rPr>
        <w:t xml:space="preserve">International Atomic Energy Agency. (2021). </w:t>
      </w:r>
      <w:r w:rsidRPr="00D840B5">
        <w:rPr>
          <w:rFonts w:eastAsiaTheme="minorHAnsi" w:cs="Arial"/>
          <w:i/>
          <w:iCs/>
          <w:szCs w:val="16"/>
          <w:lang w:eastAsia="en-US"/>
        </w:rPr>
        <w:t>Guidelines for the Certification of Clinically Qualified Medical Physicists</w:t>
      </w:r>
      <w:r w:rsidRPr="00D840B5">
        <w:rPr>
          <w:rFonts w:eastAsiaTheme="minorHAnsi" w:cs="Arial"/>
          <w:szCs w:val="16"/>
          <w:lang w:eastAsia="en-US"/>
        </w:rPr>
        <w:t xml:space="preserve">. </w:t>
      </w:r>
      <w:hyperlink r:id="rId28" w:history="1">
        <w:r w:rsidRPr="00D840B5">
          <w:rPr>
            <w:rFonts w:eastAsiaTheme="minorHAnsi" w:cs="Arial"/>
            <w:color w:val="0000FF"/>
            <w:szCs w:val="16"/>
            <w:u w:val="single"/>
            <w:lang w:eastAsia="en-US"/>
          </w:rPr>
          <w:t>https://www-pub.iaea.org/MTCD/Publications/PDF/TCS-71web.pdf</w:t>
        </w:r>
      </w:hyperlink>
    </w:p>
  </w:footnote>
  <w:footnote w:id="94">
    <w:p w14:paraId="74CDB87B" w14:textId="77777777" w:rsidR="001E7094" w:rsidRPr="001E4501" w:rsidRDefault="001E7094" w:rsidP="001E7094">
      <w:pPr>
        <w:pStyle w:val="FootnoteText"/>
        <w:rPr>
          <w:rFonts w:cs="Arial"/>
          <w:szCs w:val="16"/>
        </w:rPr>
      </w:pPr>
      <w:r>
        <w:rPr>
          <w:rStyle w:val="FootnoteReference"/>
        </w:rPr>
        <w:footnoteRef/>
      </w:r>
      <w:r>
        <w:t xml:space="preserve"> </w:t>
      </w:r>
      <w:r w:rsidRPr="001E4501">
        <w:rPr>
          <w:rFonts w:eastAsiaTheme="minorHAnsi" w:cs="Arial"/>
          <w:szCs w:val="16"/>
          <w:lang w:eastAsia="en-US"/>
        </w:rPr>
        <w:t xml:space="preserve">Institute of Physics and Engineering in Medicine. (n.d.). </w:t>
      </w:r>
      <w:r w:rsidRPr="001E4501">
        <w:rPr>
          <w:rFonts w:eastAsiaTheme="minorHAnsi" w:cs="Arial"/>
          <w:i/>
          <w:iCs/>
          <w:szCs w:val="16"/>
          <w:lang w:eastAsia="en-US"/>
        </w:rPr>
        <w:t>Medical Physics</w:t>
      </w:r>
      <w:r w:rsidRPr="001E4501">
        <w:rPr>
          <w:rFonts w:eastAsiaTheme="minorHAnsi" w:cs="Arial"/>
          <w:szCs w:val="16"/>
          <w:lang w:eastAsia="en-US"/>
        </w:rPr>
        <w:t xml:space="preserve">. </w:t>
      </w:r>
      <w:hyperlink r:id="rId29" w:history="1">
        <w:r w:rsidRPr="001E4501">
          <w:rPr>
            <w:rFonts w:eastAsiaTheme="minorHAnsi" w:cs="Arial"/>
            <w:color w:val="0000FF"/>
            <w:szCs w:val="16"/>
            <w:u w:val="single"/>
            <w:lang w:eastAsia="en-US"/>
          </w:rPr>
          <w:t>https://www.ipem.ac.uk/your-career/what-do-our-members-do/medical-physics/</w:t>
        </w:r>
      </w:hyperlink>
    </w:p>
  </w:footnote>
  <w:footnote w:id="95">
    <w:p w14:paraId="32269E8B" w14:textId="7EC60C71" w:rsidR="00A24395" w:rsidRPr="00A24395" w:rsidRDefault="00A24395">
      <w:pPr>
        <w:pStyle w:val="FootnoteText"/>
        <w:rPr>
          <w:rFonts w:cs="Arial"/>
          <w:b/>
          <w:bCs/>
          <w:szCs w:val="16"/>
        </w:rPr>
      </w:pPr>
      <w:r w:rsidRPr="00A24395">
        <w:rPr>
          <w:rStyle w:val="FootnoteReference"/>
          <w:rFonts w:cs="Arial"/>
          <w:b/>
          <w:bCs/>
          <w:szCs w:val="16"/>
        </w:rPr>
        <w:footnoteRef/>
      </w:r>
      <w:r w:rsidRPr="00A24395">
        <w:rPr>
          <w:rFonts w:cs="Arial"/>
          <w:b/>
          <w:bCs/>
          <w:szCs w:val="16"/>
        </w:rPr>
        <w:t xml:space="preserve"> </w:t>
      </w:r>
      <w:proofErr w:type="spellStart"/>
      <w:r w:rsidRPr="00A24395">
        <w:rPr>
          <w:rFonts w:cs="Arial"/>
          <w:szCs w:val="16"/>
        </w:rPr>
        <w:t>Christofides</w:t>
      </w:r>
      <w:proofErr w:type="spellEnd"/>
      <w:r w:rsidRPr="00A24395">
        <w:rPr>
          <w:rFonts w:cs="Arial"/>
          <w:szCs w:val="16"/>
        </w:rPr>
        <w:t xml:space="preserve">, S., Isidoro, J., </w:t>
      </w:r>
      <w:proofErr w:type="spellStart"/>
      <w:r w:rsidRPr="00A24395">
        <w:rPr>
          <w:rFonts w:cs="Arial"/>
          <w:szCs w:val="16"/>
        </w:rPr>
        <w:t>Pesznyak</w:t>
      </w:r>
      <w:proofErr w:type="spellEnd"/>
      <w:r w:rsidRPr="00A24395">
        <w:rPr>
          <w:rFonts w:cs="Arial"/>
          <w:szCs w:val="16"/>
        </w:rPr>
        <w:t xml:space="preserve">, C., </w:t>
      </w:r>
      <w:proofErr w:type="spellStart"/>
      <w:r w:rsidRPr="00A24395">
        <w:rPr>
          <w:rFonts w:cs="Arial"/>
          <w:szCs w:val="16"/>
        </w:rPr>
        <w:t>Bumbure</w:t>
      </w:r>
      <w:proofErr w:type="spellEnd"/>
      <w:r w:rsidRPr="00A24395">
        <w:rPr>
          <w:rFonts w:cs="Arial"/>
          <w:szCs w:val="16"/>
        </w:rPr>
        <w:t>, L., Cremers, F., &amp; Schmidt, W. F. (2016). The European Federation of Organisations for Medical Physics Policy Statement No. 6.1: recommended guidelines on national registration schemes for medical physicists. Physica Medica, 32(1), 1-6.</w:t>
      </w:r>
    </w:p>
  </w:footnote>
  <w:footnote w:id="96">
    <w:p w14:paraId="3F363ABA" w14:textId="63C46497" w:rsidR="008855BD" w:rsidRPr="004D1DB9" w:rsidRDefault="008855BD">
      <w:pPr>
        <w:pStyle w:val="FootnoteText"/>
        <w:rPr>
          <w:rFonts w:cs="Arial"/>
          <w:szCs w:val="16"/>
        </w:rPr>
      </w:pPr>
      <w:r>
        <w:rPr>
          <w:rStyle w:val="FootnoteReference"/>
        </w:rPr>
        <w:footnoteRef/>
      </w:r>
      <w:r>
        <w:t xml:space="preserve"> </w:t>
      </w:r>
      <w:r w:rsidR="004D1DB9" w:rsidRPr="004D1DB9">
        <w:rPr>
          <w:rFonts w:cs="Arial"/>
          <w:szCs w:val="16"/>
        </w:rPr>
        <w:t xml:space="preserve">Maas, A. J., </w:t>
      </w:r>
      <w:proofErr w:type="spellStart"/>
      <w:r w:rsidR="004D1DB9" w:rsidRPr="004D1DB9">
        <w:rPr>
          <w:rFonts w:cs="Arial"/>
          <w:szCs w:val="16"/>
        </w:rPr>
        <w:t>Lammertsma</w:t>
      </w:r>
      <w:proofErr w:type="spellEnd"/>
      <w:r w:rsidR="004D1DB9" w:rsidRPr="004D1DB9">
        <w:rPr>
          <w:rFonts w:cs="Arial"/>
          <w:szCs w:val="16"/>
        </w:rPr>
        <w:t xml:space="preserve">, A. A., Agius, S., Bert, C., Byrne, B., Caruana, C. J., </w:t>
      </w:r>
      <w:r w:rsidR="00A333CC">
        <w:rPr>
          <w:rFonts w:cs="Arial"/>
          <w:szCs w:val="16"/>
        </w:rPr>
        <w:t>et al</w:t>
      </w:r>
      <w:r w:rsidR="004D1DB9" w:rsidRPr="004D1DB9">
        <w:rPr>
          <w:rFonts w:cs="Arial"/>
          <w:szCs w:val="16"/>
        </w:rPr>
        <w:t>. (2021). Education, training and registration of Medical Physics Experts across Europe. </w:t>
      </w:r>
      <w:r w:rsidR="004D1DB9" w:rsidRPr="004D1DB9">
        <w:rPr>
          <w:rFonts w:cs="Arial"/>
          <w:i/>
          <w:iCs/>
          <w:color w:val="222222"/>
          <w:szCs w:val="16"/>
        </w:rPr>
        <w:t>Physica medica</w:t>
      </w:r>
      <w:r w:rsidR="004D1DB9" w:rsidRPr="004D1DB9">
        <w:rPr>
          <w:rFonts w:cs="Arial"/>
          <w:szCs w:val="16"/>
        </w:rPr>
        <w:t>, </w:t>
      </w:r>
      <w:r w:rsidR="004D1DB9" w:rsidRPr="004D1DB9">
        <w:rPr>
          <w:rFonts w:cs="Arial"/>
          <w:i/>
          <w:iCs/>
          <w:color w:val="222222"/>
          <w:szCs w:val="16"/>
        </w:rPr>
        <w:t>85</w:t>
      </w:r>
      <w:r w:rsidR="004D1DB9" w:rsidRPr="004D1DB9">
        <w:rPr>
          <w:rFonts w:cs="Arial"/>
          <w:szCs w:val="16"/>
        </w:rPr>
        <w:t>, 129-136.</w:t>
      </w:r>
    </w:p>
  </w:footnote>
  <w:footnote w:id="97">
    <w:p w14:paraId="379E4944" w14:textId="15136C7C" w:rsidR="001842EC" w:rsidRPr="00994863" w:rsidRDefault="001842EC">
      <w:pPr>
        <w:pStyle w:val="FootnoteText"/>
        <w:rPr>
          <w:rFonts w:cs="Arial"/>
          <w:szCs w:val="16"/>
        </w:rPr>
      </w:pPr>
      <w:r w:rsidRPr="00994863">
        <w:rPr>
          <w:rStyle w:val="FootnoteReference"/>
          <w:rFonts w:cs="Arial"/>
          <w:szCs w:val="16"/>
        </w:rPr>
        <w:footnoteRef/>
      </w:r>
      <w:r w:rsidRPr="00994863">
        <w:rPr>
          <w:rFonts w:cs="Arial"/>
          <w:szCs w:val="16"/>
        </w:rPr>
        <w:t xml:space="preserve"> </w:t>
      </w:r>
      <w:r w:rsidR="00994863" w:rsidRPr="00994863">
        <w:rPr>
          <w:rFonts w:eastAsiaTheme="minorHAnsi" w:cs="Arial"/>
          <w:szCs w:val="16"/>
          <w:lang w:eastAsia="en-US"/>
        </w:rPr>
        <w:t xml:space="preserve">IOMP. (2010). </w:t>
      </w:r>
      <w:r w:rsidR="00994863" w:rsidRPr="00994863">
        <w:rPr>
          <w:rFonts w:eastAsiaTheme="minorHAnsi" w:cs="Arial"/>
          <w:i/>
          <w:iCs/>
          <w:szCs w:val="16"/>
          <w:lang w:eastAsia="en-US"/>
        </w:rPr>
        <w:t>IOMP Policy Statement No. 1. The Medical Physicist: Role and Responsibilities</w:t>
      </w:r>
      <w:r w:rsidR="00994863" w:rsidRPr="00994863">
        <w:rPr>
          <w:rFonts w:eastAsiaTheme="minorHAnsi" w:cs="Arial"/>
          <w:szCs w:val="16"/>
          <w:lang w:eastAsia="en-US"/>
        </w:rPr>
        <w:t xml:space="preserve">. </w:t>
      </w:r>
      <w:hyperlink r:id="rId30" w:history="1">
        <w:r w:rsidR="00994863" w:rsidRPr="00994863">
          <w:rPr>
            <w:rFonts w:eastAsiaTheme="minorHAnsi" w:cs="Arial"/>
            <w:color w:val="0000FF"/>
            <w:szCs w:val="16"/>
            <w:u w:val="single"/>
            <w:lang w:eastAsia="en-US"/>
          </w:rPr>
          <w:t>https://www.iomp.org/wp-content/uploads/2019/02/iomp_policy_statement_no_1.pdf</w:t>
        </w:r>
      </w:hyperlink>
    </w:p>
  </w:footnote>
  <w:footnote w:id="98">
    <w:p w14:paraId="214C8D39" w14:textId="05FF8682" w:rsidR="006A7C30" w:rsidRPr="006A7C30" w:rsidRDefault="006A7C30">
      <w:pPr>
        <w:pStyle w:val="FootnoteText"/>
        <w:rPr>
          <w:rFonts w:cs="Arial"/>
          <w:b/>
          <w:bCs/>
          <w:szCs w:val="16"/>
        </w:rPr>
      </w:pPr>
      <w:r w:rsidRPr="006A7C30">
        <w:rPr>
          <w:rStyle w:val="FootnoteReference"/>
          <w:rFonts w:cs="Arial"/>
          <w:b/>
          <w:bCs/>
          <w:szCs w:val="16"/>
        </w:rPr>
        <w:footnoteRef/>
      </w:r>
      <w:r w:rsidRPr="006A7C30">
        <w:rPr>
          <w:rFonts w:cs="Arial"/>
          <w:b/>
          <w:bCs/>
          <w:szCs w:val="16"/>
        </w:rPr>
        <w:t xml:space="preserve"> </w:t>
      </w:r>
      <w:r w:rsidRPr="006A7C30">
        <w:rPr>
          <w:rFonts w:cs="Arial"/>
          <w:szCs w:val="16"/>
        </w:rPr>
        <w:t>Pfeiffer, D., Al</w:t>
      </w:r>
      <w:r w:rsidRPr="006A7C30">
        <w:rPr>
          <w:rFonts w:ascii="Cambria Math" w:hAnsi="Cambria Math" w:cs="Cambria Math"/>
          <w:szCs w:val="16"/>
        </w:rPr>
        <w:t>‐</w:t>
      </w:r>
      <w:r w:rsidRPr="006A7C30">
        <w:rPr>
          <w:rFonts w:cs="Arial"/>
          <w:szCs w:val="16"/>
        </w:rPr>
        <w:t xml:space="preserve">Hallaq, H., Halvorsen, P., Hendrickson, K., Lu, Z. F., Martin, M. C., </w:t>
      </w:r>
      <w:r w:rsidR="00A333CC">
        <w:rPr>
          <w:rFonts w:cs="Arial"/>
          <w:szCs w:val="16"/>
        </w:rPr>
        <w:t>et al</w:t>
      </w:r>
      <w:r w:rsidRPr="006A7C30">
        <w:rPr>
          <w:rFonts w:cs="Arial"/>
          <w:szCs w:val="16"/>
        </w:rPr>
        <w:t>. (2021). AAPM medical physics practice guideline 3. b.: Levels of supervision for medical physicists in clinical training. Journal of applied clinical medical physics, 22(6), 11-15.</w:t>
      </w:r>
    </w:p>
  </w:footnote>
  <w:footnote w:id="99">
    <w:p w14:paraId="714C4C52" w14:textId="77777777" w:rsidR="00F66A90" w:rsidRPr="00E542E2" w:rsidRDefault="00F66A90" w:rsidP="00F66A90">
      <w:pPr>
        <w:pStyle w:val="FootnoteText"/>
        <w:rPr>
          <w:rFonts w:cs="Arial"/>
          <w:b/>
          <w:bCs/>
          <w:szCs w:val="16"/>
        </w:rPr>
      </w:pPr>
      <w:r w:rsidRPr="006152D8">
        <w:rPr>
          <w:rStyle w:val="FootnoteReference"/>
          <w:rFonts w:cs="Arial"/>
          <w:b/>
          <w:bCs/>
          <w:szCs w:val="16"/>
        </w:rPr>
        <w:footnoteRef/>
      </w:r>
      <w:r w:rsidRPr="006152D8">
        <w:rPr>
          <w:rFonts w:cs="Arial"/>
          <w:b/>
          <w:bCs/>
          <w:szCs w:val="16"/>
        </w:rPr>
        <w:t xml:space="preserve"> </w:t>
      </w:r>
      <w:r w:rsidRPr="006152D8">
        <w:rPr>
          <w:rFonts w:cs="Arial"/>
          <w:szCs w:val="16"/>
        </w:rPr>
        <w:t xml:space="preserve">Bertholet, J., Al Hallaq, H., Toma-Dasu, I., Ingledew, P. A., &amp; Carlson, D. J. (2023). Medical Physics Training and Education: Learning from the Past and Looking to the </w:t>
      </w:r>
      <w:r w:rsidRPr="00E542E2">
        <w:rPr>
          <w:rFonts w:cs="Arial"/>
          <w:szCs w:val="16"/>
        </w:rPr>
        <w:t>Future. International Journal of Radiation Oncology* Biology* Physics, 117(5), 1039-1044.</w:t>
      </w:r>
    </w:p>
  </w:footnote>
  <w:footnote w:id="100">
    <w:p w14:paraId="1718D1C3" w14:textId="77777777" w:rsidR="00F66A90" w:rsidRPr="00E542E2" w:rsidRDefault="00F66A90" w:rsidP="00F66A90">
      <w:pPr>
        <w:pStyle w:val="FootnoteText"/>
        <w:rPr>
          <w:rFonts w:cs="Arial"/>
          <w:b/>
          <w:bCs/>
          <w:szCs w:val="16"/>
        </w:rPr>
      </w:pPr>
      <w:r w:rsidRPr="00E542E2">
        <w:rPr>
          <w:rStyle w:val="FootnoteReference"/>
          <w:rFonts w:cs="Arial"/>
          <w:b/>
          <w:bCs/>
          <w:szCs w:val="16"/>
        </w:rPr>
        <w:footnoteRef/>
      </w:r>
      <w:r w:rsidRPr="00E542E2">
        <w:rPr>
          <w:rFonts w:cs="Arial"/>
          <w:b/>
          <w:bCs/>
          <w:szCs w:val="16"/>
        </w:rPr>
        <w:t xml:space="preserve"> </w:t>
      </w:r>
      <w:r w:rsidRPr="00E542E2">
        <w:rPr>
          <w:rFonts w:cs="Arial"/>
          <w:szCs w:val="16"/>
        </w:rPr>
        <w:t xml:space="preserve">Lyatskaya, Y., Winey, B., Kiger III, W. S., Hurwitz, M., Zygmanski, P., </w:t>
      </w:r>
      <w:proofErr w:type="spellStart"/>
      <w:r w:rsidRPr="00E542E2">
        <w:rPr>
          <w:rFonts w:cs="Arial"/>
          <w:szCs w:val="16"/>
        </w:rPr>
        <w:t>Makrigiorgos</w:t>
      </w:r>
      <w:proofErr w:type="spellEnd"/>
      <w:r w:rsidRPr="00E542E2">
        <w:rPr>
          <w:rFonts w:cs="Arial"/>
          <w:szCs w:val="16"/>
        </w:rPr>
        <w:t xml:space="preserve">, G. M., </w:t>
      </w:r>
      <w:r>
        <w:rPr>
          <w:rFonts w:cs="Arial"/>
          <w:szCs w:val="16"/>
        </w:rPr>
        <w:t>et al</w:t>
      </w:r>
      <w:r w:rsidRPr="00E542E2">
        <w:rPr>
          <w:rFonts w:cs="Arial"/>
          <w:szCs w:val="16"/>
        </w:rPr>
        <w:t>. (2023). Combined clinical and research training in medical physics in a multi</w:t>
      </w:r>
      <w:r w:rsidRPr="00E542E2">
        <w:rPr>
          <w:rFonts w:ascii="Cambria Math" w:hAnsi="Cambria Math" w:cs="Cambria Math"/>
          <w:szCs w:val="16"/>
        </w:rPr>
        <w:t>‐</w:t>
      </w:r>
      <w:r w:rsidRPr="00E542E2">
        <w:rPr>
          <w:rFonts w:cs="Arial"/>
          <w:szCs w:val="16"/>
        </w:rPr>
        <w:t>institutional setting: 13</w:t>
      </w:r>
      <w:r w:rsidRPr="00E542E2">
        <w:rPr>
          <w:rFonts w:ascii="Cambria Math" w:hAnsi="Cambria Math" w:cs="Cambria Math"/>
          <w:szCs w:val="16"/>
        </w:rPr>
        <w:t>‐</w:t>
      </w:r>
      <w:r w:rsidRPr="00E542E2">
        <w:rPr>
          <w:rFonts w:cs="Arial"/>
          <w:szCs w:val="16"/>
        </w:rPr>
        <w:t>year experience of Harvard medical physics residency program. Journal of Applied Clinical Medical Physics, 24(1), e13806.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E72D0" w14:textId="0E4B0427" w:rsidR="003E7E9D" w:rsidRDefault="003E7E9D">
    <w:pPr>
      <w:pStyle w:val="Header"/>
    </w:pPr>
    <w:r>
      <w:rPr>
        <w:noProof/>
      </w:rPr>
      <mc:AlternateContent>
        <mc:Choice Requires="wps">
          <w:drawing>
            <wp:anchor distT="0" distB="0" distL="0" distR="0" simplePos="0" relativeHeight="251660296" behindDoc="0" locked="0" layoutInCell="1" allowOverlap="1" wp14:anchorId="6EEB038A" wp14:editId="0E40A0DD">
              <wp:simplePos x="635" y="635"/>
              <wp:positionH relativeFrom="page">
                <wp:align>center</wp:align>
              </wp:positionH>
              <wp:positionV relativeFrom="page">
                <wp:align>top</wp:align>
              </wp:positionV>
              <wp:extent cx="622300" cy="452755"/>
              <wp:effectExtent l="0" t="0" r="6350" b="4445"/>
              <wp:wrapNone/>
              <wp:docPr id="16105683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5022C1C" w14:textId="2F62FA60" w:rsidR="003E7E9D" w:rsidRPr="003E7E9D" w:rsidRDefault="003E7E9D" w:rsidP="003E7E9D">
                          <w:pPr>
                            <w:spacing w:after="0"/>
                            <w:rPr>
                              <w:rFonts w:ascii="Aptos" w:eastAsia="Aptos" w:hAnsi="Aptos" w:cs="Aptos"/>
                              <w:noProof/>
                              <w:color w:val="FF0000"/>
                              <w:sz w:val="24"/>
                              <w:szCs w:val="24"/>
                            </w:rPr>
                          </w:pPr>
                          <w:r w:rsidRPr="003E7E9D">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EB038A" id="_x0000_t202" coordsize="21600,21600" o:spt="202" path="m,l,21600r21600,l21600,xe">
              <v:stroke joinstyle="miter"/>
              <v:path gradientshapeok="t" o:connecttype="rect"/>
            </v:shapetype>
            <v:shape id="Text Box 2" o:spid="_x0000_s1026" type="#_x0000_t202" alt="OFFICIAL" style="position:absolute;margin-left:0;margin-top:0;width:49pt;height:35.65pt;z-index:251660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textbox style="mso-fit-shape-to-text:t" inset="0,15pt,0,0">
                <w:txbxContent>
                  <w:p w14:paraId="35022C1C" w14:textId="2F62FA60" w:rsidR="003E7E9D" w:rsidRPr="003E7E9D" w:rsidRDefault="003E7E9D" w:rsidP="003E7E9D">
                    <w:pPr>
                      <w:spacing w:after="0"/>
                      <w:rPr>
                        <w:rFonts w:ascii="Aptos" w:eastAsia="Aptos" w:hAnsi="Aptos" w:cs="Aptos"/>
                        <w:noProof/>
                        <w:color w:val="FF0000"/>
                        <w:sz w:val="24"/>
                        <w:szCs w:val="24"/>
                      </w:rPr>
                    </w:pPr>
                    <w:r w:rsidRPr="003E7E9D">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ADD7F" w14:textId="684CF709" w:rsidR="00F525C7" w:rsidRPr="006F7887" w:rsidRDefault="00F525C7" w:rsidP="00F525C7">
    <w:pPr>
      <w:tabs>
        <w:tab w:val="left" w:pos="5323"/>
        <w:tab w:val="right" w:pos="9639"/>
      </w:tabs>
      <w:rPr>
        <w:rFonts w:cs="Arial"/>
        <w:color w:val="000000" w:themeColor="text1"/>
        <w:sz w:val="16"/>
        <w:szCs w:val="16"/>
      </w:rPr>
    </w:pPr>
    <w:r>
      <w:rPr>
        <w:rFonts w:cs="Arial"/>
        <w:color w:val="000000" w:themeColor="text1"/>
        <w:sz w:val="16"/>
        <w:szCs w:val="16"/>
      </w:rPr>
      <w:t>Evaluation of the MPS Program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4FF15" w14:textId="28EB7841" w:rsidR="008E73FD" w:rsidRPr="006F7887" w:rsidRDefault="009F7004" w:rsidP="001B2509">
    <w:pPr>
      <w:tabs>
        <w:tab w:val="left" w:pos="5323"/>
        <w:tab w:val="right" w:pos="9639"/>
      </w:tabs>
      <w:rPr>
        <w:rFonts w:cs="Arial"/>
        <w:color w:val="000000" w:themeColor="text1"/>
        <w:sz w:val="16"/>
        <w:szCs w:val="16"/>
      </w:rPr>
    </w:pPr>
    <w:r>
      <w:rPr>
        <w:rFonts w:cs="Arial"/>
        <w:color w:val="000000" w:themeColor="text1"/>
        <w:sz w:val="16"/>
        <w:szCs w:val="16"/>
      </w:rPr>
      <w:t>Evaluation of the MPS Program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99664" w14:textId="1A2D7ED7" w:rsidR="00F525C7" w:rsidRPr="006F7887" w:rsidRDefault="00F525C7" w:rsidP="00194457">
    <w:pPr>
      <w:tabs>
        <w:tab w:val="left" w:pos="5323"/>
        <w:tab w:val="right" w:pos="9639"/>
      </w:tabs>
      <w:rPr>
        <w:rFonts w:cs="Arial"/>
        <w:color w:val="000000" w:themeColor="text1"/>
        <w:sz w:val="16"/>
        <w:szCs w:val="16"/>
      </w:rPr>
    </w:pPr>
    <w:r>
      <w:rPr>
        <w:rFonts w:cs="Arial"/>
        <w:color w:val="000000" w:themeColor="text1"/>
        <w:sz w:val="16"/>
        <w:szCs w:val="16"/>
      </w:rPr>
      <w:t>Evaluation of the MPS Program</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614E" w14:textId="7ECE1005" w:rsidR="00811157" w:rsidRPr="006F7887" w:rsidRDefault="00811157" w:rsidP="00811157">
    <w:pPr>
      <w:tabs>
        <w:tab w:val="left" w:pos="5323"/>
        <w:tab w:val="right" w:pos="9639"/>
      </w:tabs>
      <w:rPr>
        <w:rFonts w:cs="Arial"/>
        <w:color w:val="000000" w:themeColor="text1"/>
        <w:sz w:val="16"/>
        <w:szCs w:val="16"/>
      </w:rPr>
    </w:pPr>
    <w:r>
      <w:rPr>
        <w:rFonts w:cs="Arial"/>
        <w:color w:val="000000" w:themeColor="text1"/>
        <w:sz w:val="16"/>
        <w:szCs w:val="16"/>
      </w:rPr>
      <w:t>Evaluation of the MPS Program</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9C208" w14:textId="53007274" w:rsidR="009B6C5D" w:rsidRDefault="00625C97">
    <w:r>
      <w:rPr>
        <w:noProof/>
      </w:rPr>
      <w:drawing>
        <wp:anchor distT="0" distB="0" distL="114300" distR="114300" simplePos="0" relativeHeight="251658241" behindDoc="1" locked="0" layoutInCell="1" allowOverlap="1" wp14:anchorId="1200ECE3" wp14:editId="5333AAC6">
          <wp:simplePos x="0" y="0"/>
          <wp:positionH relativeFrom="page">
            <wp:align>right</wp:align>
          </wp:positionH>
          <wp:positionV relativeFrom="paragraph">
            <wp:posOffset>-450215</wp:posOffset>
          </wp:positionV>
          <wp:extent cx="7554531" cy="10686005"/>
          <wp:effectExtent l="0" t="0" r="8890" b="127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531" cy="10686005"/>
                  </a:xfrm>
                  <a:prstGeom prst="rect">
                    <a:avLst/>
                  </a:prstGeom>
                </pic:spPr>
              </pic:pic>
            </a:graphicData>
          </a:graphic>
          <wp14:sizeRelH relativeFrom="margin">
            <wp14:pctWidth>0</wp14:pctWidth>
          </wp14:sizeRelH>
          <wp14:sizeRelV relativeFrom="margin">
            <wp14:pctHeight>0</wp14:pctHeight>
          </wp14:sizeRelV>
        </wp:anchor>
      </w:drawing>
    </w:r>
    <w:r w:rsidR="009B6C5D" w:rsidRPr="00D61BE9">
      <w:rPr>
        <w:noProof/>
      </w:rPr>
      <mc:AlternateContent>
        <mc:Choice Requires="wps">
          <w:drawing>
            <wp:anchor distT="0" distB="0" distL="114300" distR="114300" simplePos="0" relativeHeight="251658243" behindDoc="0" locked="0" layoutInCell="1" allowOverlap="1" wp14:anchorId="730B78C3" wp14:editId="3A19CD76">
              <wp:simplePos x="0" y="0"/>
              <wp:positionH relativeFrom="column">
                <wp:posOffset>-62230</wp:posOffset>
              </wp:positionH>
              <wp:positionV relativeFrom="paragraph">
                <wp:posOffset>435610</wp:posOffset>
              </wp:positionV>
              <wp:extent cx="1090930" cy="442595"/>
              <wp:effectExtent l="0" t="0" r="0" b="0"/>
              <wp:wrapNone/>
              <wp:docPr id="11" name="Freeform: Shape 11" descr="KPMG logo">
                <a:extLst xmlns:a="http://schemas.openxmlformats.org/drawingml/2006/main">
                  <a:ext uri="{FF2B5EF4-FFF2-40B4-BE49-F238E27FC236}">
                    <a16:creationId xmlns:a16="http://schemas.microsoft.com/office/drawing/2014/main" id="{3336BEAD-25CA-4DD6-9DE8-7ED975B9B1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90930" cy="442595"/>
                      </a:xfrm>
                      <a:custGeom>
                        <a:avLst/>
                        <a:gdLst>
                          <a:gd name="T0" fmla="*/ 2147483646 w 283"/>
                          <a:gd name="T1" fmla="*/ 2147483646 h 114"/>
                          <a:gd name="T2" fmla="*/ 2147483646 w 283"/>
                          <a:gd name="T3" fmla="*/ 2147483646 h 114"/>
                          <a:gd name="T4" fmla="*/ 2147483646 w 283"/>
                          <a:gd name="T5" fmla="*/ 2147483646 h 114"/>
                          <a:gd name="T6" fmla="*/ 2147483646 w 283"/>
                          <a:gd name="T7" fmla="*/ 2147483646 h 114"/>
                          <a:gd name="T8" fmla="*/ 2147483646 w 283"/>
                          <a:gd name="T9" fmla="*/ 2147483646 h 114"/>
                          <a:gd name="T10" fmla="*/ 2147483646 w 283"/>
                          <a:gd name="T11" fmla="*/ 2147483646 h 114"/>
                          <a:gd name="T12" fmla="*/ 2147483646 w 283"/>
                          <a:gd name="T13" fmla="*/ 2147483646 h 114"/>
                          <a:gd name="T14" fmla="*/ 2147483646 w 283"/>
                          <a:gd name="T15" fmla="*/ 2147483646 h 114"/>
                          <a:gd name="T16" fmla="*/ 2147483646 w 283"/>
                          <a:gd name="T17" fmla="*/ 2147483646 h 114"/>
                          <a:gd name="T18" fmla="*/ 2147483646 w 283"/>
                          <a:gd name="T19" fmla="*/ 2147483646 h 114"/>
                          <a:gd name="T20" fmla="*/ 2147483646 w 283"/>
                          <a:gd name="T21" fmla="*/ 2147483646 h 114"/>
                          <a:gd name="T22" fmla="*/ 2147483646 w 283"/>
                          <a:gd name="T23" fmla="*/ 2147483646 h 114"/>
                          <a:gd name="T24" fmla="*/ 2147483646 w 283"/>
                          <a:gd name="T25" fmla="*/ 2147483646 h 114"/>
                          <a:gd name="T26" fmla="*/ 2147483646 w 283"/>
                          <a:gd name="T27" fmla="*/ 2147483646 h 114"/>
                          <a:gd name="T28" fmla="*/ 2147483646 w 283"/>
                          <a:gd name="T29" fmla="*/ 2147483646 h 114"/>
                          <a:gd name="T30" fmla="*/ 2147483646 w 283"/>
                          <a:gd name="T31" fmla="*/ 2147483646 h 114"/>
                          <a:gd name="T32" fmla="*/ 2147483646 w 283"/>
                          <a:gd name="T33" fmla="*/ 2147483646 h 114"/>
                          <a:gd name="T34" fmla="*/ 2147483646 w 283"/>
                          <a:gd name="T35" fmla="*/ 2147483646 h 114"/>
                          <a:gd name="T36" fmla="*/ 2147483646 w 283"/>
                          <a:gd name="T37" fmla="*/ 2147483646 h 114"/>
                          <a:gd name="T38" fmla="*/ 2147483646 w 283"/>
                          <a:gd name="T39" fmla="*/ 2147483646 h 114"/>
                          <a:gd name="T40" fmla="*/ 2147483646 w 283"/>
                          <a:gd name="T41" fmla="*/ 2147483646 h 114"/>
                          <a:gd name="T42" fmla="*/ 2147483646 w 283"/>
                          <a:gd name="T43" fmla="*/ 2147483646 h 114"/>
                          <a:gd name="T44" fmla="*/ 2147483646 w 283"/>
                          <a:gd name="T45" fmla="*/ 2147483646 h 114"/>
                          <a:gd name="T46" fmla="*/ 2147483646 w 283"/>
                          <a:gd name="T47" fmla="*/ 2147483646 h 114"/>
                          <a:gd name="T48" fmla="*/ 2147483646 w 283"/>
                          <a:gd name="T49" fmla="*/ 2147483646 h 114"/>
                          <a:gd name="T50" fmla="*/ 2147483646 w 283"/>
                          <a:gd name="T51" fmla="*/ 2147483646 h 114"/>
                          <a:gd name="T52" fmla="*/ 2147483646 w 283"/>
                          <a:gd name="T53" fmla="*/ 2147483646 h 114"/>
                          <a:gd name="T54" fmla="*/ 2147483646 w 283"/>
                          <a:gd name="T55" fmla="*/ 2147483646 h 114"/>
                          <a:gd name="T56" fmla="*/ 2147483646 w 283"/>
                          <a:gd name="T57" fmla="*/ 2147483646 h 114"/>
                          <a:gd name="T58" fmla="*/ 2147483646 w 283"/>
                          <a:gd name="T59" fmla="*/ 2147483646 h 114"/>
                          <a:gd name="T60" fmla="*/ 2147483646 w 283"/>
                          <a:gd name="T61" fmla="*/ 0 h 114"/>
                          <a:gd name="T62" fmla="*/ 2147483646 w 283"/>
                          <a:gd name="T63" fmla="*/ 0 h 114"/>
                          <a:gd name="T64" fmla="*/ 2147483646 w 283"/>
                          <a:gd name="T65" fmla="*/ 2147483646 h 114"/>
                          <a:gd name="T66" fmla="*/ 2147483646 w 283"/>
                          <a:gd name="T67" fmla="*/ 2147483646 h 114"/>
                          <a:gd name="T68" fmla="*/ 2147483646 w 283"/>
                          <a:gd name="T69" fmla="*/ 0 h 114"/>
                          <a:gd name="T70" fmla="*/ 2147483646 w 283"/>
                          <a:gd name="T71" fmla="*/ 2147483646 h 114"/>
                          <a:gd name="T72" fmla="*/ 2147483646 w 283"/>
                          <a:gd name="T73" fmla="*/ 2147483646 h 114"/>
                          <a:gd name="T74" fmla="*/ 2147483646 w 283"/>
                          <a:gd name="T75" fmla="*/ 2147483646 h 114"/>
                          <a:gd name="T76" fmla="*/ 2147483646 w 283"/>
                          <a:gd name="T77" fmla="*/ 2147483646 h 114"/>
                          <a:gd name="T78" fmla="*/ 2147483646 w 283"/>
                          <a:gd name="T79" fmla="*/ 2147483646 h 114"/>
                          <a:gd name="T80" fmla="*/ 2147483646 w 283"/>
                          <a:gd name="T81" fmla="*/ 2147483646 h 114"/>
                          <a:gd name="T82" fmla="*/ 2147483646 w 283"/>
                          <a:gd name="T83" fmla="*/ 2147483646 h 114"/>
                          <a:gd name="T84" fmla="*/ 2147483646 w 283"/>
                          <a:gd name="T85" fmla="*/ 2147483646 h 114"/>
                          <a:gd name="T86" fmla="*/ 2147483646 w 283"/>
                          <a:gd name="T87" fmla="*/ 2147483646 h 114"/>
                          <a:gd name="T88" fmla="*/ 2147483646 w 283"/>
                          <a:gd name="T89" fmla="*/ 2147483646 h 114"/>
                          <a:gd name="T90" fmla="*/ 2147483646 w 283"/>
                          <a:gd name="T91" fmla="*/ 2147483646 h 114"/>
                          <a:gd name="T92" fmla="*/ 2147483646 w 283"/>
                          <a:gd name="T93" fmla="*/ 0 h 11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83" h="114">
                            <a:moveTo>
                              <a:pt x="281" y="87"/>
                            </a:moveTo>
                            <a:cubicBezTo>
                              <a:pt x="266" y="87"/>
                              <a:pt x="266" y="87"/>
                              <a:pt x="266" y="87"/>
                            </a:cubicBezTo>
                            <a:cubicBezTo>
                              <a:pt x="269" y="77"/>
                              <a:pt x="269" y="77"/>
                              <a:pt x="269" y="77"/>
                            </a:cubicBezTo>
                            <a:cubicBezTo>
                              <a:pt x="239" y="77"/>
                              <a:pt x="239" y="77"/>
                              <a:pt x="239" y="77"/>
                            </a:cubicBezTo>
                            <a:cubicBezTo>
                              <a:pt x="237" y="87"/>
                              <a:pt x="237" y="87"/>
                              <a:pt x="237" y="87"/>
                            </a:cubicBezTo>
                            <a:cubicBezTo>
                              <a:pt x="222" y="87"/>
                              <a:pt x="222" y="87"/>
                              <a:pt x="222" y="87"/>
                            </a:cubicBezTo>
                            <a:cubicBezTo>
                              <a:pt x="222" y="85"/>
                              <a:pt x="222" y="85"/>
                              <a:pt x="222" y="85"/>
                            </a:cubicBezTo>
                            <a:cubicBezTo>
                              <a:pt x="223" y="84"/>
                              <a:pt x="223" y="83"/>
                              <a:pt x="223" y="81"/>
                            </a:cubicBezTo>
                            <a:cubicBezTo>
                              <a:pt x="226" y="71"/>
                              <a:pt x="233" y="60"/>
                              <a:pt x="244" y="60"/>
                            </a:cubicBezTo>
                            <a:cubicBezTo>
                              <a:pt x="249" y="60"/>
                              <a:pt x="254" y="62"/>
                              <a:pt x="253" y="69"/>
                            </a:cubicBezTo>
                            <a:cubicBezTo>
                              <a:pt x="271" y="69"/>
                              <a:pt x="271" y="69"/>
                              <a:pt x="271" y="69"/>
                            </a:cubicBezTo>
                            <a:cubicBezTo>
                              <a:pt x="272" y="66"/>
                              <a:pt x="273" y="61"/>
                              <a:pt x="269" y="56"/>
                            </a:cubicBezTo>
                            <a:cubicBezTo>
                              <a:pt x="266" y="51"/>
                              <a:pt x="258" y="48"/>
                              <a:pt x="248" y="48"/>
                            </a:cubicBezTo>
                            <a:cubicBezTo>
                              <a:pt x="241" y="48"/>
                              <a:pt x="231" y="50"/>
                              <a:pt x="222" y="55"/>
                            </a:cubicBezTo>
                            <a:cubicBezTo>
                              <a:pt x="222" y="2"/>
                              <a:pt x="222" y="2"/>
                              <a:pt x="222" y="2"/>
                            </a:cubicBezTo>
                            <a:cubicBezTo>
                              <a:pt x="281" y="2"/>
                              <a:pt x="281" y="2"/>
                              <a:pt x="281" y="2"/>
                            </a:cubicBezTo>
                            <a:cubicBezTo>
                              <a:pt x="281" y="87"/>
                              <a:pt x="281" y="87"/>
                              <a:pt x="281" y="87"/>
                            </a:cubicBezTo>
                            <a:cubicBezTo>
                              <a:pt x="281" y="87"/>
                              <a:pt x="281" y="87"/>
                              <a:pt x="281" y="87"/>
                            </a:cubicBezTo>
                            <a:close/>
                            <a:moveTo>
                              <a:pt x="246" y="101"/>
                            </a:moveTo>
                            <a:cubicBezTo>
                              <a:pt x="243" y="102"/>
                              <a:pt x="240" y="102"/>
                              <a:pt x="237" y="102"/>
                            </a:cubicBezTo>
                            <a:cubicBezTo>
                              <a:pt x="228" y="102"/>
                              <a:pt x="222" y="98"/>
                              <a:pt x="222" y="89"/>
                            </a:cubicBezTo>
                            <a:cubicBezTo>
                              <a:pt x="249" y="89"/>
                              <a:pt x="249" y="89"/>
                              <a:pt x="249" y="89"/>
                            </a:cubicBezTo>
                            <a:cubicBezTo>
                              <a:pt x="246" y="101"/>
                              <a:pt x="246" y="101"/>
                              <a:pt x="246" y="101"/>
                            </a:cubicBezTo>
                            <a:cubicBezTo>
                              <a:pt x="246" y="101"/>
                              <a:pt x="246" y="101"/>
                              <a:pt x="246" y="101"/>
                            </a:cubicBezTo>
                            <a:close/>
                            <a:moveTo>
                              <a:pt x="213" y="53"/>
                            </a:moveTo>
                            <a:cubicBezTo>
                              <a:pt x="213" y="65"/>
                              <a:pt x="213" y="65"/>
                              <a:pt x="213" y="65"/>
                            </a:cubicBezTo>
                            <a:cubicBezTo>
                              <a:pt x="209" y="71"/>
                              <a:pt x="206" y="77"/>
                              <a:pt x="205" y="82"/>
                            </a:cubicBezTo>
                            <a:cubicBezTo>
                              <a:pt x="204" y="83"/>
                              <a:pt x="204" y="85"/>
                              <a:pt x="204" y="87"/>
                            </a:cubicBezTo>
                            <a:cubicBezTo>
                              <a:pt x="195" y="87"/>
                              <a:pt x="195" y="87"/>
                              <a:pt x="195" y="87"/>
                            </a:cubicBezTo>
                            <a:cubicBezTo>
                              <a:pt x="203" y="52"/>
                              <a:pt x="203" y="52"/>
                              <a:pt x="203" y="52"/>
                            </a:cubicBezTo>
                            <a:cubicBezTo>
                              <a:pt x="178" y="52"/>
                              <a:pt x="178" y="52"/>
                              <a:pt x="178" y="52"/>
                            </a:cubicBezTo>
                            <a:cubicBezTo>
                              <a:pt x="156" y="87"/>
                              <a:pt x="156" y="87"/>
                              <a:pt x="156" y="87"/>
                            </a:cubicBezTo>
                            <a:cubicBezTo>
                              <a:pt x="154" y="87"/>
                              <a:pt x="154" y="87"/>
                              <a:pt x="154" y="87"/>
                            </a:cubicBezTo>
                            <a:cubicBezTo>
                              <a:pt x="154" y="2"/>
                              <a:pt x="154" y="2"/>
                              <a:pt x="154" y="2"/>
                            </a:cubicBezTo>
                            <a:cubicBezTo>
                              <a:pt x="213" y="2"/>
                              <a:pt x="213" y="2"/>
                              <a:pt x="213" y="2"/>
                            </a:cubicBezTo>
                            <a:cubicBezTo>
                              <a:pt x="213" y="53"/>
                              <a:pt x="213" y="53"/>
                              <a:pt x="213" y="53"/>
                            </a:cubicBezTo>
                            <a:cubicBezTo>
                              <a:pt x="213" y="53"/>
                              <a:pt x="213" y="53"/>
                              <a:pt x="213" y="53"/>
                            </a:cubicBezTo>
                            <a:close/>
                            <a:moveTo>
                              <a:pt x="180" y="87"/>
                            </a:moveTo>
                            <a:cubicBezTo>
                              <a:pt x="171" y="87"/>
                              <a:pt x="171" y="87"/>
                              <a:pt x="171" y="87"/>
                            </a:cubicBezTo>
                            <a:cubicBezTo>
                              <a:pt x="185" y="66"/>
                              <a:pt x="185" y="66"/>
                              <a:pt x="185" y="66"/>
                            </a:cubicBezTo>
                            <a:cubicBezTo>
                              <a:pt x="180" y="87"/>
                              <a:pt x="180" y="87"/>
                              <a:pt x="180" y="87"/>
                            </a:cubicBezTo>
                            <a:cubicBezTo>
                              <a:pt x="180" y="87"/>
                              <a:pt x="180" y="87"/>
                              <a:pt x="180" y="87"/>
                            </a:cubicBezTo>
                            <a:close/>
                            <a:moveTo>
                              <a:pt x="145" y="52"/>
                            </a:moveTo>
                            <a:cubicBezTo>
                              <a:pt x="130" y="52"/>
                              <a:pt x="130" y="52"/>
                              <a:pt x="130" y="52"/>
                            </a:cubicBezTo>
                            <a:cubicBezTo>
                              <a:pt x="120" y="87"/>
                              <a:pt x="120" y="87"/>
                              <a:pt x="120" y="87"/>
                            </a:cubicBezTo>
                            <a:cubicBezTo>
                              <a:pt x="104" y="87"/>
                              <a:pt x="104" y="87"/>
                              <a:pt x="104" y="87"/>
                            </a:cubicBezTo>
                            <a:cubicBezTo>
                              <a:pt x="112" y="84"/>
                              <a:pt x="117" y="78"/>
                              <a:pt x="119" y="70"/>
                            </a:cubicBezTo>
                            <a:cubicBezTo>
                              <a:pt x="120" y="64"/>
                              <a:pt x="119" y="59"/>
                              <a:pt x="117" y="56"/>
                            </a:cubicBezTo>
                            <a:cubicBezTo>
                              <a:pt x="113" y="51"/>
                              <a:pt x="105" y="52"/>
                              <a:pt x="98" y="52"/>
                            </a:cubicBezTo>
                            <a:cubicBezTo>
                              <a:pt x="97" y="52"/>
                              <a:pt x="86" y="52"/>
                              <a:pt x="86" y="52"/>
                            </a:cubicBezTo>
                            <a:cubicBezTo>
                              <a:pt x="86" y="2"/>
                              <a:pt x="86" y="2"/>
                              <a:pt x="86" y="2"/>
                            </a:cubicBezTo>
                            <a:cubicBezTo>
                              <a:pt x="145" y="2"/>
                              <a:pt x="145" y="2"/>
                              <a:pt x="145" y="2"/>
                            </a:cubicBezTo>
                            <a:cubicBezTo>
                              <a:pt x="145" y="52"/>
                              <a:pt x="145" y="52"/>
                              <a:pt x="145" y="52"/>
                            </a:cubicBezTo>
                            <a:cubicBezTo>
                              <a:pt x="145" y="52"/>
                              <a:pt x="145" y="52"/>
                              <a:pt x="145" y="52"/>
                            </a:cubicBezTo>
                            <a:close/>
                            <a:moveTo>
                              <a:pt x="135" y="87"/>
                            </a:moveTo>
                            <a:cubicBezTo>
                              <a:pt x="141" y="65"/>
                              <a:pt x="141" y="65"/>
                              <a:pt x="141" y="65"/>
                            </a:cubicBezTo>
                            <a:cubicBezTo>
                              <a:pt x="142" y="87"/>
                              <a:pt x="142" y="87"/>
                              <a:pt x="142" y="87"/>
                            </a:cubicBezTo>
                            <a:cubicBezTo>
                              <a:pt x="135" y="87"/>
                              <a:pt x="135" y="87"/>
                              <a:pt x="135" y="87"/>
                            </a:cubicBezTo>
                            <a:cubicBezTo>
                              <a:pt x="135" y="87"/>
                              <a:pt x="135" y="87"/>
                              <a:pt x="135" y="87"/>
                            </a:cubicBezTo>
                            <a:close/>
                            <a:moveTo>
                              <a:pt x="93" y="79"/>
                            </a:moveTo>
                            <a:cubicBezTo>
                              <a:pt x="93" y="79"/>
                              <a:pt x="93" y="79"/>
                              <a:pt x="93" y="79"/>
                            </a:cubicBezTo>
                            <a:cubicBezTo>
                              <a:pt x="92" y="79"/>
                              <a:pt x="91" y="79"/>
                              <a:pt x="91" y="79"/>
                            </a:cubicBezTo>
                            <a:cubicBezTo>
                              <a:pt x="90" y="79"/>
                              <a:pt x="89" y="79"/>
                              <a:pt x="89" y="79"/>
                            </a:cubicBezTo>
                            <a:cubicBezTo>
                              <a:pt x="85" y="79"/>
                              <a:pt x="85" y="79"/>
                              <a:pt x="85" y="79"/>
                            </a:cubicBezTo>
                            <a:cubicBezTo>
                              <a:pt x="87" y="72"/>
                              <a:pt x="87" y="72"/>
                              <a:pt x="87" y="72"/>
                            </a:cubicBezTo>
                            <a:cubicBezTo>
                              <a:pt x="87" y="69"/>
                              <a:pt x="87" y="69"/>
                              <a:pt x="87" y="69"/>
                            </a:cubicBezTo>
                            <a:cubicBezTo>
                              <a:pt x="89" y="62"/>
                              <a:pt x="89" y="62"/>
                              <a:pt x="89" y="62"/>
                            </a:cubicBezTo>
                            <a:cubicBezTo>
                              <a:pt x="90" y="62"/>
                              <a:pt x="91" y="62"/>
                              <a:pt x="92" y="62"/>
                            </a:cubicBezTo>
                            <a:cubicBezTo>
                              <a:pt x="95" y="62"/>
                              <a:pt x="95" y="62"/>
                              <a:pt x="95" y="62"/>
                            </a:cubicBezTo>
                            <a:cubicBezTo>
                              <a:pt x="100" y="62"/>
                              <a:pt x="103" y="62"/>
                              <a:pt x="104" y="63"/>
                            </a:cubicBezTo>
                            <a:cubicBezTo>
                              <a:pt x="105" y="65"/>
                              <a:pt x="105" y="67"/>
                              <a:pt x="104" y="70"/>
                            </a:cubicBezTo>
                            <a:cubicBezTo>
                              <a:pt x="102" y="75"/>
                              <a:pt x="100" y="78"/>
                              <a:pt x="93" y="79"/>
                            </a:cubicBezTo>
                            <a:moveTo>
                              <a:pt x="76" y="55"/>
                            </a:moveTo>
                            <a:cubicBezTo>
                              <a:pt x="75" y="58"/>
                              <a:pt x="75" y="58"/>
                              <a:pt x="75" y="58"/>
                            </a:cubicBezTo>
                            <a:cubicBezTo>
                              <a:pt x="67" y="86"/>
                              <a:pt x="67" y="86"/>
                              <a:pt x="67" y="86"/>
                            </a:cubicBezTo>
                            <a:cubicBezTo>
                              <a:pt x="67" y="87"/>
                              <a:pt x="67" y="87"/>
                              <a:pt x="67" y="87"/>
                            </a:cubicBezTo>
                            <a:cubicBezTo>
                              <a:pt x="39" y="87"/>
                              <a:pt x="39" y="87"/>
                              <a:pt x="39" y="87"/>
                            </a:cubicBezTo>
                            <a:cubicBezTo>
                              <a:pt x="37" y="82"/>
                              <a:pt x="37" y="82"/>
                              <a:pt x="37" y="82"/>
                            </a:cubicBezTo>
                            <a:cubicBezTo>
                              <a:pt x="67" y="52"/>
                              <a:pt x="67" y="52"/>
                              <a:pt x="67" y="52"/>
                            </a:cubicBezTo>
                            <a:cubicBezTo>
                              <a:pt x="48" y="52"/>
                              <a:pt x="48" y="52"/>
                              <a:pt x="48" y="52"/>
                            </a:cubicBezTo>
                            <a:cubicBezTo>
                              <a:pt x="25" y="77"/>
                              <a:pt x="25" y="77"/>
                              <a:pt x="25" y="77"/>
                            </a:cubicBezTo>
                            <a:cubicBezTo>
                              <a:pt x="32" y="52"/>
                              <a:pt x="32" y="52"/>
                              <a:pt x="32" y="52"/>
                            </a:cubicBezTo>
                            <a:cubicBezTo>
                              <a:pt x="18" y="52"/>
                              <a:pt x="18" y="52"/>
                              <a:pt x="18" y="52"/>
                            </a:cubicBezTo>
                            <a:cubicBezTo>
                              <a:pt x="18" y="2"/>
                              <a:pt x="18" y="2"/>
                              <a:pt x="18" y="2"/>
                            </a:cubicBezTo>
                            <a:cubicBezTo>
                              <a:pt x="76" y="2"/>
                              <a:pt x="76" y="2"/>
                              <a:pt x="76" y="2"/>
                            </a:cubicBezTo>
                            <a:cubicBezTo>
                              <a:pt x="76" y="55"/>
                              <a:pt x="76" y="55"/>
                              <a:pt x="76" y="55"/>
                            </a:cubicBezTo>
                            <a:cubicBezTo>
                              <a:pt x="76" y="55"/>
                              <a:pt x="76" y="55"/>
                              <a:pt x="76" y="55"/>
                            </a:cubicBezTo>
                            <a:close/>
                            <a:moveTo>
                              <a:pt x="22" y="87"/>
                            </a:moveTo>
                            <a:cubicBezTo>
                              <a:pt x="22" y="87"/>
                              <a:pt x="22" y="87"/>
                              <a:pt x="22" y="87"/>
                            </a:cubicBezTo>
                            <a:cubicBezTo>
                              <a:pt x="22" y="87"/>
                              <a:pt x="22" y="87"/>
                              <a:pt x="22" y="87"/>
                            </a:cubicBezTo>
                            <a:cubicBezTo>
                              <a:pt x="22" y="87"/>
                              <a:pt x="22" y="87"/>
                              <a:pt x="22" y="87"/>
                            </a:cubicBezTo>
                            <a:cubicBezTo>
                              <a:pt x="22" y="87"/>
                              <a:pt x="22" y="87"/>
                              <a:pt x="22" y="87"/>
                            </a:cubicBezTo>
                            <a:close/>
                            <a:moveTo>
                              <a:pt x="220" y="0"/>
                            </a:moveTo>
                            <a:cubicBezTo>
                              <a:pt x="220" y="57"/>
                              <a:pt x="220" y="57"/>
                              <a:pt x="220" y="57"/>
                            </a:cubicBezTo>
                            <a:cubicBezTo>
                              <a:pt x="218" y="59"/>
                              <a:pt x="216" y="60"/>
                              <a:pt x="215" y="62"/>
                            </a:cubicBezTo>
                            <a:cubicBezTo>
                              <a:pt x="215" y="0"/>
                              <a:pt x="215" y="0"/>
                              <a:pt x="215" y="0"/>
                            </a:cubicBezTo>
                            <a:cubicBezTo>
                              <a:pt x="152" y="0"/>
                              <a:pt x="152" y="0"/>
                              <a:pt x="152" y="0"/>
                            </a:cubicBezTo>
                            <a:cubicBezTo>
                              <a:pt x="152" y="52"/>
                              <a:pt x="152" y="52"/>
                              <a:pt x="152" y="52"/>
                            </a:cubicBezTo>
                            <a:cubicBezTo>
                              <a:pt x="147" y="52"/>
                              <a:pt x="147" y="52"/>
                              <a:pt x="147" y="52"/>
                            </a:cubicBezTo>
                            <a:cubicBezTo>
                              <a:pt x="147" y="0"/>
                              <a:pt x="147" y="0"/>
                              <a:pt x="147" y="0"/>
                            </a:cubicBezTo>
                            <a:cubicBezTo>
                              <a:pt x="84" y="0"/>
                              <a:pt x="84" y="0"/>
                              <a:pt x="84" y="0"/>
                            </a:cubicBezTo>
                            <a:cubicBezTo>
                              <a:pt x="84" y="52"/>
                              <a:pt x="84" y="52"/>
                              <a:pt x="84" y="52"/>
                            </a:cubicBezTo>
                            <a:cubicBezTo>
                              <a:pt x="79" y="52"/>
                              <a:pt x="79" y="52"/>
                              <a:pt x="79" y="52"/>
                            </a:cubicBezTo>
                            <a:cubicBezTo>
                              <a:pt x="79" y="0"/>
                              <a:pt x="79" y="0"/>
                              <a:pt x="79" y="0"/>
                            </a:cubicBezTo>
                            <a:cubicBezTo>
                              <a:pt x="16" y="0"/>
                              <a:pt x="16" y="0"/>
                              <a:pt x="16" y="0"/>
                            </a:cubicBezTo>
                            <a:cubicBezTo>
                              <a:pt x="16" y="59"/>
                              <a:pt x="16" y="59"/>
                              <a:pt x="16" y="59"/>
                            </a:cubicBezTo>
                            <a:cubicBezTo>
                              <a:pt x="0" y="113"/>
                              <a:pt x="0" y="113"/>
                              <a:pt x="0" y="113"/>
                            </a:cubicBezTo>
                            <a:cubicBezTo>
                              <a:pt x="14" y="113"/>
                              <a:pt x="14" y="113"/>
                              <a:pt x="14" y="113"/>
                            </a:cubicBezTo>
                            <a:cubicBezTo>
                              <a:pt x="21" y="89"/>
                              <a:pt x="21" y="89"/>
                              <a:pt x="21" y="89"/>
                            </a:cubicBezTo>
                            <a:cubicBezTo>
                              <a:pt x="23" y="89"/>
                              <a:pt x="23" y="89"/>
                              <a:pt x="23" y="89"/>
                            </a:cubicBezTo>
                            <a:cubicBezTo>
                              <a:pt x="35" y="113"/>
                              <a:pt x="35" y="113"/>
                              <a:pt x="35" y="113"/>
                            </a:cubicBezTo>
                            <a:cubicBezTo>
                              <a:pt x="52" y="113"/>
                              <a:pt x="52" y="113"/>
                              <a:pt x="52" y="113"/>
                            </a:cubicBezTo>
                            <a:cubicBezTo>
                              <a:pt x="40" y="89"/>
                              <a:pt x="40" y="89"/>
                              <a:pt x="40" y="89"/>
                            </a:cubicBezTo>
                            <a:cubicBezTo>
                              <a:pt x="66" y="89"/>
                              <a:pt x="66" y="89"/>
                              <a:pt x="66" y="89"/>
                            </a:cubicBezTo>
                            <a:cubicBezTo>
                              <a:pt x="59" y="113"/>
                              <a:pt x="59" y="113"/>
                              <a:pt x="59" y="113"/>
                            </a:cubicBezTo>
                            <a:cubicBezTo>
                              <a:pt x="74" y="113"/>
                              <a:pt x="74" y="113"/>
                              <a:pt x="74" y="113"/>
                            </a:cubicBezTo>
                            <a:cubicBezTo>
                              <a:pt x="81" y="89"/>
                              <a:pt x="81" y="89"/>
                              <a:pt x="81" y="89"/>
                            </a:cubicBezTo>
                            <a:cubicBezTo>
                              <a:pt x="85" y="89"/>
                              <a:pt x="85" y="89"/>
                              <a:pt x="85" y="89"/>
                            </a:cubicBezTo>
                            <a:cubicBezTo>
                              <a:pt x="85" y="89"/>
                              <a:pt x="85" y="89"/>
                              <a:pt x="85" y="89"/>
                            </a:cubicBezTo>
                            <a:cubicBezTo>
                              <a:pt x="90" y="89"/>
                              <a:pt x="90" y="89"/>
                              <a:pt x="90" y="89"/>
                            </a:cubicBezTo>
                            <a:cubicBezTo>
                              <a:pt x="90" y="89"/>
                              <a:pt x="90" y="89"/>
                              <a:pt x="90" y="89"/>
                            </a:cubicBezTo>
                            <a:cubicBezTo>
                              <a:pt x="119" y="89"/>
                              <a:pt x="119" y="89"/>
                              <a:pt x="119" y="89"/>
                            </a:cubicBezTo>
                            <a:cubicBezTo>
                              <a:pt x="112" y="113"/>
                              <a:pt x="112" y="113"/>
                              <a:pt x="112" y="113"/>
                            </a:cubicBezTo>
                            <a:cubicBezTo>
                              <a:pt x="128" y="113"/>
                              <a:pt x="128" y="113"/>
                              <a:pt x="128" y="113"/>
                            </a:cubicBezTo>
                            <a:cubicBezTo>
                              <a:pt x="135" y="89"/>
                              <a:pt x="135" y="89"/>
                              <a:pt x="135" y="89"/>
                            </a:cubicBezTo>
                            <a:cubicBezTo>
                              <a:pt x="142" y="89"/>
                              <a:pt x="142" y="89"/>
                              <a:pt x="142" y="89"/>
                            </a:cubicBezTo>
                            <a:cubicBezTo>
                              <a:pt x="142" y="113"/>
                              <a:pt x="142" y="113"/>
                              <a:pt x="142" y="113"/>
                            </a:cubicBezTo>
                            <a:cubicBezTo>
                              <a:pt x="155" y="113"/>
                              <a:pt x="155" y="113"/>
                              <a:pt x="155" y="113"/>
                            </a:cubicBezTo>
                            <a:cubicBezTo>
                              <a:pt x="170" y="89"/>
                              <a:pt x="170" y="89"/>
                              <a:pt x="170" y="89"/>
                            </a:cubicBezTo>
                            <a:cubicBezTo>
                              <a:pt x="180" y="89"/>
                              <a:pt x="180" y="89"/>
                              <a:pt x="180" y="89"/>
                            </a:cubicBezTo>
                            <a:cubicBezTo>
                              <a:pt x="175" y="113"/>
                              <a:pt x="175" y="113"/>
                              <a:pt x="175" y="113"/>
                            </a:cubicBezTo>
                            <a:cubicBezTo>
                              <a:pt x="190" y="113"/>
                              <a:pt x="190" y="113"/>
                              <a:pt x="190" y="113"/>
                            </a:cubicBezTo>
                            <a:cubicBezTo>
                              <a:pt x="195" y="89"/>
                              <a:pt x="195" y="89"/>
                              <a:pt x="195" y="89"/>
                            </a:cubicBezTo>
                            <a:cubicBezTo>
                              <a:pt x="204" y="89"/>
                              <a:pt x="204" y="89"/>
                              <a:pt x="204" y="89"/>
                            </a:cubicBezTo>
                            <a:cubicBezTo>
                              <a:pt x="203" y="96"/>
                              <a:pt x="205" y="103"/>
                              <a:pt x="210" y="108"/>
                            </a:cubicBezTo>
                            <a:cubicBezTo>
                              <a:pt x="216" y="113"/>
                              <a:pt x="225" y="114"/>
                              <a:pt x="232" y="114"/>
                            </a:cubicBezTo>
                            <a:cubicBezTo>
                              <a:pt x="241" y="114"/>
                              <a:pt x="251" y="113"/>
                              <a:pt x="260" y="111"/>
                            </a:cubicBezTo>
                            <a:cubicBezTo>
                              <a:pt x="266" y="89"/>
                              <a:pt x="266" y="89"/>
                              <a:pt x="266" y="89"/>
                            </a:cubicBezTo>
                            <a:cubicBezTo>
                              <a:pt x="283" y="89"/>
                              <a:pt x="283" y="89"/>
                              <a:pt x="283" y="89"/>
                            </a:cubicBezTo>
                            <a:cubicBezTo>
                              <a:pt x="283" y="0"/>
                              <a:pt x="283" y="0"/>
                              <a:pt x="283" y="0"/>
                            </a:cubicBezTo>
                            <a:cubicBezTo>
                              <a:pt x="220" y="0"/>
                              <a:pt x="220" y="0"/>
                              <a:pt x="220" y="0"/>
                            </a:cubicBezTo>
                            <a:cubicBezTo>
                              <a:pt x="220" y="0"/>
                              <a:pt x="220" y="0"/>
                              <a:pt x="220" y="0"/>
                            </a:cubicBezTo>
                            <a:close/>
                          </a:path>
                        </a:pathLst>
                      </a:custGeom>
                      <a:solidFill>
                        <a:schemeClr val="bg1"/>
                      </a:solidFill>
                      <a:ln>
                        <a:noFill/>
                      </a:ln>
                    </wps:spPr>
                    <wps:bodyPr/>
                  </wps:wsp>
                </a:graphicData>
              </a:graphic>
            </wp:anchor>
          </w:drawing>
        </mc:Choice>
        <mc:Fallback>
          <w:pict>
            <v:shape w14:anchorId="2763839F" id="Freeform: Shape 11" o:spid="_x0000_s1026" alt="KPMG logo" style="position:absolute;margin-left:-4.9pt;margin-top:34.3pt;width:85.9pt;height:34.85pt;z-index:251658243;visibility:visible;mso-wrap-style:square;mso-wrap-distance-left:9pt;mso-wrap-distance-top:0;mso-wrap-distance-right:9pt;mso-wrap-distance-bottom:0;mso-position-horizontal:absolute;mso-position-horizontal-relative:text;mso-position-vertical:absolute;mso-position-vertical-relative:text;v-text-anchor:top" coordsize="28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" path="m281,87v-15,,-15,,-15,c269,77,269,77,269,77v-30,,-30,,-30,c237,87,237,87,237,87v-15,,-15,,-15,c222,85,222,85,222,85v1,-1,1,-2,1,-4c226,71,233,60,244,60v5,,10,2,9,9c271,69,271,69,271,69v1,-3,2,-8,-2,-13c266,51,258,48,248,48v-7,,-17,2,-26,7c222,2,222,2,222,2v59,,59,,59,c281,87,281,87,281,87v,,,,,xm246,101v-3,1,-6,1,-9,1c228,102,222,98,222,89v27,,27,,27,c246,101,246,101,246,101v,,,,,xm213,53v,12,,12,,12c209,71,206,77,205,82v-1,1,-1,3,-1,5c195,87,195,87,195,87v8,-35,8,-35,8,-35c178,52,178,52,178,52,156,87,156,87,156,87v-2,,-2,,-2,c154,2,154,2,154,2v59,,59,,59,c213,53,213,53,213,53v,,,,,xm180,87v-9,,-9,,-9,c185,66,185,66,185,66v-5,21,-5,21,-5,21c180,87,180,87,180,87xm145,52v-15,,-15,,-15,c120,87,120,87,120,87v-16,,-16,,-16,c112,84,117,78,119,70v1,-6,,-11,-2,-14c113,51,105,52,98,52v-1,,-12,,-12,c86,2,86,2,86,2v59,,59,,59,c145,52,145,52,145,52v,,,,,xm135,87v6,-22,6,-22,6,-22c142,87,142,87,142,87v-7,,-7,,-7,c135,87,135,87,135,87xm93,79v,,,,,c92,79,91,79,91,79v-1,,-2,,-2,c85,79,85,79,85,79v2,-7,2,-7,2,-7c87,69,87,69,87,69v2,-7,2,-7,2,-7c90,62,91,62,92,62v3,,3,,3,c100,62,103,62,104,63v1,2,1,4,,7c102,75,100,78,93,79m76,55v-1,3,-1,3,-1,3c67,86,67,86,67,86v,1,,1,,1c39,87,39,87,39,87,37,82,37,82,37,82,67,52,67,52,67,52v-19,,-19,,-19,c25,77,25,77,25,77,32,52,32,52,32,52v-14,,-14,,-14,c18,2,18,2,18,2v58,,58,,58,c76,55,76,55,76,55v,,,,,xm22,87v,,,,,c22,87,22,87,22,87v,,,,,c22,87,22,87,22,87xm220,v,57,,57,,57c218,59,216,60,215,62,215,,215,,215,,152,,152,,152,v,52,,52,,52c147,52,147,52,147,52,147,,147,,147,,84,,84,,84,v,52,,52,,52c79,52,79,52,79,52,79,,79,,79,,16,,16,,16,v,59,,59,,59c,113,,113,,113v14,,14,,14,c21,89,21,89,21,89v2,,2,,2,c35,113,35,113,35,113v17,,17,,17,c40,89,40,89,40,89v26,,26,,26,c59,113,59,113,59,113v15,,15,,15,c81,89,81,89,81,89v4,,4,,4,c85,89,85,89,85,89v5,,5,,5,c90,89,90,89,90,89v29,,29,,29,c112,113,112,113,112,113v16,,16,,16,c135,89,135,89,135,89v7,,7,,7,c142,113,142,113,142,113v13,,13,,13,c170,89,170,89,170,89v10,,10,,10,c175,113,175,113,175,113v15,,15,,15,c195,89,195,89,195,89v9,,9,,9,c203,96,205,103,210,108v6,5,15,6,22,6c241,114,251,113,260,111v6,-22,6,-22,6,-22c283,89,283,89,283,89,283,,283,,283,,220,,220,,220,v,,,,,xe" fillcolor="white [321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
              <o:lock v:ext="edit" verticies="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6E68D" w14:textId="194B6ABF" w:rsidR="009B6C5D" w:rsidRDefault="00C51721">
    <w:r w:rsidRPr="0034678F">
      <w:rPr>
        <w:noProof/>
      </w:rPr>
      <mc:AlternateContent>
        <mc:Choice Requires="wps">
          <w:drawing>
            <wp:anchor distT="0" distB="0" distL="114300" distR="114300" simplePos="0" relativeHeight="251658242" behindDoc="0" locked="0" layoutInCell="1" allowOverlap="1" wp14:anchorId="02773B4F" wp14:editId="7D4AD42F">
              <wp:simplePos x="0" y="0"/>
              <wp:positionH relativeFrom="column">
                <wp:posOffset>-457200</wp:posOffset>
              </wp:positionH>
              <wp:positionV relativeFrom="paragraph">
                <wp:posOffset>79375</wp:posOffset>
              </wp:positionV>
              <wp:extent cx="1090930" cy="442595"/>
              <wp:effectExtent l="0" t="0" r="0" b="0"/>
              <wp:wrapNone/>
              <wp:docPr id="19" name="Freeform: Shape 19" descr="KPMG logo">
                <a:extLst xmlns:a="http://schemas.openxmlformats.org/drawingml/2006/main">
                  <a:ext uri="{FF2B5EF4-FFF2-40B4-BE49-F238E27FC236}">
                    <a16:creationId xmlns:a16="http://schemas.microsoft.com/office/drawing/2014/main" id="{3F8C9DB5-57D0-45CB-8C79-1C504EF11A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90930" cy="442595"/>
                      </a:xfrm>
                      <a:custGeom>
                        <a:avLst/>
                        <a:gdLst>
                          <a:gd name="T0" fmla="*/ 2147483646 w 283"/>
                          <a:gd name="T1" fmla="*/ 2147483646 h 114"/>
                          <a:gd name="T2" fmla="*/ 2147483646 w 283"/>
                          <a:gd name="T3" fmla="*/ 2147483646 h 114"/>
                          <a:gd name="T4" fmla="*/ 2147483646 w 283"/>
                          <a:gd name="T5" fmla="*/ 2147483646 h 114"/>
                          <a:gd name="T6" fmla="*/ 2147483646 w 283"/>
                          <a:gd name="T7" fmla="*/ 2147483646 h 114"/>
                          <a:gd name="T8" fmla="*/ 2147483646 w 283"/>
                          <a:gd name="T9" fmla="*/ 2147483646 h 114"/>
                          <a:gd name="T10" fmla="*/ 2147483646 w 283"/>
                          <a:gd name="T11" fmla="*/ 2147483646 h 114"/>
                          <a:gd name="T12" fmla="*/ 2147483646 w 283"/>
                          <a:gd name="T13" fmla="*/ 2147483646 h 114"/>
                          <a:gd name="T14" fmla="*/ 2147483646 w 283"/>
                          <a:gd name="T15" fmla="*/ 2147483646 h 114"/>
                          <a:gd name="T16" fmla="*/ 2147483646 w 283"/>
                          <a:gd name="T17" fmla="*/ 2147483646 h 114"/>
                          <a:gd name="T18" fmla="*/ 2147483646 w 283"/>
                          <a:gd name="T19" fmla="*/ 2147483646 h 114"/>
                          <a:gd name="T20" fmla="*/ 2147483646 w 283"/>
                          <a:gd name="T21" fmla="*/ 2147483646 h 114"/>
                          <a:gd name="T22" fmla="*/ 2147483646 w 283"/>
                          <a:gd name="T23" fmla="*/ 2147483646 h 114"/>
                          <a:gd name="T24" fmla="*/ 2147483646 w 283"/>
                          <a:gd name="T25" fmla="*/ 2147483646 h 114"/>
                          <a:gd name="T26" fmla="*/ 2147483646 w 283"/>
                          <a:gd name="T27" fmla="*/ 2147483646 h 114"/>
                          <a:gd name="T28" fmla="*/ 2147483646 w 283"/>
                          <a:gd name="T29" fmla="*/ 2147483646 h 114"/>
                          <a:gd name="T30" fmla="*/ 2147483646 w 283"/>
                          <a:gd name="T31" fmla="*/ 2147483646 h 114"/>
                          <a:gd name="T32" fmla="*/ 2147483646 w 283"/>
                          <a:gd name="T33" fmla="*/ 2147483646 h 114"/>
                          <a:gd name="T34" fmla="*/ 2147483646 w 283"/>
                          <a:gd name="T35" fmla="*/ 2147483646 h 114"/>
                          <a:gd name="T36" fmla="*/ 2147483646 w 283"/>
                          <a:gd name="T37" fmla="*/ 2147483646 h 114"/>
                          <a:gd name="T38" fmla="*/ 2147483646 w 283"/>
                          <a:gd name="T39" fmla="*/ 2147483646 h 114"/>
                          <a:gd name="T40" fmla="*/ 2147483646 w 283"/>
                          <a:gd name="T41" fmla="*/ 2147483646 h 114"/>
                          <a:gd name="T42" fmla="*/ 2147483646 w 283"/>
                          <a:gd name="T43" fmla="*/ 2147483646 h 114"/>
                          <a:gd name="T44" fmla="*/ 2147483646 w 283"/>
                          <a:gd name="T45" fmla="*/ 2147483646 h 114"/>
                          <a:gd name="T46" fmla="*/ 2147483646 w 283"/>
                          <a:gd name="T47" fmla="*/ 2147483646 h 114"/>
                          <a:gd name="T48" fmla="*/ 2147483646 w 283"/>
                          <a:gd name="T49" fmla="*/ 2147483646 h 114"/>
                          <a:gd name="T50" fmla="*/ 2147483646 w 283"/>
                          <a:gd name="T51" fmla="*/ 2147483646 h 114"/>
                          <a:gd name="T52" fmla="*/ 2147483646 w 283"/>
                          <a:gd name="T53" fmla="*/ 2147483646 h 114"/>
                          <a:gd name="T54" fmla="*/ 2147483646 w 283"/>
                          <a:gd name="T55" fmla="*/ 2147483646 h 114"/>
                          <a:gd name="T56" fmla="*/ 2147483646 w 283"/>
                          <a:gd name="T57" fmla="*/ 2147483646 h 114"/>
                          <a:gd name="T58" fmla="*/ 2147483646 w 283"/>
                          <a:gd name="T59" fmla="*/ 2147483646 h 114"/>
                          <a:gd name="T60" fmla="*/ 2147483646 w 283"/>
                          <a:gd name="T61" fmla="*/ 0 h 114"/>
                          <a:gd name="T62" fmla="*/ 2147483646 w 283"/>
                          <a:gd name="T63" fmla="*/ 0 h 114"/>
                          <a:gd name="T64" fmla="*/ 2147483646 w 283"/>
                          <a:gd name="T65" fmla="*/ 2147483646 h 114"/>
                          <a:gd name="T66" fmla="*/ 2147483646 w 283"/>
                          <a:gd name="T67" fmla="*/ 2147483646 h 114"/>
                          <a:gd name="T68" fmla="*/ 2147483646 w 283"/>
                          <a:gd name="T69" fmla="*/ 0 h 114"/>
                          <a:gd name="T70" fmla="*/ 2147483646 w 283"/>
                          <a:gd name="T71" fmla="*/ 2147483646 h 114"/>
                          <a:gd name="T72" fmla="*/ 2147483646 w 283"/>
                          <a:gd name="T73" fmla="*/ 2147483646 h 114"/>
                          <a:gd name="T74" fmla="*/ 2147483646 w 283"/>
                          <a:gd name="T75" fmla="*/ 2147483646 h 114"/>
                          <a:gd name="T76" fmla="*/ 2147483646 w 283"/>
                          <a:gd name="T77" fmla="*/ 2147483646 h 114"/>
                          <a:gd name="T78" fmla="*/ 2147483646 w 283"/>
                          <a:gd name="T79" fmla="*/ 2147483646 h 114"/>
                          <a:gd name="T80" fmla="*/ 2147483646 w 283"/>
                          <a:gd name="T81" fmla="*/ 2147483646 h 114"/>
                          <a:gd name="T82" fmla="*/ 2147483646 w 283"/>
                          <a:gd name="T83" fmla="*/ 2147483646 h 114"/>
                          <a:gd name="T84" fmla="*/ 2147483646 w 283"/>
                          <a:gd name="T85" fmla="*/ 2147483646 h 114"/>
                          <a:gd name="T86" fmla="*/ 2147483646 w 283"/>
                          <a:gd name="T87" fmla="*/ 2147483646 h 114"/>
                          <a:gd name="T88" fmla="*/ 2147483646 w 283"/>
                          <a:gd name="T89" fmla="*/ 2147483646 h 114"/>
                          <a:gd name="T90" fmla="*/ 2147483646 w 283"/>
                          <a:gd name="T91" fmla="*/ 2147483646 h 114"/>
                          <a:gd name="T92" fmla="*/ 2147483646 w 283"/>
                          <a:gd name="T93" fmla="*/ 0 h 11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83" h="114">
                            <a:moveTo>
                              <a:pt x="281" y="87"/>
                            </a:moveTo>
                            <a:cubicBezTo>
                              <a:pt x="266" y="87"/>
                              <a:pt x="266" y="87"/>
                              <a:pt x="266" y="87"/>
                            </a:cubicBezTo>
                            <a:cubicBezTo>
                              <a:pt x="269" y="77"/>
                              <a:pt x="269" y="77"/>
                              <a:pt x="269" y="77"/>
                            </a:cubicBezTo>
                            <a:cubicBezTo>
                              <a:pt x="239" y="77"/>
                              <a:pt x="239" y="77"/>
                              <a:pt x="239" y="77"/>
                            </a:cubicBezTo>
                            <a:cubicBezTo>
                              <a:pt x="237" y="87"/>
                              <a:pt x="237" y="87"/>
                              <a:pt x="237" y="87"/>
                            </a:cubicBezTo>
                            <a:cubicBezTo>
                              <a:pt x="222" y="87"/>
                              <a:pt x="222" y="87"/>
                              <a:pt x="222" y="87"/>
                            </a:cubicBezTo>
                            <a:cubicBezTo>
                              <a:pt x="222" y="85"/>
                              <a:pt x="222" y="85"/>
                              <a:pt x="222" y="85"/>
                            </a:cubicBezTo>
                            <a:cubicBezTo>
                              <a:pt x="223" y="84"/>
                              <a:pt x="223" y="83"/>
                              <a:pt x="223" y="81"/>
                            </a:cubicBezTo>
                            <a:cubicBezTo>
                              <a:pt x="226" y="71"/>
                              <a:pt x="233" y="60"/>
                              <a:pt x="244" y="60"/>
                            </a:cubicBezTo>
                            <a:cubicBezTo>
                              <a:pt x="249" y="60"/>
                              <a:pt x="254" y="62"/>
                              <a:pt x="253" y="69"/>
                            </a:cubicBezTo>
                            <a:cubicBezTo>
                              <a:pt x="271" y="69"/>
                              <a:pt x="271" y="69"/>
                              <a:pt x="271" y="69"/>
                            </a:cubicBezTo>
                            <a:cubicBezTo>
                              <a:pt x="272" y="66"/>
                              <a:pt x="273" y="61"/>
                              <a:pt x="269" y="56"/>
                            </a:cubicBezTo>
                            <a:cubicBezTo>
                              <a:pt x="266" y="51"/>
                              <a:pt x="258" y="48"/>
                              <a:pt x="248" y="48"/>
                            </a:cubicBezTo>
                            <a:cubicBezTo>
                              <a:pt x="241" y="48"/>
                              <a:pt x="231" y="50"/>
                              <a:pt x="222" y="55"/>
                            </a:cubicBezTo>
                            <a:cubicBezTo>
                              <a:pt x="222" y="2"/>
                              <a:pt x="222" y="2"/>
                              <a:pt x="222" y="2"/>
                            </a:cubicBezTo>
                            <a:cubicBezTo>
                              <a:pt x="281" y="2"/>
                              <a:pt x="281" y="2"/>
                              <a:pt x="281" y="2"/>
                            </a:cubicBezTo>
                            <a:cubicBezTo>
                              <a:pt x="281" y="87"/>
                              <a:pt x="281" y="87"/>
                              <a:pt x="281" y="87"/>
                            </a:cubicBezTo>
                            <a:cubicBezTo>
                              <a:pt x="281" y="87"/>
                              <a:pt x="281" y="87"/>
                              <a:pt x="281" y="87"/>
                            </a:cubicBezTo>
                            <a:close/>
                            <a:moveTo>
                              <a:pt x="246" y="101"/>
                            </a:moveTo>
                            <a:cubicBezTo>
                              <a:pt x="243" y="102"/>
                              <a:pt x="240" y="102"/>
                              <a:pt x="237" y="102"/>
                            </a:cubicBezTo>
                            <a:cubicBezTo>
                              <a:pt x="228" y="102"/>
                              <a:pt x="222" y="98"/>
                              <a:pt x="222" y="89"/>
                            </a:cubicBezTo>
                            <a:cubicBezTo>
                              <a:pt x="249" y="89"/>
                              <a:pt x="249" y="89"/>
                              <a:pt x="249" y="89"/>
                            </a:cubicBezTo>
                            <a:cubicBezTo>
                              <a:pt x="246" y="101"/>
                              <a:pt x="246" y="101"/>
                              <a:pt x="246" y="101"/>
                            </a:cubicBezTo>
                            <a:cubicBezTo>
                              <a:pt x="246" y="101"/>
                              <a:pt x="246" y="101"/>
                              <a:pt x="246" y="101"/>
                            </a:cubicBezTo>
                            <a:close/>
                            <a:moveTo>
                              <a:pt x="213" y="53"/>
                            </a:moveTo>
                            <a:cubicBezTo>
                              <a:pt x="213" y="65"/>
                              <a:pt x="213" y="65"/>
                              <a:pt x="213" y="65"/>
                            </a:cubicBezTo>
                            <a:cubicBezTo>
                              <a:pt x="209" y="71"/>
                              <a:pt x="206" y="77"/>
                              <a:pt x="205" y="82"/>
                            </a:cubicBezTo>
                            <a:cubicBezTo>
                              <a:pt x="204" y="83"/>
                              <a:pt x="204" y="85"/>
                              <a:pt x="204" y="87"/>
                            </a:cubicBezTo>
                            <a:cubicBezTo>
                              <a:pt x="195" y="87"/>
                              <a:pt x="195" y="87"/>
                              <a:pt x="195" y="87"/>
                            </a:cubicBezTo>
                            <a:cubicBezTo>
                              <a:pt x="203" y="52"/>
                              <a:pt x="203" y="52"/>
                              <a:pt x="203" y="52"/>
                            </a:cubicBezTo>
                            <a:cubicBezTo>
                              <a:pt x="178" y="52"/>
                              <a:pt x="178" y="52"/>
                              <a:pt x="178" y="52"/>
                            </a:cubicBezTo>
                            <a:cubicBezTo>
                              <a:pt x="156" y="87"/>
                              <a:pt x="156" y="87"/>
                              <a:pt x="156" y="87"/>
                            </a:cubicBezTo>
                            <a:cubicBezTo>
                              <a:pt x="154" y="87"/>
                              <a:pt x="154" y="87"/>
                              <a:pt x="154" y="87"/>
                            </a:cubicBezTo>
                            <a:cubicBezTo>
                              <a:pt x="154" y="2"/>
                              <a:pt x="154" y="2"/>
                              <a:pt x="154" y="2"/>
                            </a:cubicBezTo>
                            <a:cubicBezTo>
                              <a:pt x="213" y="2"/>
                              <a:pt x="213" y="2"/>
                              <a:pt x="213" y="2"/>
                            </a:cubicBezTo>
                            <a:cubicBezTo>
                              <a:pt x="213" y="53"/>
                              <a:pt x="213" y="53"/>
                              <a:pt x="213" y="53"/>
                            </a:cubicBezTo>
                            <a:cubicBezTo>
                              <a:pt x="213" y="53"/>
                              <a:pt x="213" y="53"/>
                              <a:pt x="213" y="53"/>
                            </a:cubicBezTo>
                            <a:close/>
                            <a:moveTo>
                              <a:pt x="180" y="87"/>
                            </a:moveTo>
                            <a:cubicBezTo>
                              <a:pt x="171" y="87"/>
                              <a:pt x="171" y="87"/>
                              <a:pt x="171" y="87"/>
                            </a:cubicBezTo>
                            <a:cubicBezTo>
                              <a:pt x="185" y="66"/>
                              <a:pt x="185" y="66"/>
                              <a:pt x="185" y="66"/>
                            </a:cubicBezTo>
                            <a:cubicBezTo>
                              <a:pt x="180" y="87"/>
                              <a:pt x="180" y="87"/>
                              <a:pt x="180" y="87"/>
                            </a:cubicBezTo>
                            <a:cubicBezTo>
                              <a:pt x="180" y="87"/>
                              <a:pt x="180" y="87"/>
                              <a:pt x="180" y="87"/>
                            </a:cubicBezTo>
                            <a:close/>
                            <a:moveTo>
                              <a:pt x="145" y="52"/>
                            </a:moveTo>
                            <a:cubicBezTo>
                              <a:pt x="130" y="52"/>
                              <a:pt x="130" y="52"/>
                              <a:pt x="130" y="52"/>
                            </a:cubicBezTo>
                            <a:cubicBezTo>
                              <a:pt x="120" y="87"/>
                              <a:pt x="120" y="87"/>
                              <a:pt x="120" y="87"/>
                            </a:cubicBezTo>
                            <a:cubicBezTo>
                              <a:pt x="104" y="87"/>
                              <a:pt x="104" y="87"/>
                              <a:pt x="104" y="87"/>
                            </a:cubicBezTo>
                            <a:cubicBezTo>
                              <a:pt x="112" y="84"/>
                              <a:pt x="117" y="78"/>
                              <a:pt x="119" y="70"/>
                            </a:cubicBezTo>
                            <a:cubicBezTo>
                              <a:pt x="120" y="64"/>
                              <a:pt x="119" y="59"/>
                              <a:pt x="117" y="56"/>
                            </a:cubicBezTo>
                            <a:cubicBezTo>
                              <a:pt x="113" y="51"/>
                              <a:pt x="105" y="52"/>
                              <a:pt x="98" y="52"/>
                            </a:cubicBezTo>
                            <a:cubicBezTo>
                              <a:pt x="97" y="52"/>
                              <a:pt x="86" y="52"/>
                              <a:pt x="86" y="52"/>
                            </a:cubicBezTo>
                            <a:cubicBezTo>
                              <a:pt x="86" y="2"/>
                              <a:pt x="86" y="2"/>
                              <a:pt x="86" y="2"/>
                            </a:cubicBezTo>
                            <a:cubicBezTo>
                              <a:pt x="145" y="2"/>
                              <a:pt x="145" y="2"/>
                              <a:pt x="145" y="2"/>
                            </a:cubicBezTo>
                            <a:cubicBezTo>
                              <a:pt x="145" y="52"/>
                              <a:pt x="145" y="52"/>
                              <a:pt x="145" y="52"/>
                            </a:cubicBezTo>
                            <a:cubicBezTo>
                              <a:pt x="145" y="52"/>
                              <a:pt x="145" y="52"/>
                              <a:pt x="145" y="52"/>
                            </a:cubicBezTo>
                            <a:close/>
                            <a:moveTo>
                              <a:pt x="135" y="87"/>
                            </a:moveTo>
                            <a:cubicBezTo>
                              <a:pt x="141" y="65"/>
                              <a:pt x="141" y="65"/>
                              <a:pt x="141" y="65"/>
                            </a:cubicBezTo>
                            <a:cubicBezTo>
                              <a:pt x="142" y="87"/>
                              <a:pt x="142" y="87"/>
                              <a:pt x="142" y="87"/>
                            </a:cubicBezTo>
                            <a:cubicBezTo>
                              <a:pt x="135" y="87"/>
                              <a:pt x="135" y="87"/>
                              <a:pt x="135" y="87"/>
                            </a:cubicBezTo>
                            <a:cubicBezTo>
                              <a:pt x="135" y="87"/>
                              <a:pt x="135" y="87"/>
                              <a:pt x="135" y="87"/>
                            </a:cubicBezTo>
                            <a:close/>
                            <a:moveTo>
                              <a:pt x="93" y="79"/>
                            </a:moveTo>
                            <a:cubicBezTo>
                              <a:pt x="93" y="79"/>
                              <a:pt x="93" y="79"/>
                              <a:pt x="93" y="79"/>
                            </a:cubicBezTo>
                            <a:cubicBezTo>
                              <a:pt x="92" y="79"/>
                              <a:pt x="91" y="79"/>
                              <a:pt x="91" y="79"/>
                            </a:cubicBezTo>
                            <a:cubicBezTo>
                              <a:pt x="90" y="79"/>
                              <a:pt x="89" y="79"/>
                              <a:pt x="89" y="79"/>
                            </a:cubicBezTo>
                            <a:cubicBezTo>
                              <a:pt x="85" y="79"/>
                              <a:pt x="85" y="79"/>
                              <a:pt x="85" y="79"/>
                            </a:cubicBezTo>
                            <a:cubicBezTo>
                              <a:pt x="87" y="72"/>
                              <a:pt x="87" y="72"/>
                              <a:pt x="87" y="72"/>
                            </a:cubicBezTo>
                            <a:cubicBezTo>
                              <a:pt x="87" y="69"/>
                              <a:pt x="87" y="69"/>
                              <a:pt x="87" y="69"/>
                            </a:cubicBezTo>
                            <a:cubicBezTo>
                              <a:pt x="89" y="62"/>
                              <a:pt x="89" y="62"/>
                              <a:pt x="89" y="62"/>
                            </a:cubicBezTo>
                            <a:cubicBezTo>
                              <a:pt x="90" y="62"/>
                              <a:pt x="91" y="62"/>
                              <a:pt x="92" y="62"/>
                            </a:cubicBezTo>
                            <a:cubicBezTo>
                              <a:pt x="95" y="62"/>
                              <a:pt x="95" y="62"/>
                              <a:pt x="95" y="62"/>
                            </a:cubicBezTo>
                            <a:cubicBezTo>
                              <a:pt x="100" y="62"/>
                              <a:pt x="103" y="62"/>
                              <a:pt x="104" y="63"/>
                            </a:cubicBezTo>
                            <a:cubicBezTo>
                              <a:pt x="105" y="65"/>
                              <a:pt x="105" y="67"/>
                              <a:pt x="104" y="70"/>
                            </a:cubicBezTo>
                            <a:cubicBezTo>
                              <a:pt x="102" y="75"/>
                              <a:pt x="100" y="78"/>
                              <a:pt x="93" y="79"/>
                            </a:cubicBezTo>
                            <a:moveTo>
                              <a:pt x="76" y="55"/>
                            </a:moveTo>
                            <a:cubicBezTo>
                              <a:pt x="75" y="58"/>
                              <a:pt x="75" y="58"/>
                              <a:pt x="75" y="58"/>
                            </a:cubicBezTo>
                            <a:cubicBezTo>
                              <a:pt x="67" y="86"/>
                              <a:pt x="67" y="86"/>
                              <a:pt x="67" y="86"/>
                            </a:cubicBezTo>
                            <a:cubicBezTo>
                              <a:pt x="67" y="87"/>
                              <a:pt x="67" y="87"/>
                              <a:pt x="67" y="87"/>
                            </a:cubicBezTo>
                            <a:cubicBezTo>
                              <a:pt x="39" y="87"/>
                              <a:pt x="39" y="87"/>
                              <a:pt x="39" y="87"/>
                            </a:cubicBezTo>
                            <a:cubicBezTo>
                              <a:pt x="37" y="82"/>
                              <a:pt x="37" y="82"/>
                              <a:pt x="37" y="82"/>
                            </a:cubicBezTo>
                            <a:cubicBezTo>
                              <a:pt x="67" y="52"/>
                              <a:pt x="67" y="52"/>
                              <a:pt x="67" y="52"/>
                            </a:cubicBezTo>
                            <a:cubicBezTo>
                              <a:pt x="48" y="52"/>
                              <a:pt x="48" y="52"/>
                              <a:pt x="48" y="52"/>
                            </a:cubicBezTo>
                            <a:cubicBezTo>
                              <a:pt x="25" y="77"/>
                              <a:pt x="25" y="77"/>
                              <a:pt x="25" y="77"/>
                            </a:cubicBezTo>
                            <a:cubicBezTo>
                              <a:pt x="32" y="52"/>
                              <a:pt x="32" y="52"/>
                              <a:pt x="32" y="52"/>
                            </a:cubicBezTo>
                            <a:cubicBezTo>
                              <a:pt x="18" y="52"/>
                              <a:pt x="18" y="52"/>
                              <a:pt x="18" y="52"/>
                            </a:cubicBezTo>
                            <a:cubicBezTo>
                              <a:pt x="18" y="2"/>
                              <a:pt x="18" y="2"/>
                              <a:pt x="18" y="2"/>
                            </a:cubicBezTo>
                            <a:cubicBezTo>
                              <a:pt x="76" y="2"/>
                              <a:pt x="76" y="2"/>
                              <a:pt x="76" y="2"/>
                            </a:cubicBezTo>
                            <a:cubicBezTo>
                              <a:pt x="76" y="55"/>
                              <a:pt x="76" y="55"/>
                              <a:pt x="76" y="55"/>
                            </a:cubicBezTo>
                            <a:cubicBezTo>
                              <a:pt x="76" y="55"/>
                              <a:pt x="76" y="55"/>
                              <a:pt x="76" y="55"/>
                            </a:cubicBezTo>
                            <a:close/>
                            <a:moveTo>
                              <a:pt x="22" y="87"/>
                            </a:moveTo>
                            <a:cubicBezTo>
                              <a:pt x="22" y="87"/>
                              <a:pt x="22" y="87"/>
                              <a:pt x="22" y="87"/>
                            </a:cubicBezTo>
                            <a:cubicBezTo>
                              <a:pt x="22" y="87"/>
                              <a:pt x="22" y="87"/>
                              <a:pt x="22" y="87"/>
                            </a:cubicBezTo>
                            <a:cubicBezTo>
                              <a:pt x="22" y="87"/>
                              <a:pt x="22" y="87"/>
                              <a:pt x="22" y="87"/>
                            </a:cubicBezTo>
                            <a:cubicBezTo>
                              <a:pt x="22" y="87"/>
                              <a:pt x="22" y="87"/>
                              <a:pt x="22" y="87"/>
                            </a:cubicBezTo>
                            <a:close/>
                            <a:moveTo>
                              <a:pt x="220" y="0"/>
                            </a:moveTo>
                            <a:cubicBezTo>
                              <a:pt x="220" y="57"/>
                              <a:pt x="220" y="57"/>
                              <a:pt x="220" y="57"/>
                            </a:cubicBezTo>
                            <a:cubicBezTo>
                              <a:pt x="218" y="59"/>
                              <a:pt x="216" y="60"/>
                              <a:pt x="215" y="62"/>
                            </a:cubicBezTo>
                            <a:cubicBezTo>
                              <a:pt x="215" y="0"/>
                              <a:pt x="215" y="0"/>
                              <a:pt x="215" y="0"/>
                            </a:cubicBezTo>
                            <a:cubicBezTo>
                              <a:pt x="152" y="0"/>
                              <a:pt x="152" y="0"/>
                              <a:pt x="152" y="0"/>
                            </a:cubicBezTo>
                            <a:cubicBezTo>
                              <a:pt x="152" y="52"/>
                              <a:pt x="152" y="52"/>
                              <a:pt x="152" y="52"/>
                            </a:cubicBezTo>
                            <a:cubicBezTo>
                              <a:pt x="147" y="52"/>
                              <a:pt x="147" y="52"/>
                              <a:pt x="147" y="52"/>
                            </a:cubicBezTo>
                            <a:cubicBezTo>
                              <a:pt x="147" y="0"/>
                              <a:pt x="147" y="0"/>
                              <a:pt x="147" y="0"/>
                            </a:cubicBezTo>
                            <a:cubicBezTo>
                              <a:pt x="84" y="0"/>
                              <a:pt x="84" y="0"/>
                              <a:pt x="84" y="0"/>
                            </a:cubicBezTo>
                            <a:cubicBezTo>
                              <a:pt x="84" y="52"/>
                              <a:pt x="84" y="52"/>
                              <a:pt x="84" y="52"/>
                            </a:cubicBezTo>
                            <a:cubicBezTo>
                              <a:pt x="79" y="52"/>
                              <a:pt x="79" y="52"/>
                              <a:pt x="79" y="52"/>
                            </a:cubicBezTo>
                            <a:cubicBezTo>
                              <a:pt x="79" y="0"/>
                              <a:pt x="79" y="0"/>
                              <a:pt x="79" y="0"/>
                            </a:cubicBezTo>
                            <a:cubicBezTo>
                              <a:pt x="16" y="0"/>
                              <a:pt x="16" y="0"/>
                              <a:pt x="16" y="0"/>
                            </a:cubicBezTo>
                            <a:cubicBezTo>
                              <a:pt x="16" y="59"/>
                              <a:pt x="16" y="59"/>
                              <a:pt x="16" y="59"/>
                            </a:cubicBezTo>
                            <a:cubicBezTo>
                              <a:pt x="0" y="113"/>
                              <a:pt x="0" y="113"/>
                              <a:pt x="0" y="113"/>
                            </a:cubicBezTo>
                            <a:cubicBezTo>
                              <a:pt x="14" y="113"/>
                              <a:pt x="14" y="113"/>
                              <a:pt x="14" y="113"/>
                            </a:cubicBezTo>
                            <a:cubicBezTo>
                              <a:pt x="21" y="89"/>
                              <a:pt x="21" y="89"/>
                              <a:pt x="21" y="89"/>
                            </a:cubicBezTo>
                            <a:cubicBezTo>
                              <a:pt x="23" y="89"/>
                              <a:pt x="23" y="89"/>
                              <a:pt x="23" y="89"/>
                            </a:cubicBezTo>
                            <a:cubicBezTo>
                              <a:pt x="35" y="113"/>
                              <a:pt x="35" y="113"/>
                              <a:pt x="35" y="113"/>
                            </a:cubicBezTo>
                            <a:cubicBezTo>
                              <a:pt x="52" y="113"/>
                              <a:pt x="52" y="113"/>
                              <a:pt x="52" y="113"/>
                            </a:cubicBezTo>
                            <a:cubicBezTo>
                              <a:pt x="40" y="89"/>
                              <a:pt x="40" y="89"/>
                              <a:pt x="40" y="89"/>
                            </a:cubicBezTo>
                            <a:cubicBezTo>
                              <a:pt x="66" y="89"/>
                              <a:pt x="66" y="89"/>
                              <a:pt x="66" y="89"/>
                            </a:cubicBezTo>
                            <a:cubicBezTo>
                              <a:pt x="59" y="113"/>
                              <a:pt x="59" y="113"/>
                              <a:pt x="59" y="113"/>
                            </a:cubicBezTo>
                            <a:cubicBezTo>
                              <a:pt x="74" y="113"/>
                              <a:pt x="74" y="113"/>
                              <a:pt x="74" y="113"/>
                            </a:cubicBezTo>
                            <a:cubicBezTo>
                              <a:pt x="81" y="89"/>
                              <a:pt x="81" y="89"/>
                              <a:pt x="81" y="89"/>
                            </a:cubicBezTo>
                            <a:cubicBezTo>
                              <a:pt x="85" y="89"/>
                              <a:pt x="85" y="89"/>
                              <a:pt x="85" y="89"/>
                            </a:cubicBezTo>
                            <a:cubicBezTo>
                              <a:pt x="85" y="89"/>
                              <a:pt x="85" y="89"/>
                              <a:pt x="85" y="89"/>
                            </a:cubicBezTo>
                            <a:cubicBezTo>
                              <a:pt x="90" y="89"/>
                              <a:pt x="90" y="89"/>
                              <a:pt x="90" y="89"/>
                            </a:cubicBezTo>
                            <a:cubicBezTo>
                              <a:pt x="90" y="89"/>
                              <a:pt x="90" y="89"/>
                              <a:pt x="90" y="89"/>
                            </a:cubicBezTo>
                            <a:cubicBezTo>
                              <a:pt x="119" y="89"/>
                              <a:pt x="119" y="89"/>
                              <a:pt x="119" y="89"/>
                            </a:cubicBezTo>
                            <a:cubicBezTo>
                              <a:pt x="112" y="113"/>
                              <a:pt x="112" y="113"/>
                              <a:pt x="112" y="113"/>
                            </a:cubicBezTo>
                            <a:cubicBezTo>
                              <a:pt x="128" y="113"/>
                              <a:pt x="128" y="113"/>
                              <a:pt x="128" y="113"/>
                            </a:cubicBezTo>
                            <a:cubicBezTo>
                              <a:pt x="135" y="89"/>
                              <a:pt x="135" y="89"/>
                              <a:pt x="135" y="89"/>
                            </a:cubicBezTo>
                            <a:cubicBezTo>
                              <a:pt x="142" y="89"/>
                              <a:pt x="142" y="89"/>
                              <a:pt x="142" y="89"/>
                            </a:cubicBezTo>
                            <a:cubicBezTo>
                              <a:pt x="142" y="113"/>
                              <a:pt x="142" y="113"/>
                              <a:pt x="142" y="113"/>
                            </a:cubicBezTo>
                            <a:cubicBezTo>
                              <a:pt x="155" y="113"/>
                              <a:pt x="155" y="113"/>
                              <a:pt x="155" y="113"/>
                            </a:cubicBezTo>
                            <a:cubicBezTo>
                              <a:pt x="170" y="89"/>
                              <a:pt x="170" y="89"/>
                              <a:pt x="170" y="89"/>
                            </a:cubicBezTo>
                            <a:cubicBezTo>
                              <a:pt x="180" y="89"/>
                              <a:pt x="180" y="89"/>
                              <a:pt x="180" y="89"/>
                            </a:cubicBezTo>
                            <a:cubicBezTo>
                              <a:pt x="175" y="113"/>
                              <a:pt x="175" y="113"/>
                              <a:pt x="175" y="113"/>
                            </a:cubicBezTo>
                            <a:cubicBezTo>
                              <a:pt x="190" y="113"/>
                              <a:pt x="190" y="113"/>
                              <a:pt x="190" y="113"/>
                            </a:cubicBezTo>
                            <a:cubicBezTo>
                              <a:pt x="195" y="89"/>
                              <a:pt x="195" y="89"/>
                              <a:pt x="195" y="89"/>
                            </a:cubicBezTo>
                            <a:cubicBezTo>
                              <a:pt x="204" y="89"/>
                              <a:pt x="204" y="89"/>
                              <a:pt x="204" y="89"/>
                            </a:cubicBezTo>
                            <a:cubicBezTo>
                              <a:pt x="203" y="96"/>
                              <a:pt x="205" y="103"/>
                              <a:pt x="210" y="108"/>
                            </a:cubicBezTo>
                            <a:cubicBezTo>
                              <a:pt x="216" y="113"/>
                              <a:pt x="225" y="114"/>
                              <a:pt x="232" y="114"/>
                            </a:cubicBezTo>
                            <a:cubicBezTo>
                              <a:pt x="241" y="114"/>
                              <a:pt x="251" y="113"/>
                              <a:pt x="260" y="111"/>
                            </a:cubicBezTo>
                            <a:cubicBezTo>
                              <a:pt x="266" y="89"/>
                              <a:pt x="266" y="89"/>
                              <a:pt x="266" y="89"/>
                            </a:cubicBezTo>
                            <a:cubicBezTo>
                              <a:pt x="283" y="89"/>
                              <a:pt x="283" y="89"/>
                              <a:pt x="283" y="89"/>
                            </a:cubicBezTo>
                            <a:cubicBezTo>
                              <a:pt x="283" y="0"/>
                              <a:pt x="283" y="0"/>
                              <a:pt x="283" y="0"/>
                            </a:cubicBezTo>
                            <a:cubicBezTo>
                              <a:pt x="220" y="0"/>
                              <a:pt x="220" y="0"/>
                              <a:pt x="220" y="0"/>
                            </a:cubicBezTo>
                            <a:cubicBezTo>
                              <a:pt x="220" y="0"/>
                              <a:pt x="220" y="0"/>
                              <a:pt x="220" y="0"/>
                            </a:cubicBezTo>
                            <a:close/>
                          </a:path>
                        </a:pathLst>
                      </a:custGeom>
                      <a:solidFill>
                        <a:schemeClr val="bg1"/>
                      </a:solidFill>
                      <a:ln>
                        <a:noFill/>
                      </a:ln>
                    </wps:spPr>
                    <wps:bodyPr/>
                  </wps:wsp>
                </a:graphicData>
              </a:graphic>
            </wp:anchor>
          </w:drawing>
        </mc:Choice>
        <mc:Fallback>
          <w:pict>
            <v:shape w14:anchorId="4A19557A" id="Freeform: Shape 19" o:spid="_x0000_s1026" alt="KPMG logo" style="position:absolute;margin-left:-36pt;margin-top:6.25pt;width:85.9pt;height:34.85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28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" path="m281,87v-15,,-15,,-15,c269,77,269,77,269,77v-30,,-30,,-30,c237,87,237,87,237,87v-15,,-15,,-15,c222,85,222,85,222,85v1,-1,1,-2,1,-4c226,71,233,60,244,60v5,,10,2,9,9c271,69,271,69,271,69v1,-3,2,-8,-2,-13c266,51,258,48,248,48v-7,,-17,2,-26,7c222,2,222,2,222,2v59,,59,,59,c281,87,281,87,281,87v,,,,,xm246,101v-3,1,-6,1,-9,1c228,102,222,98,222,89v27,,27,,27,c246,101,246,101,246,101v,,,,,xm213,53v,12,,12,,12c209,71,206,77,205,82v-1,1,-1,3,-1,5c195,87,195,87,195,87v8,-35,8,-35,8,-35c178,52,178,52,178,52,156,87,156,87,156,87v-2,,-2,,-2,c154,2,154,2,154,2v59,,59,,59,c213,53,213,53,213,53v,,,,,xm180,87v-9,,-9,,-9,c185,66,185,66,185,66v-5,21,-5,21,-5,21c180,87,180,87,180,87xm145,52v-15,,-15,,-15,c120,87,120,87,120,87v-16,,-16,,-16,c112,84,117,78,119,70v1,-6,,-11,-2,-14c113,51,105,52,98,52v-1,,-12,,-12,c86,2,86,2,86,2v59,,59,,59,c145,52,145,52,145,52v,,,,,xm135,87v6,-22,6,-22,6,-22c142,87,142,87,142,87v-7,,-7,,-7,c135,87,135,87,135,87xm93,79v,,,,,c92,79,91,79,91,79v-1,,-2,,-2,c85,79,85,79,85,79v2,-7,2,-7,2,-7c87,69,87,69,87,69v2,-7,2,-7,2,-7c90,62,91,62,92,62v3,,3,,3,c100,62,103,62,104,63v1,2,1,4,,7c102,75,100,78,93,79m76,55v-1,3,-1,3,-1,3c67,86,67,86,67,86v,1,,1,,1c39,87,39,87,39,87,37,82,37,82,37,82,67,52,67,52,67,52v-19,,-19,,-19,c25,77,25,77,25,77,32,52,32,52,32,52v-14,,-14,,-14,c18,2,18,2,18,2v58,,58,,58,c76,55,76,55,76,55v,,,,,xm22,87v,,,,,c22,87,22,87,22,87v,,,,,c22,87,22,87,22,87xm220,v,57,,57,,57c218,59,216,60,215,62,215,,215,,215,,152,,152,,152,v,52,,52,,52c147,52,147,52,147,52,147,,147,,147,,84,,84,,84,v,52,,52,,52c79,52,79,52,79,52,79,,79,,79,,16,,16,,16,v,59,,59,,59c,113,,113,,113v14,,14,,14,c21,89,21,89,21,89v2,,2,,2,c35,113,35,113,35,113v17,,17,,17,c40,89,40,89,40,89v26,,26,,26,c59,113,59,113,59,113v15,,15,,15,c81,89,81,89,81,89v4,,4,,4,c85,89,85,89,85,89v5,,5,,5,c90,89,90,89,90,89v29,,29,,29,c112,113,112,113,112,113v16,,16,,16,c135,89,135,89,135,89v7,,7,,7,c142,113,142,113,142,113v13,,13,,13,c170,89,170,89,170,89v10,,10,,10,c175,113,175,113,175,113v15,,15,,15,c195,89,195,89,195,89v9,,9,,9,c203,96,205,103,210,108v6,5,15,6,22,6c241,114,251,113,260,111v6,-22,6,-22,6,-22c283,89,283,89,283,89,283,,283,,283,,220,,220,,220,v,,,,,xe" fillcolor="white [321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
              <o:lock v:ext="edit" verticies="t"/>
            </v:shape>
          </w:pict>
        </mc:Fallback>
      </mc:AlternateContent>
    </w:r>
    <w:r w:rsidR="009B6C5D" w:rsidRPr="0034678F">
      <w:t xml:space="preserve"> </w:t>
    </w:r>
    <w:r w:rsidR="009B6C5D">
      <w:rPr>
        <w:noProof/>
        <w:lang w:eastAsia="en-AU"/>
      </w:rPr>
      <w:drawing>
        <wp:anchor distT="0" distB="0" distL="114300" distR="114300" simplePos="0" relativeHeight="251658240" behindDoc="1" locked="1" layoutInCell="1" allowOverlap="1" wp14:anchorId="17A95168" wp14:editId="76A3B5FE">
          <wp:simplePos x="0" y="0"/>
          <wp:positionH relativeFrom="page">
            <wp:posOffset>10160</wp:posOffset>
          </wp:positionH>
          <wp:positionV relativeFrom="page">
            <wp:posOffset>-10160</wp:posOffset>
          </wp:positionV>
          <wp:extent cx="7598410" cy="10749280"/>
          <wp:effectExtent l="0" t="0" r="2540" b="0"/>
          <wp:wrapNone/>
          <wp:docPr id="43" name="Picture 43" descr="KPM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KPMG logo"/>
                  <pic:cNvPicPr/>
                </pic:nvPicPr>
                <pic:blipFill>
                  <a:blip r:embed="rId1">
                    <a:extLst>
                      <a:ext uri="{28A0092B-C50C-407E-A947-70E740481C1C}">
                        <a14:useLocalDpi xmlns:a14="http://schemas.microsoft.com/office/drawing/2010/main" val="0"/>
                      </a:ext>
                    </a:extLst>
                  </a:blip>
                  <a:stretch>
                    <a:fillRect/>
                  </a:stretch>
                </pic:blipFill>
                <pic:spPr>
                  <a:xfrm>
                    <a:off x="0" y="0"/>
                    <a:ext cx="7598410" cy="10749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4202" w14:textId="085A7C5F" w:rsidR="003E7E9D" w:rsidRDefault="003E7E9D">
    <w:pPr>
      <w:pStyle w:val="Header"/>
    </w:pPr>
    <w:r>
      <w:rPr>
        <w:noProof/>
      </w:rPr>
      <mc:AlternateContent>
        <mc:Choice Requires="wps">
          <w:drawing>
            <wp:anchor distT="0" distB="0" distL="0" distR="0" simplePos="0" relativeHeight="251659272" behindDoc="0" locked="0" layoutInCell="1" allowOverlap="1" wp14:anchorId="12620B80" wp14:editId="258E4AB1">
              <wp:simplePos x="635" y="635"/>
              <wp:positionH relativeFrom="page">
                <wp:align>center</wp:align>
              </wp:positionH>
              <wp:positionV relativeFrom="page">
                <wp:align>top</wp:align>
              </wp:positionV>
              <wp:extent cx="622300" cy="452755"/>
              <wp:effectExtent l="0" t="0" r="6350" b="4445"/>
              <wp:wrapNone/>
              <wp:docPr id="120382531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730A983" w14:textId="20E3F8A2" w:rsidR="003E7E9D" w:rsidRPr="003E7E9D" w:rsidRDefault="003E7E9D" w:rsidP="003E7E9D">
                          <w:pPr>
                            <w:spacing w:after="0"/>
                            <w:rPr>
                              <w:rFonts w:ascii="Aptos" w:eastAsia="Aptos" w:hAnsi="Aptos" w:cs="Aptos"/>
                              <w:noProof/>
                              <w:color w:val="FF0000"/>
                              <w:sz w:val="24"/>
                              <w:szCs w:val="24"/>
                            </w:rPr>
                          </w:pPr>
                          <w:r w:rsidRPr="003E7E9D">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620B80" id="_x0000_t202" coordsize="21600,21600" o:spt="202" path="m,l,21600r21600,l21600,xe">
              <v:stroke joinstyle="miter"/>
              <v:path gradientshapeok="t" o:connecttype="rect"/>
            </v:shapetype>
            <v:shape id="Text Box 1" o:spid="_x0000_s1028" type="#_x0000_t202" alt="OFFICIAL" style="position:absolute;margin-left:0;margin-top:0;width:49pt;height:35.65pt;z-index:251659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gLDQIAABw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c9aeuKFlP3e6jPOJSDYd/e8k2LpbfMhyfmcMHYLYo2&#10;POIhFXQVhdGipAH342/+mI+8Y5SSDgVTUYOKpkR9M7iPqK1kzD/ni0iGm9z7yTBHfQcowzm+CMuT&#10;GfOCmkzpQL+gnNexEIaY4ViuomEy78KgXHwOXKzXKQllZFnYmp3lETrSFbl87l+YsyPhATf1AJOa&#10;WPmK9yE33vR2fQzIflpKpHYgcmQcJZjWOj6XqPFf/1PW9VGvfgI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kwWYCw0CAAAcBAAA&#10;DgAAAAAAAAAAAAAAAAAuAgAAZHJzL2Uyb0RvYy54bWxQSwECLQAUAAYACAAAACEARawYydkAAAAD&#10;AQAADwAAAAAAAAAAAAAAAABnBAAAZHJzL2Rvd25yZXYueG1sUEsFBgAAAAAEAAQA8wAAAG0FAAAA&#10;AA==&#10;" filled="f" stroked="f">
              <v:textbox style="mso-fit-shape-to-text:t" inset="0,15pt,0,0">
                <w:txbxContent>
                  <w:p w14:paraId="7730A983" w14:textId="20E3F8A2" w:rsidR="003E7E9D" w:rsidRPr="003E7E9D" w:rsidRDefault="003E7E9D" w:rsidP="003E7E9D">
                    <w:pPr>
                      <w:spacing w:after="0"/>
                      <w:rPr>
                        <w:rFonts w:ascii="Aptos" w:eastAsia="Aptos" w:hAnsi="Aptos" w:cs="Aptos"/>
                        <w:noProof/>
                        <w:color w:val="FF0000"/>
                        <w:sz w:val="24"/>
                        <w:szCs w:val="24"/>
                      </w:rPr>
                    </w:pPr>
                    <w:r w:rsidRPr="003E7E9D">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2A672" w14:textId="426D90C4" w:rsidR="005129F6" w:rsidRDefault="000E695E">
    <w:pPr>
      <w:pStyle w:val="Header"/>
    </w:pPr>
    <w:r>
      <w:rPr>
        <w:noProof/>
      </w:rPr>
      <mc:AlternateContent>
        <mc:Choice Requires="wps">
          <w:drawing>
            <wp:anchor distT="0" distB="0" distL="114300" distR="114300" simplePos="0" relativeHeight="251658248" behindDoc="0" locked="0" layoutInCell="1" allowOverlap="1" wp14:anchorId="4167704E" wp14:editId="00577CD5">
              <wp:simplePos x="0" y="0"/>
              <wp:positionH relativeFrom="column">
                <wp:posOffset>-921451</wp:posOffset>
              </wp:positionH>
              <wp:positionV relativeFrom="paragraph">
                <wp:posOffset>-460725</wp:posOffset>
              </wp:positionV>
              <wp:extent cx="7588250" cy="10733405"/>
              <wp:effectExtent l="0" t="0" r="0" b="0"/>
              <wp:wrapNone/>
              <wp:docPr id="28" name="Rectangle 28"/>
              <wp:cNvGraphicFramePr/>
              <a:graphic xmlns:a="http://schemas.openxmlformats.org/drawingml/2006/main">
                <a:graphicData uri="http://schemas.microsoft.com/office/word/2010/wordprocessingShape">
                  <wps:wsp>
                    <wps:cNvSpPr/>
                    <wps:spPr>
                      <a:xfrm>
                        <a:off x="0" y="0"/>
                        <a:ext cx="7588250" cy="10733405"/>
                      </a:xfrm>
                      <a:prstGeom prst="rect">
                        <a:avLst/>
                      </a:prstGeom>
                      <a:gradFill>
                        <a:gsLst>
                          <a:gs pos="1000">
                            <a:schemeClr val="accent5">
                              <a:alpha val="80000"/>
                            </a:schemeClr>
                          </a:gs>
                          <a:gs pos="78000">
                            <a:schemeClr val="accent2">
                              <a:alpha val="1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D6923" w14:textId="77777777" w:rsidR="002523BA" w:rsidRPr="009D045E" w:rsidRDefault="002523BA" w:rsidP="002523BA">
                          <w:pPr>
                            <w:pStyle w:val="Footer"/>
                          </w:pPr>
                        </w:p>
                        <w:p w14:paraId="3E48D1BC" w14:textId="77777777" w:rsidR="002523BA" w:rsidRDefault="002523BA" w:rsidP="002523BA">
                          <w:pPr>
                            <w:jc w:val="center"/>
                          </w:pPr>
                        </w:p>
                        <w:p w14:paraId="5048E83E" w14:textId="77777777" w:rsidR="002523BA" w:rsidRDefault="002523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7704E" id="Rectangle 28" o:spid="_x0000_s1030" style="position:absolute;margin-left:-72.55pt;margin-top:-36.3pt;width:597.5pt;height:845.1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" fillcolor="#7213ea [3208]" stroked="f" strokeweight="1pt">
              <v:fill opacity="6553f" color2="#1e49e2 [3205]" o:opacity2="52428f" colors="0 #7213ea;655f #7213ea" focus="100%" type="gradient"/>
              <v:textbox>
                <w:txbxContent>
                  <w:p w14:paraId="0F5D6923" w14:textId="77777777" w:rsidR="002523BA" w:rsidRPr="009D045E" w:rsidRDefault="002523BA" w:rsidP="002523BA">
                    <w:pPr>
                      <w:pStyle w:val="Footer"/>
                    </w:pPr>
                  </w:p>
                  <w:p w14:paraId="3E48D1BC" w14:textId="77777777" w:rsidR="002523BA" w:rsidRDefault="002523BA" w:rsidP="002523BA">
                    <w:pPr>
                      <w:jc w:val="center"/>
                    </w:pPr>
                  </w:p>
                  <w:p w14:paraId="5048E83E" w14:textId="77777777" w:rsidR="002523BA" w:rsidRDefault="002523BA"/>
                </w:txbxContent>
              </v:textbox>
            </v:rect>
          </w:pict>
        </mc:Fallback>
      </mc:AlternateContent>
    </w:r>
    <w:r w:rsidR="00447BDD">
      <w:rPr>
        <w:noProof/>
      </w:rPr>
      <w:drawing>
        <wp:anchor distT="0" distB="0" distL="114300" distR="114300" simplePos="0" relativeHeight="251658247" behindDoc="0" locked="0" layoutInCell="1" allowOverlap="1" wp14:anchorId="68D13275" wp14:editId="0189D05B">
          <wp:simplePos x="0" y="0"/>
          <wp:positionH relativeFrom="column">
            <wp:posOffset>-921452</wp:posOffset>
          </wp:positionH>
          <wp:positionV relativeFrom="paragraph">
            <wp:posOffset>-460725</wp:posOffset>
          </wp:positionV>
          <wp:extent cx="7588469" cy="10734010"/>
          <wp:effectExtent l="0" t="0" r="0" b="0"/>
          <wp:wrapNone/>
          <wp:docPr id="556017007" name="Picture 556017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7310" name="Picture 321773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9448" cy="107495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57B9" w14:textId="06F494E7" w:rsidR="00F525C7" w:rsidRPr="006F7887" w:rsidRDefault="00F525C7" w:rsidP="00F525C7">
    <w:pPr>
      <w:tabs>
        <w:tab w:val="left" w:pos="5323"/>
        <w:tab w:val="right" w:pos="9639"/>
      </w:tabs>
      <w:rPr>
        <w:rFonts w:cs="Arial"/>
        <w:color w:val="000000" w:themeColor="text1"/>
        <w:sz w:val="16"/>
        <w:szCs w:val="16"/>
      </w:rPr>
    </w:pPr>
    <w:r>
      <w:rPr>
        <w:rFonts w:cs="Arial"/>
        <w:color w:val="000000" w:themeColor="text1"/>
        <w:sz w:val="16"/>
        <w:szCs w:val="16"/>
      </w:rPr>
      <w:t>Evaluation of the MPS Program</w:t>
    </w:r>
  </w:p>
  <w:p w14:paraId="234AB238" w14:textId="43DDFBD8" w:rsidR="009E2B19" w:rsidRDefault="009E2B19" w:rsidP="00F525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6480" w14:textId="6C17E8F8" w:rsidR="00554665" w:rsidRPr="006F7887" w:rsidRDefault="00554665" w:rsidP="00194457">
    <w:pPr>
      <w:tabs>
        <w:tab w:val="left" w:pos="5323"/>
        <w:tab w:val="right" w:pos="9639"/>
      </w:tabs>
      <w:rPr>
        <w:rFonts w:cs="Arial"/>
        <w:color w:val="000000" w:themeColor="text1"/>
        <w:sz w:val="16"/>
        <w:szCs w:val="16"/>
      </w:rPr>
    </w:pPr>
    <w:r>
      <w:rPr>
        <w:rFonts w:cs="Arial"/>
        <w:color w:val="000000" w:themeColor="text1"/>
        <w:sz w:val="16"/>
        <w:szCs w:val="16"/>
      </w:rPr>
      <w:t>Evaluation of the MPS Program</w:t>
    </w:r>
  </w:p>
  <w:p w14:paraId="0A87524D" w14:textId="77777777" w:rsidR="0076757E" w:rsidRDefault="007675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57167" w14:textId="2C180E5C" w:rsidR="00E33116" w:rsidRDefault="00877C78">
    <w:pPr>
      <w:pStyle w:val="Header"/>
    </w:pPr>
    <w:r>
      <w:rPr>
        <w:noProof/>
      </w:rPr>
      <w:drawing>
        <wp:anchor distT="0" distB="0" distL="114300" distR="114300" simplePos="0" relativeHeight="251658245" behindDoc="0" locked="0" layoutInCell="1" allowOverlap="1" wp14:anchorId="1D2144C7" wp14:editId="31EBA8ED">
          <wp:simplePos x="0" y="0"/>
          <wp:positionH relativeFrom="page">
            <wp:posOffset>0</wp:posOffset>
          </wp:positionH>
          <wp:positionV relativeFrom="paragraph">
            <wp:posOffset>-441960</wp:posOffset>
          </wp:positionV>
          <wp:extent cx="7546340" cy="10674350"/>
          <wp:effectExtent l="0" t="0" r="0" b="0"/>
          <wp:wrapNone/>
          <wp:docPr id="714848865" name="Picture 714848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48795" name="Picture 11083487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sidR="00E33116">
      <w:rPr>
        <w:noProof/>
      </w:rPr>
      <mc:AlternateContent>
        <mc:Choice Requires="wps">
          <w:drawing>
            <wp:anchor distT="0" distB="0" distL="114300" distR="114300" simplePos="0" relativeHeight="251658246" behindDoc="0" locked="0" layoutInCell="1" allowOverlap="1" wp14:anchorId="1E925673" wp14:editId="7FF695E7">
              <wp:simplePos x="0" y="0"/>
              <wp:positionH relativeFrom="column">
                <wp:posOffset>60656</wp:posOffset>
              </wp:positionH>
              <wp:positionV relativeFrom="paragraph">
                <wp:posOffset>-441960</wp:posOffset>
              </wp:positionV>
              <wp:extent cx="0" cy="2170706"/>
              <wp:effectExtent l="0" t="0" r="38100" b="2032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C2359" id="Straight Connector 23"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4FBC6" w14:textId="717F6185" w:rsidR="00E22A09" w:rsidRPr="006F7887" w:rsidRDefault="00F525C7" w:rsidP="00E11597">
    <w:pPr>
      <w:tabs>
        <w:tab w:val="left" w:pos="5323"/>
        <w:tab w:val="right" w:pos="9639"/>
      </w:tabs>
      <w:rPr>
        <w:rFonts w:cs="Arial"/>
        <w:color w:val="000000" w:themeColor="text1"/>
        <w:sz w:val="16"/>
        <w:szCs w:val="16"/>
      </w:rPr>
    </w:pPr>
    <w:r>
      <w:rPr>
        <w:rFonts w:cs="Arial"/>
        <w:color w:val="000000" w:themeColor="text1"/>
        <w:sz w:val="16"/>
        <w:szCs w:val="16"/>
      </w:rPr>
      <w:t>Evaluation of</w:t>
    </w:r>
    <w:r w:rsidR="009E2B19">
      <w:rPr>
        <w:rFonts w:cs="Arial"/>
        <w:color w:val="000000" w:themeColor="text1"/>
        <w:sz w:val="16"/>
        <w:szCs w:val="16"/>
      </w:rPr>
      <w:t xml:space="preserve"> the MPS Program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D21C7" w14:textId="39C3F205" w:rsidR="003607C2" w:rsidRPr="006F7887" w:rsidRDefault="00E00E2E" w:rsidP="00194457">
    <w:pPr>
      <w:tabs>
        <w:tab w:val="left" w:pos="5323"/>
        <w:tab w:val="right" w:pos="9639"/>
      </w:tabs>
      <w:rPr>
        <w:rFonts w:cs="Arial"/>
        <w:color w:val="000000" w:themeColor="text1"/>
        <w:sz w:val="16"/>
        <w:szCs w:val="16"/>
      </w:rPr>
    </w:pPr>
    <w:r>
      <w:rPr>
        <w:rFonts w:cs="Arial"/>
        <w:color w:val="000000" w:themeColor="text1"/>
        <w:sz w:val="16"/>
        <w:szCs w:val="16"/>
      </w:rPr>
      <w:t>Evaluation of the MPS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A843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E699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D5E1022"/>
    <w:lvl w:ilvl="0">
      <w:start w:val="1"/>
      <w:numFmt w:val="decimal"/>
      <w:pStyle w:val="ListNumber3"/>
      <w:lvlText w:val="%1."/>
      <w:lvlJc w:val="left"/>
      <w:pPr>
        <w:tabs>
          <w:tab w:val="num" w:pos="926"/>
        </w:tabs>
        <w:ind w:left="926" w:hanging="360"/>
      </w:pPr>
    </w:lvl>
  </w:abstractNum>
  <w:abstractNum w:abstractNumId="3" w15:restartNumberingAfterBreak="0">
    <w:nsid w:val="FFFFFF89"/>
    <w:multiLevelType w:val="singleLevel"/>
    <w:tmpl w:val="038ED57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1A09D6"/>
    <w:multiLevelType w:val="hybridMultilevel"/>
    <w:tmpl w:val="3EB89642"/>
    <w:lvl w:ilvl="0" w:tplc="00563A1E">
      <w:start w:val="1"/>
      <w:numFmt w:val="bullet"/>
      <w:pStyle w:val="ListBullet3"/>
      <w:lvlText w:val=""/>
      <w:lvlJc w:val="left"/>
      <w:pPr>
        <w:ind w:left="1420" w:hanging="360"/>
      </w:pPr>
      <w:rPr>
        <w:rFonts w:ascii="Wingdings" w:hAnsi="Wingdings" w:hint="default"/>
      </w:rPr>
    </w:lvl>
    <w:lvl w:ilvl="1" w:tplc="0C090003" w:tentative="1">
      <w:start w:val="1"/>
      <w:numFmt w:val="bullet"/>
      <w:lvlText w:val="o"/>
      <w:lvlJc w:val="left"/>
      <w:pPr>
        <w:ind w:left="2140" w:hanging="360"/>
      </w:pPr>
      <w:rPr>
        <w:rFonts w:ascii="Courier New" w:hAnsi="Courier New" w:cs="Courier New" w:hint="default"/>
      </w:rPr>
    </w:lvl>
    <w:lvl w:ilvl="2" w:tplc="0C090005" w:tentative="1">
      <w:start w:val="1"/>
      <w:numFmt w:val="bullet"/>
      <w:lvlText w:val=""/>
      <w:lvlJc w:val="left"/>
      <w:pPr>
        <w:ind w:left="2860" w:hanging="360"/>
      </w:pPr>
      <w:rPr>
        <w:rFonts w:ascii="Wingdings" w:hAnsi="Wingdings" w:hint="default"/>
      </w:rPr>
    </w:lvl>
    <w:lvl w:ilvl="3" w:tplc="0C090001" w:tentative="1">
      <w:start w:val="1"/>
      <w:numFmt w:val="bullet"/>
      <w:lvlText w:val=""/>
      <w:lvlJc w:val="left"/>
      <w:pPr>
        <w:ind w:left="3580" w:hanging="360"/>
      </w:pPr>
      <w:rPr>
        <w:rFonts w:ascii="Symbol" w:hAnsi="Symbol" w:hint="default"/>
      </w:rPr>
    </w:lvl>
    <w:lvl w:ilvl="4" w:tplc="0C090003" w:tentative="1">
      <w:start w:val="1"/>
      <w:numFmt w:val="bullet"/>
      <w:lvlText w:val="o"/>
      <w:lvlJc w:val="left"/>
      <w:pPr>
        <w:ind w:left="4300" w:hanging="360"/>
      </w:pPr>
      <w:rPr>
        <w:rFonts w:ascii="Courier New" w:hAnsi="Courier New" w:cs="Courier New" w:hint="default"/>
      </w:rPr>
    </w:lvl>
    <w:lvl w:ilvl="5" w:tplc="0C090005" w:tentative="1">
      <w:start w:val="1"/>
      <w:numFmt w:val="bullet"/>
      <w:lvlText w:val=""/>
      <w:lvlJc w:val="left"/>
      <w:pPr>
        <w:ind w:left="5020" w:hanging="360"/>
      </w:pPr>
      <w:rPr>
        <w:rFonts w:ascii="Wingdings" w:hAnsi="Wingdings" w:hint="default"/>
      </w:rPr>
    </w:lvl>
    <w:lvl w:ilvl="6" w:tplc="0C090001" w:tentative="1">
      <w:start w:val="1"/>
      <w:numFmt w:val="bullet"/>
      <w:lvlText w:val=""/>
      <w:lvlJc w:val="left"/>
      <w:pPr>
        <w:ind w:left="5740" w:hanging="360"/>
      </w:pPr>
      <w:rPr>
        <w:rFonts w:ascii="Symbol" w:hAnsi="Symbol" w:hint="default"/>
      </w:rPr>
    </w:lvl>
    <w:lvl w:ilvl="7" w:tplc="0C090003" w:tentative="1">
      <w:start w:val="1"/>
      <w:numFmt w:val="bullet"/>
      <w:lvlText w:val="o"/>
      <w:lvlJc w:val="left"/>
      <w:pPr>
        <w:ind w:left="6460" w:hanging="360"/>
      </w:pPr>
      <w:rPr>
        <w:rFonts w:ascii="Courier New" w:hAnsi="Courier New" w:cs="Courier New" w:hint="default"/>
      </w:rPr>
    </w:lvl>
    <w:lvl w:ilvl="8" w:tplc="0C090005" w:tentative="1">
      <w:start w:val="1"/>
      <w:numFmt w:val="bullet"/>
      <w:lvlText w:val=""/>
      <w:lvlJc w:val="left"/>
      <w:pPr>
        <w:ind w:left="7180" w:hanging="360"/>
      </w:pPr>
      <w:rPr>
        <w:rFonts w:ascii="Wingdings" w:hAnsi="Wingdings" w:hint="default"/>
      </w:rPr>
    </w:lvl>
  </w:abstractNum>
  <w:abstractNum w:abstractNumId="5" w15:restartNumberingAfterBreak="0">
    <w:nsid w:val="01745CFC"/>
    <w:multiLevelType w:val="singleLevel"/>
    <w:tmpl w:val="6474330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 w15:restartNumberingAfterBreak="0">
    <w:nsid w:val="02227B10"/>
    <w:multiLevelType w:val="singleLevel"/>
    <w:tmpl w:val="CCC0693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15:restartNumberingAfterBreak="0">
    <w:nsid w:val="04FF59A3"/>
    <w:multiLevelType w:val="singleLevel"/>
    <w:tmpl w:val="4088F2F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053F7393"/>
    <w:multiLevelType w:val="multilevel"/>
    <w:tmpl w:val="522CFB2A"/>
    <w:styleLink w:val="NumberedList"/>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415493"/>
    <w:multiLevelType w:val="hybridMultilevel"/>
    <w:tmpl w:val="F65CE01E"/>
    <w:lvl w:ilvl="0" w:tplc="F39E7B4E">
      <w:start w:val="1"/>
      <w:numFmt w:val="lowerLetter"/>
      <w:pStyle w:val="Aiphabullet"/>
      <w:lvlText w:val="%1."/>
      <w:lvlJc w:val="left"/>
      <w:pPr>
        <w:ind w:left="924" w:hanging="360"/>
      </w:pPr>
      <w:rPr>
        <w:rFonts w:hint="default"/>
      </w:rPr>
    </w:lvl>
    <w:lvl w:ilvl="1" w:tplc="F6107DDA" w:tentative="1">
      <w:start w:val="1"/>
      <w:numFmt w:val="lowerLetter"/>
      <w:lvlText w:val="%2."/>
      <w:lvlJc w:val="left"/>
      <w:pPr>
        <w:ind w:left="1644" w:hanging="360"/>
      </w:pPr>
    </w:lvl>
    <w:lvl w:ilvl="2" w:tplc="ACDAB66C" w:tentative="1">
      <w:start w:val="1"/>
      <w:numFmt w:val="lowerRoman"/>
      <w:lvlText w:val="%3."/>
      <w:lvlJc w:val="right"/>
      <w:pPr>
        <w:ind w:left="2364" w:hanging="180"/>
      </w:pPr>
    </w:lvl>
    <w:lvl w:ilvl="3" w:tplc="03FC4586" w:tentative="1">
      <w:start w:val="1"/>
      <w:numFmt w:val="decimal"/>
      <w:lvlText w:val="%4."/>
      <w:lvlJc w:val="left"/>
      <w:pPr>
        <w:ind w:left="3084" w:hanging="360"/>
      </w:pPr>
    </w:lvl>
    <w:lvl w:ilvl="4" w:tplc="9222905E" w:tentative="1">
      <w:start w:val="1"/>
      <w:numFmt w:val="lowerLetter"/>
      <w:lvlText w:val="%5."/>
      <w:lvlJc w:val="left"/>
      <w:pPr>
        <w:ind w:left="3804" w:hanging="360"/>
      </w:pPr>
    </w:lvl>
    <w:lvl w:ilvl="5" w:tplc="D1986DD6" w:tentative="1">
      <w:start w:val="1"/>
      <w:numFmt w:val="lowerRoman"/>
      <w:lvlText w:val="%6."/>
      <w:lvlJc w:val="right"/>
      <w:pPr>
        <w:ind w:left="4524" w:hanging="180"/>
      </w:pPr>
    </w:lvl>
    <w:lvl w:ilvl="6" w:tplc="02165F5E" w:tentative="1">
      <w:start w:val="1"/>
      <w:numFmt w:val="decimal"/>
      <w:lvlText w:val="%7."/>
      <w:lvlJc w:val="left"/>
      <w:pPr>
        <w:ind w:left="5244" w:hanging="360"/>
      </w:pPr>
    </w:lvl>
    <w:lvl w:ilvl="7" w:tplc="359AE672" w:tentative="1">
      <w:start w:val="1"/>
      <w:numFmt w:val="lowerLetter"/>
      <w:lvlText w:val="%8."/>
      <w:lvlJc w:val="left"/>
      <w:pPr>
        <w:ind w:left="5964" w:hanging="360"/>
      </w:pPr>
    </w:lvl>
    <w:lvl w:ilvl="8" w:tplc="5CDA9DF8" w:tentative="1">
      <w:start w:val="1"/>
      <w:numFmt w:val="lowerRoman"/>
      <w:lvlText w:val="%9."/>
      <w:lvlJc w:val="right"/>
      <w:pPr>
        <w:ind w:left="6684" w:hanging="180"/>
      </w:pPr>
    </w:lvl>
  </w:abstractNum>
  <w:abstractNum w:abstractNumId="10" w15:restartNumberingAfterBreak="0">
    <w:nsid w:val="08B06D15"/>
    <w:multiLevelType w:val="hybridMultilevel"/>
    <w:tmpl w:val="0128A606"/>
    <w:lvl w:ilvl="0" w:tplc="DFEC0140">
      <w:start w:val="1"/>
      <w:numFmt w:val="decimal"/>
      <w:pStyle w:val="CasestudyNumberbullet"/>
      <w:lvlText w:val="%1"/>
      <w:lvlJc w:val="left"/>
      <w:pPr>
        <w:tabs>
          <w:tab w:val="num" w:pos="340"/>
        </w:tabs>
        <w:ind w:left="340" w:hanging="340"/>
      </w:pPr>
      <w:rPr>
        <w:rFonts w:ascii="Arial" w:hAnsi="Arial" w:cs="Arial"/>
      </w:rPr>
    </w:lvl>
    <w:lvl w:ilvl="1" w:tplc="7150A87C">
      <w:start w:val="1"/>
      <w:numFmt w:val="lowerLetter"/>
      <w:lvlText w:val="—"/>
      <w:lvlJc w:val="left"/>
      <w:pPr>
        <w:tabs>
          <w:tab w:val="num" w:pos="680"/>
        </w:tabs>
        <w:ind w:left="680" w:hanging="340"/>
      </w:pPr>
      <w:rPr>
        <w:rFonts w:ascii="Arial" w:hAnsi="Arial" w:cs="Arial"/>
        <w:sz w:val="24"/>
      </w:rPr>
    </w:lvl>
    <w:lvl w:ilvl="2" w:tplc="23C0C654">
      <w:start w:val="1"/>
      <w:numFmt w:val="lowerRoman"/>
      <w:lvlText w:val="-"/>
      <w:lvlJc w:val="left"/>
      <w:pPr>
        <w:tabs>
          <w:tab w:val="num" w:pos="1020"/>
        </w:tabs>
        <w:ind w:left="1020" w:hanging="340"/>
      </w:pPr>
      <w:rPr>
        <w:rFonts w:ascii="9999999" w:hAnsi="9999999"/>
      </w:rPr>
    </w:lvl>
    <w:lvl w:ilvl="3" w:tplc="3D7E682E">
      <w:start w:val="1"/>
      <w:numFmt w:val="decimal"/>
      <w:lvlText w:val="—"/>
      <w:lvlJc w:val="left"/>
      <w:pPr>
        <w:tabs>
          <w:tab w:val="num" w:pos="1361"/>
        </w:tabs>
        <w:ind w:left="1361" w:hanging="341"/>
      </w:pPr>
      <w:rPr>
        <w:rFonts w:ascii="Arial" w:hAnsi="Arial" w:cs="Arial"/>
      </w:rPr>
    </w:lvl>
    <w:lvl w:ilvl="4" w:tplc="412EDEBE">
      <w:start w:val="1"/>
      <w:numFmt w:val="lowerLetter"/>
      <w:lvlText w:val="-"/>
      <w:lvlJc w:val="left"/>
      <w:pPr>
        <w:tabs>
          <w:tab w:val="num" w:pos="1701"/>
        </w:tabs>
        <w:ind w:left="1701" w:hanging="340"/>
      </w:pPr>
      <w:rPr>
        <w:rFonts w:ascii="9999999" w:hAnsi="9999999"/>
      </w:rPr>
    </w:lvl>
    <w:lvl w:ilvl="5" w:tplc="CD26D622">
      <w:start w:val="1"/>
      <w:numFmt w:val="lowerRoman"/>
      <w:lvlText w:val="—"/>
      <w:lvlJc w:val="left"/>
      <w:pPr>
        <w:tabs>
          <w:tab w:val="num" w:pos="2041"/>
        </w:tabs>
        <w:ind w:left="2041" w:hanging="340"/>
      </w:pPr>
      <w:rPr>
        <w:rFonts w:ascii="Arial" w:hAnsi="Arial" w:cs="Arial"/>
      </w:rPr>
    </w:lvl>
    <w:lvl w:ilvl="6" w:tplc="76AE5A36">
      <w:start w:val="1"/>
      <w:numFmt w:val="decimal"/>
      <w:lvlText w:val="-"/>
      <w:lvlJc w:val="left"/>
      <w:pPr>
        <w:tabs>
          <w:tab w:val="num" w:pos="2381"/>
        </w:tabs>
        <w:ind w:left="2381" w:hanging="340"/>
      </w:pPr>
      <w:rPr>
        <w:rFonts w:ascii="9999999" w:hAnsi="9999999"/>
      </w:rPr>
    </w:lvl>
    <w:lvl w:ilvl="7" w:tplc="381C0BD2">
      <w:start w:val="1"/>
      <w:numFmt w:val="lowerLetter"/>
      <w:lvlText w:val="—"/>
      <w:lvlJc w:val="left"/>
      <w:pPr>
        <w:tabs>
          <w:tab w:val="num" w:pos="2721"/>
        </w:tabs>
        <w:ind w:left="2721" w:hanging="340"/>
      </w:pPr>
      <w:rPr>
        <w:rFonts w:ascii="Arial" w:hAnsi="Arial" w:cs="Arial"/>
      </w:rPr>
    </w:lvl>
    <w:lvl w:ilvl="8" w:tplc="EB14E8C8">
      <w:start w:val="1"/>
      <w:numFmt w:val="lowerRoman"/>
      <w:lvlText w:val="-"/>
      <w:lvlJc w:val="left"/>
      <w:pPr>
        <w:tabs>
          <w:tab w:val="num" w:pos="3061"/>
        </w:tabs>
        <w:ind w:left="3061" w:hanging="340"/>
      </w:pPr>
      <w:rPr>
        <w:rFonts w:ascii="9999999" w:hAnsi="9999999"/>
      </w:rPr>
    </w:lvl>
  </w:abstractNum>
  <w:abstractNum w:abstractNumId="11" w15:restartNumberingAfterBreak="0">
    <w:nsid w:val="0AC974B2"/>
    <w:multiLevelType w:val="multilevel"/>
    <w:tmpl w:val="54BE749A"/>
    <w:lvl w:ilvl="0">
      <w:start w:val="1"/>
      <w:numFmt w:val="bullet"/>
      <w:lvlText w:val="•"/>
      <w:lvlJc w:val="left"/>
      <w:pPr>
        <w:ind w:left="720" w:hanging="360"/>
      </w:pPr>
      <w:rPr>
        <w:rFonts w:ascii="Arial" w:hAnsi="Arial" w:hint="default"/>
        <w:b/>
        <w:color w:val="auto"/>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0B492EF9"/>
    <w:multiLevelType w:val="singleLevel"/>
    <w:tmpl w:val="C3B6D3C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0B975B38"/>
    <w:multiLevelType w:val="multilevel"/>
    <w:tmpl w:val="705E46E8"/>
    <w:styleLink w:val="abcList"/>
    <w:lvl w:ilvl="0">
      <w:start w:val="1"/>
      <w:numFmt w:val="lowerLetter"/>
      <w:lvlText w:val="%1."/>
      <w:lvlJc w:val="left"/>
      <w:pPr>
        <w:ind w:left="2367" w:hanging="36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CC530B"/>
    <w:multiLevelType w:val="singleLevel"/>
    <w:tmpl w:val="0F42B39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15:restartNumberingAfterBreak="0">
    <w:nsid w:val="0C640E34"/>
    <w:multiLevelType w:val="singleLevel"/>
    <w:tmpl w:val="FDD0C5E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6" w15:restartNumberingAfterBreak="0">
    <w:nsid w:val="0D122867"/>
    <w:multiLevelType w:val="singleLevel"/>
    <w:tmpl w:val="D846886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0E881A57"/>
    <w:multiLevelType w:val="singleLevel"/>
    <w:tmpl w:val="70BA265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8" w15:restartNumberingAfterBreak="0">
    <w:nsid w:val="15673B71"/>
    <w:multiLevelType w:val="singleLevel"/>
    <w:tmpl w:val="ABF42EE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9" w15:restartNumberingAfterBreak="0">
    <w:nsid w:val="17A302CE"/>
    <w:multiLevelType w:val="multilevel"/>
    <w:tmpl w:val="640EC7A2"/>
    <w:lvl w:ilvl="0">
      <w:start w:val="4"/>
      <w:numFmt w:val="decimal"/>
      <w:lvlText w:val="%1."/>
      <w:lvlJc w:val="left"/>
      <w:pPr>
        <w:ind w:left="360" w:hanging="360"/>
      </w:pPr>
      <w:rPr>
        <w:rFonts w:hint="default"/>
        <w:b/>
        <w:i w:val="0"/>
        <w:u w:color="266DF1"/>
      </w:rPr>
    </w:lvl>
    <w:lvl w:ilvl="1">
      <w:start w:val="5"/>
      <w:numFmt w:val="decimal"/>
      <w:isLgl/>
      <w:lvlText w:val="3.%2"/>
      <w:lvlJc w:val="left"/>
      <w:pPr>
        <w:ind w:left="720" w:hanging="720"/>
      </w:pPr>
      <w:rPr>
        <w:rFonts w:hint="default"/>
      </w:rPr>
    </w:lvl>
    <w:lvl w:ilvl="2">
      <w:start w:val="1"/>
      <w:numFmt w:val="decimal"/>
      <w:isLgl/>
      <w:lvlText w:val="3.5.%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0" w15:restartNumberingAfterBreak="0">
    <w:nsid w:val="193707E0"/>
    <w:multiLevelType w:val="singleLevel"/>
    <w:tmpl w:val="5038C45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1" w15:restartNumberingAfterBreak="0">
    <w:nsid w:val="1AE31FB5"/>
    <w:multiLevelType w:val="hybridMultilevel"/>
    <w:tmpl w:val="AB60F9AE"/>
    <w:lvl w:ilvl="0" w:tplc="E68E858C">
      <w:numFmt w:val="bullet"/>
      <w:pStyle w:val="CVbullet"/>
      <w:lvlText w:val="•"/>
      <w:lvlJc w:val="left"/>
      <w:pPr>
        <w:ind w:left="360" w:hanging="360"/>
      </w:pPr>
      <w:rPr>
        <w:rFonts w:ascii="Univers 45 Light" w:hAnsi="Univers 45 Light" w:cstheme="minorBidi" w:hint="default"/>
        <w:color w:val="006BFF"/>
        <w:sz w:val="22"/>
      </w:rPr>
    </w:lvl>
    <w:lvl w:ilvl="1" w:tplc="0B30901E">
      <w:numFmt w:val="decimal"/>
      <w:lvlText w:val=""/>
      <w:lvlJc w:val="left"/>
    </w:lvl>
    <w:lvl w:ilvl="2" w:tplc="7C16C794">
      <w:numFmt w:val="decimal"/>
      <w:lvlText w:val=""/>
      <w:lvlJc w:val="left"/>
    </w:lvl>
    <w:lvl w:ilvl="3" w:tplc="F4B449E2">
      <w:numFmt w:val="decimal"/>
      <w:lvlText w:val=""/>
      <w:lvlJc w:val="left"/>
    </w:lvl>
    <w:lvl w:ilvl="4" w:tplc="D4D6CB7C">
      <w:numFmt w:val="decimal"/>
      <w:lvlText w:val=""/>
      <w:lvlJc w:val="left"/>
    </w:lvl>
    <w:lvl w:ilvl="5" w:tplc="E7AC7364">
      <w:numFmt w:val="decimal"/>
      <w:lvlText w:val=""/>
      <w:lvlJc w:val="left"/>
    </w:lvl>
    <w:lvl w:ilvl="6" w:tplc="5F4C6A32">
      <w:numFmt w:val="decimal"/>
      <w:lvlText w:val=""/>
      <w:lvlJc w:val="left"/>
    </w:lvl>
    <w:lvl w:ilvl="7" w:tplc="8BF016DA">
      <w:numFmt w:val="decimal"/>
      <w:lvlText w:val=""/>
      <w:lvlJc w:val="left"/>
    </w:lvl>
    <w:lvl w:ilvl="8" w:tplc="EEB66A46">
      <w:numFmt w:val="decimal"/>
      <w:lvlText w:val=""/>
      <w:lvlJc w:val="left"/>
    </w:lvl>
  </w:abstractNum>
  <w:abstractNum w:abstractNumId="22" w15:restartNumberingAfterBreak="0">
    <w:nsid w:val="1F0C4247"/>
    <w:multiLevelType w:val="singleLevel"/>
    <w:tmpl w:val="CB364B8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3" w15:restartNumberingAfterBreak="0">
    <w:nsid w:val="24034163"/>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465017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65C57BA"/>
    <w:multiLevelType w:val="singleLevel"/>
    <w:tmpl w:val="AD3ED2B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289A56A6"/>
    <w:multiLevelType w:val="hybridMultilevel"/>
    <w:tmpl w:val="15CCA002"/>
    <w:lvl w:ilvl="0" w:tplc="BC4C6ABA">
      <w:start w:val="1"/>
      <w:numFmt w:val="bullet"/>
      <w:pStyle w:val="TableBullet2ndlevel"/>
      <w:lvlText w:val="–"/>
      <w:lvlJc w:val="left"/>
      <w:pPr>
        <w:ind w:left="700" w:hanging="360"/>
      </w:pPr>
      <w:rPr>
        <w:rFonts w:ascii="Univers 45 Light" w:hAnsi="Univers 45 Light" w:hint="default"/>
        <w:color w:val="0C233C" w:themeColor="text2"/>
        <w:sz w:val="2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29456DE9"/>
    <w:multiLevelType w:val="multilevel"/>
    <w:tmpl w:val="65EED1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2D3D3C44"/>
    <w:multiLevelType w:val="hybridMultilevel"/>
    <w:tmpl w:val="CAA0F434"/>
    <w:lvl w:ilvl="0" w:tplc="BB6490D6">
      <w:start w:val="1"/>
      <w:numFmt w:val="decimal"/>
      <w:pStyle w:val="Number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472BBE"/>
    <w:multiLevelType w:val="multilevel"/>
    <w:tmpl w:val="B3FE92FC"/>
    <w:lvl w:ilvl="0">
      <w:start w:val="1"/>
      <w:numFmt w:val="bullet"/>
      <w:lvlText w:val="•"/>
      <w:lvlJc w:val="left"/>
      <w:pPr>
        <w:ind w:left="720" w:hanging="360"/>
      </w:pPr>
      <w:rPr>
        <w:rFonts w:ascii="Arial" w:hAnsi="Arial" w:hint="default"/>
        <w:b/>
        <w:color w:val="auto"/>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2DD202DA"/>
    <w:multiLevelType w:val="hybridMultilevel"/>
    <w:tmpl w:val="4E964F6E"/>
    <w:lvl w:ilvl="0" w:tplc="A50C50FC">
      <w:start w:val="1"/>
      <w:numFmt w:val="bullet"/>
      <w:pStyle w:val="CSbullettick"/>
      <w:lvlText w:val="o"/>
      <w:lvlJc w:val="left"/>
      <w:pPr>
        <w:ind w:left="720" w:hanging="360"/>
      </w:pPr>
      <w:rPr>
        <w:rFonts w:ascii="Courier New" w:hAnsi="Courier New" w:cs="Courier New" w:hint="default"/>
        <w:b/>
        <w:color w:val="0C233C" w:themeColor="accent3"/>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F96B55"/>
    <w:multiLevelType w:val="multilevel"/>
    <w:tmpl w:val="B73620A4"/>
    <w:lvl w:ilvl="0">
      <w:start w:val="1"/>
      <w:numFmt w:val="decimal"/>
      <w:pStyle w:val="ListNumber"/>
      <w:lvlText w:val="%1."/>
      <w:lvlJc w:val="left"/>
      <w:pPr>
        <w:tabs>
          <w:tab w:val="num" w:pos="360"/>
        </w:tabs>
        <w:ind w:left="539" w:hanging="539"/>
      </w:pPr>
      <w:rPr>
        <w:rFonts w:ascii="Arial" w:hAnsi="Arial" w:hint="default"/>
        <w:color w:val="0C233C" w:themeColor="text2"/>
        <w:sz w:val="20"/>
      </w:rPr>
    </w:lvl>
    <w:lvl w:ilvl="1">
      <w:start w:val="1"/>
      <w:numFmt w:val="lowerLetter"/>
      <w:pStyle w:val="ListNumber2"/>
      <w:lvlText w:val="%2."/>
      <w:lvlJc w:val="left"/>
      <w:pPr>
        <w:ind w:left="1191"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FA21F4F"/>
    <w:multiLevelType w:val="singleLevel"/>
    <w:tmpl w:val="7130B33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4" w15:restartNumberingAfterBreak="0">
    <w:nsid w:val="316D6C32"/>
    <w:multiLevelType w:val="multilevel"/>
    <w:tmpl w:val="14E4E856"/>
    <w:lvl w:ilvl="0">
      <w:start w:val="1"/>
      <w:numFmt w:val="decimal"/>
      <w:pStyle w:val="Numberbullet1stlevel"/>
      <w:lvlText w:val="%1."/>
      <w:lvlJc w:val="left"/>
      <w:pPr>
        <w:tabs>
          <w:tab w:val="num" w:pos="340"/>
        </w:tabs>
        <w:ind w:left="340" w:hanging="340"/>
      </w:pPr>
      <w:rPr>
        <w:rFonts w:hint="default"/>
        <w:color w:val="1E49E2" w:themeColor="accent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355C46A0"/>
    <w:multiLevelType w:val="multilevel"/>
    <w:tmpl w:val="34C26C3C"/>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357741DC"/>
    <w:multiLevelType w:val="singleLevel"/>
    <w:tmpl w:val="0F6C048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7" w15:restartNumberingAfterBreak="0">
    <w:nsid w:val="3A0457E6"/>
    <w:multiLevelType w:val="singleLevel"/>
    <w:tmpl w:val="1EA29E0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8" w15:restartNumberingAfterBreak="0">
    <w:nsid w:val="3A687A69"/>
    <w:multiLevelType w:val="singleLevel"/>
    <w:tmpl w:val="5184B81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9" w15:restartNumberingAfterBreak="0">
    <w:nsid w:val="3C2F16A6"/>
    <w:multiLevelType w:val="hybridMultilevel"/>
    <w:tmpl w:val="941692B0"/>
    <w:lvl w:ilvl="0" w:tplc="7FBA8B82">
      <w:start w:val="1"/>
      <w:numFmt w:val="bullet"/>
      <w:pStyle w:val="Tablelistbullet"/>
      <w:lvlText w:val="•"/>
      <w:lvlJc w:val="left"/>
      <w:pPr>
        <w:ind w:left="360" w:hanging="360"/>
      </w:pPr>
      <w:rPr>
        <w:rFonts w:ascii="Arial" w:hAnsi="Arial" w:cs="Arial" w:hint="default"/>
        <w:color w:val="auto"/>
        <w:sz w:val="24"/>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88701D"/>
    <w:multiLevelType w:val="singleLevel"/>
    <w:tmpl w:val="5D78454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1" w15:restartNumberingAfterBreak="0">
    <w:nsid w:val="3DCD1349"/>
    <w:multiLevelType w:val="singleLevel"/>
    <w:tmpl w:val="4330E5D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2" w15:restartNumberingAfterBreak="0">
    <w:nsid w:val="4091346C"/>
    <w:multiLevelType w:val="singleLevel"/>
    <w:tmpl w:val="DFD69C6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3" w15:restartNumberingAfterBreak="0">
    <w:nsid w:val="427131F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5120CC5"/>
    <w:multiLevelType w:val="singleLevel"/>
    <w:tmpl w:val="21A8B33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5" w15:restartNumberingAfterBreak="0">
    <w:nsid w:val="47141230"/>
    <w:multiLevelType w:val="hybridMultilevel"/>
    <w:tmpl w:val="00BEF128"/>
    <w:lvl w:ilvl="0" w:tplc="438A8B08">
      <w:start w:val="1"/>
      <w:numFmt w:val="upperRoman"/>
      <w:pStyle w:val="Numberbullet3rdlevel"/>
      <w:lvlText w:val="%1."/>
      <w:lvlJc w:val="right"/>
      <w:pPr>
        <w:ind w:left="1571" w:hanging="360"/>
      </w:pPr>
    </w:lvl>
    <w:lvl w:ilvl="1" w:tplc="2C727EE6" w:tentative="1">
      <w:start w:val="1"/>
      <w:numFmt w:val="lowerLetter"/>
      <w:lvlText w:val="%2."/>
      <w:lvlJc w:val="left"/>
      <w:pPr>
        <w:ind w:left="2291" w:hanging="360"/>
      </w:pPr>
    </w:lvl>
    <w:lvl w:ilvl="2" w:tplc="D54EC10E" w:tentative="1">
      <w:start w:val="1"/>
      <w:numFmt w:val="lowerRoman"/>
      <w:lvlText w:val="%3."/>
      <w:lvlJc w:val="right"/>
      <w:pPr>
        <w:ind w:left="3011" w:hanging="180"/>
      </w:pPr>
    </w:lvl>
    <w:lvl w:ilvl="3" w:tplc="BBB45868" w:tentative="1">
      <w:start w:val="1"/>
      <w:numFmt w:val="decimal"/>
      <w:lvlText w:val="%4."/>
      <w:lvlJc w:val="left"/>
      <w:pPr>
        <w:ind w:left="3731" w:hanging="360"/>
      </w:pPr>
    </w:lvl>
    <w:lvl w:ilvl="4" w:tplc="2422A710" w:tentative="1">
      <w:start w:val="1"/>
      <w:numFmt w:val="lowerLetter"/>
      <w:lvlText w:val="%5."/>
      <w:lvlJc w:val="left"/>
      <w:pPr>
        <w:ind w:left="4451" w:hanging="360"/>
      </w:pPr>
    </w:lvl>
    <w:lvl w:ilvl="5" w:tplc="7B3E68C2" w:tentative="1">
      <w:start w:val="1"/>
      <w:numFmt w:val="lowerRoman"/>
      <w:lvlText w:val="%6."/>
      <w:lvlJc w:val="right"/>
      <w:pPr>
        <w:ind w:left="5171" w:hanging="180"/>
      </w:pPr>
    </w:lvl>
    <w:lvl w:ilvl="6" w:tplc="6F64D426" w:tentative="1">
      <w:start w:val="1"/>
      <w:numFmt w:val="decimal"/>
      <w:lvlText w:val="%7."/>
      <w:lvlJc w:val="left"/>
      <w:pPr>
        <w:ind w:left="5891" w:hanging="360"/>
      </w:pPr>
    </w:lvl>
    <w:lvl w:ilvl="7" w:tplc="61E06A86" w:tentative="1">
      <w:start w:val="1"/>
      <w:numFmt w:val="lowerLetter"/>
      <w:lvlText w:val="%8."/>
      <w:lvlJc w:val="left"/>
      <w:pPr>
        <w:ind w:left="6611" w:hanging="360"/>
      </w:pPr>
    </w:lvl>
    <w:lvl w:ilvl="8" w:tplc="12D25234" w:tentative="1">
      <w:start w:val="1"/>
      <w:numFmt w:val="lowerRoman"/>
      <w:lvlText w:val="%9."/>
      <w:lvlJc w:val="right"/>
      <w:pPr>
        <w:ind w:left="7331" w:hanging="180"/>
      </w:pPr>
    </w:lvl>
  </w:abstractNum>
  <w:abstractNum w:abstractNumId="46" w15:restartNumberingAfterBreak="0">
    <w:nsid w:val="47D57E5A"/>
    <w:multiLevelType w:val="singleLevel"/>
    <w:tmpl w:val="12C8E9F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7" w15:restartNumberingAfterBreak="0">
    <w:nsid w:val="4806506F"/>
    <w:multiLevelType w:val="singleLevel"/>
    <w:tmpl w:val="3B76A1E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8" w15:restartNumberingAfterBreak="0">
    <w:nsid w:val="48B4639D"/>
    <w:multiLevelType w:val="hybridMultilevel"/>
    <w:tmpl w:val="DD628964"/>
    <w:lvl w:ilvl="0" w:tplc="B8F40AB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E892C86"/>
    <w:multiLevelType w:val="singleLevel"/>
    <w:tmpl w:val="4BBE500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0" w15:restartNumberingAfterBreak="0">
    <w:nsid w:val="4F135D92"/>
    <w:multiLevelType w:val="hybridMultilevel"/>
    <w:tmpl w:val="558A0A24"/>
    <w:lvl w:ilvl="0" w:tplc="0A7A3874">
      <w:start w:val="1"/>
      <w:numFmt w:val="upperLetter"/>
      <w:pStyle w:val="AppendixHeading"/>
      <w:lvlText w:val="Appendix %1."/>
      <w:lvlJc w:val="left"/>
      <w:pPr>
        <w:ind w:left="4897" w:hanging="360"/>
      </w:pPr>
      <w:rPr>
        <w:rFonts w:hint="default"/>
      </w:rPr>
    </w:lvl>
    <w:lvl w:ilvl="1" w:tplc="04090019" w:tentative="1">
      <w:start w:val="1"/>
      <w:numFmt w:val="lowerLetter"/>
      <w:lvlText w:val="%2."/>
      <w:lvlJc w:val="left"/>
      <w:pPr>
        <w:ind w:left="5409" w:hanging="360"/>
      </w:pPr>
    </w:lvl>
    <w:lvl w:ilvl="2" w:tplc="0409001B" w:tentative="1">
      <w:start w:val="1"/>
      <w:numFmt w:val="lowerRoman"/>
      <w:lvlText w:val="%3."/>
      <w:lvlJc w:val="right"/>
      <w:pPr>
        <w:ind w:left="6129" w:hanging="180"/>
      </w:pPr>
    </w:lvl>
    <w:lvl w:ilvl="3" w:tplc="0409000F" w:tentative="1">
      <w:start w:val="1"/>
      <w:numFmt w:val="decimal"/>
      <w:lvlText w:val="%4."/>
      <w:lvlJc w:val="left"/>
      <w:pPr>
        <w:ind w:left="6849" w:hanging="360"/>
      </w:pPr>
    </w:lvl>
    <w:lvl w:ilvl="4" w:tplc="04090019" w:tentative="1">
      <w:start w:val="1"/>
      <w:numFmt w:val="lowerLetter"/>
      <w:lvlText w:val="%5."/>
      <w:lvlJc w:val="left"/>
      <w:pPr>
        <w:ind w:left="7569" w:hanging="360"/>
      </w:pPr>
    </w:lvl>
    <w:lvl w:ilvl="5" w:tplc="0409001B" w:tentative="1">
      <w:start w:val="1"/>
      <w:numFmt w:val="lowerRoman"/>
      <w:lvlText w:val="%6."/>
      <w:lvlJc w:val="right"/>
      <w:pPr>
        <w:ind w:left="8289" w:hanging="180"/>
      </w:pPr>
    </w:lvl>
    <w:lvl w:ilvl="6" w:tplc="0409000F" w:tentative="1">
      <w:start w:val="1"/>
      <w:numFmt w:val="decimal"/>
      <w:lvlText w:val="%7."/>
      <w:lvlJc w:val="left"/>
      <w:pPr>
        <w:ind w:left="9009" w:hanging="360"/>
      </w:pPr>
    </w:lvl>
    <w:lvl w:ilvl="7" w:tplc="04090019" w:tentative="1">
      <w:start w:val="1"/>
      <w:numFmt w:val="lowerLetter"/>
      <w:lvlText w:val="%8."/>
      <w:lvlJc w:val="left"/>
      <w:pPr>
        <w:ind w:left="9729" w:hanging="360"/>
      </w:pPr>
    </w:lvl>
    <w:lvl w:ilvl="8" w:tplc="0409001B" w:tentative="1">
      <w:start w:val="1"/>
      <w:numFmt w:val="lowerRoman"/>
      <w:lvlText w:val="%9."/>
      <w:lvlJc w:val="right"/>
      <w:pPr>
        <w:ind w:left="10449" w:hanging="180"/>
      </w:pPr>
    </w:lvl>
  </w:abstractNum>
  <w:abstractNum w:abstractNumId="51" w15:restartNumberingAfterBreak="0">
    <w:nsid w:val="4F565DBA"/>
    <w:multiLevelType w:val="singleLevel"/>
    <w:tmpl w:val="FBE4E93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2" w15:restartNumberingAfterBreak="0">
    <w:nsid w:val="4FFA7CC6"/>
    <w:multiLevelType w:val="multilevel"/>
    <w:tmpl w:val="56F0B37A"/>
    <w:lvl w:ilvl="0">
      <w:start w:val="1"/>
      <w:numFmt w:val="decimal"/>
      <w:lvlText w:val="%1."/>
      <w:lvlJc w:val="left"/>
      <w:pPr>
        <w:ind w:left="360" w:hanging="360"/>
      </w:pPr>
      <w:rPr>
        <w:rFonts w:hint="default"/>
        <w:b/>
        <w:i w:val="0"/>
        <w:u w:color="266DF1"/>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3" w15:restartNumberingAfterBreak="0">
    <w:nsid w:val="501B6F36"/>
    <w:multiLevelType w:val="multilevel"/>
    <w:tmpl w:val="4DC4B06A"/>
    <w:styleLink w:val="TableBullets"/>
    <w:lvl w:ilvl="0">
      <w:start w:val="1"/>
      <w:numFmt w:val="bullet"/>
      <w:lvlText w:val="–"/>
      <w:lvlJc w:val="left"/>
      <w:pPr>
        <w:ind w:left="870" w:hanging="360"/>
      </w:pPr>
      <w:rPr>
        <w:rFonts w:ascii="Arial" w:hAnsi="Arial" w:hint="default"/>
      </w:rPr>
    </w:lvl>
    <w:lvl w:ilvl="1">
      <w:start w:val="1"/>
      <w:numFmt w:val="bullet"/>
      <w:lvlText w:val="−"/>
      <w:lvlJc w:val="left"/>
      <w:pPr>
        <w:tabs>
          <w:tab w:val="num" w:pos="644"/>
        </w:tabs>
        <w:ind w:left="680" w:firstLine="170"/>
      </w:pPr>
      <w:rPr>
        <w:rFonts w:ascii="Arial" w:hAnsi="Arial" w:hint="default"/>
      </w:rPr>
    </w:lvl>
    <w:lvl w:ilvl="2">
      <w:start w:val="1"/>
      <w:numFmt w:val="bullet"/>
      <w:lvlText w:val=""/>
      <w:lvlJc w:val="left"/>
      <w:pPr>
        <w:tabs>
          <w:tab w:val="num" w:pos="928"/>
        </w:tabs>
        <w:ind w:left="1020" w:firstLine="170"/>
      </w:pPr>
      <w:rPr>
        <w:rFonts w:ascii="Wingdings" w:hAnsi="Wingdings" w:hint="default"/>
      </w:rPr>
    </w:lvl>
    <w:lvl w:ilvl="3">
      <w:start w:val="1"/>
      <w:numFmt w:val="bullet"/>
      <w:lvlText w:val=""/>
      <w:lvlJc w:val="left"/>
      <w:pPr>
        <w:tabs>
          <w:tab w:val="num" w:pos="1212"/>
        </w:tabs>
        <w:ind w:left="1360" w:firstLine="170"/>
      </w:pPr>
      <w:rPr>
        <w:rFonts w:ascii="Symbol" w:hAnsi="Symbol" w:hint="default"/>
      </w:rPr>
    </w:lvl>
    <w:lvl w:ilvl="4">
      <w:start w:val="1"/>
      <w:numFmt w:val="bullet"/>
      <w:lvlText w:val="o"/>
      <w:lvlJc w:val="left"/>
      <w:pPr>
        <w:tabs>
          <w:tab w:val="num" w:pos="1496"/>
        </w:tabs>
        <w:ind w:left="1700" w:firstLine="170"/>
      </w:pPr>
      <w:rPr>
        <w:rFonts w:ascii="Courier New" w:hAnsi="Courier New" w:cs="Courier New" w:hint="default"/>
      </w:rPr>
    </w:lvl>
    <w:lvl w:ilvl="5">
      <w:start w:val="1"/>
      <w:numFmt w:val="bullet"/>
      <w:lvlText w:val=""/>
      <w:lvlJc w:val="left"/>
      <w:pPr>
        <w:tabs>
          <w:tab w:val="num" w:pos="1780"/>
        </w:tabs>
        <w:ind w:left="2040" w:firstLine="170"/>
      </w:pPr>
      <w:rPr>
        <w:rFonts w:ascii="Wingdings" w:hAnsi="Wingdings" w:hint="default"/>
      </w:rPr>
    </w:lvl>
    <w:lvl w:ilvl="6">
      <w:start w:val="1"/>
      <w:numFmt w:val="bullet"/>
      <w:lvlText w:val=""/>
      <w:lvlJc w:val="left"/>
      <w:pPr>
        <w:tabs>
          <w:tab w:val="num" w:pos="2064"/>
        </w:tabs>
        <w:ind w:left="2380" w:firstLine="170"/>
      </w:pPr>
      <w:rPr>
        <w:rFonts w:ascii="Symbol" w:hAnsi="Symbol" w:hint="default"/>
      </w:rPr>
    </w:lvl>
    <w:lvl w:ilvl="7">
      <w:start w:val="1"/>
      <w:numFmt w:val="bullet"/>
      <w:lvlText w:val="o"/>
      <w:lvlJc w:val="left"/>
      <w:pPr>
        <w:tabs>
          <w:tab w:val="num" w:pos="2348"/>
        </w:tabs>
        <w:ind w:left="2720" w:firstLine="170"/>
      </w:pPr>
      <w:rPr>
        <w:rFonts w:ascii="Courier New" w:hAnsi="Courier New" w:cs="Courier New" w:hint="default"/>
      </w:rPr>
    </w:lvl>
    <w:lvl w:ilvl="8">
      <w:start w:val="1"/>
      <w:numFmt w:val="bullet"/>
      <w:lvlText w:val=""/>
      <w:lvlJc w:val="left"/>
      <w:pPr>
        <w:tabs>
          <w:tab w:val="num" w:pos="2632"/>
        </w:tabs>
        <w:ind w:left="3060" w:firstLine="170"/>
      </w:pPr>
      <w:rPr>
        <w:rFonts w:ascii="Wingdings" w:hAnsi="Wingdings" w:hint="default"/>
      </w:rPr>
    </w:lvl>
  </w:abstractNum>
  <w:abstractNum w:abstractNumId="54" w15:restartNumberingAfterBreak="0">
    <w:nsid w:val="52D03EF8"/>
    <w:multiLevelType w:val="multilevel"/>
    <w:tmpl w:val="4CDE3872"/>
    <w:styleLink w:val="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4395F0E"/>
    <w:multiLevelType w:val="singleLevel"/>
    <w:tmpl w:val="221C096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6" w15:restartNumberingAfterBreak="0">
    <w:nsid w:val="54B866FF"/>
    <w:multiLevelType w:val="singleLevel"/>
    <w:tmpl w:val="1C880A9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7" w15:restartNumberingAfterBreak="0">
    <w:nsid w:val="56D15AC2"/>
    <w:multiLevelType w:val="singleLevel"/>
    <w:tmpl w:val="8B0CDAB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8" w15:restartNumberingAfterBreak="0">
    <w:nsid w:val="581E50CC"/>
    <w:multiLevelType w:val="singleLevel"/>
    <w:tmpl w:val="69C4E99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9" w15:restartNumberingAfterBreak="0">
    <w:nsid w:val="5E942198"/>
    <w:multiLevelType w:val="hybridMultilevel"/>
    <w:tmpl w:val="17CEA5A0"/>
    <w:lvl w:ilvl="0" w:tplc="7CBCC172">
      <w:start w:val="1"/>
      <w:numFmt w:val="bullet"/>
      <w:pStyle w:val="ListBullet"/>
      <w:lvlText w:val=""/>
      <w:lvlJc w:val="left"/>
      <w:pPr>
        <w:ind w:left="360" w:hanging="360"/>
      </w:pPr>
      <w:rPr>
        <w:rFonts w:ascii="Symbol" w:hAnsi="Symbol" w:cs="Symbol" w:hint="default"/>
        <w:color w:val="auto"/>
        <w:sz w:val="22"/>
      </w:rPr>
    </w:lvl>
    <w:lvl w:ilvl="1" w:tplc="AB566D38">
      <w:numFmt w:val="decimal"/>
      <w:lvlText w:val=""/>
      <w:lvlJc w:val="left"/>
    </w:lvl>
    <w:lvl w:ilvl="2" w:tplc="8A3E0C08">
      <w:numFmt w:val="decimal"/>
      <w:lvlText w:val=""/>
      <w:lvlJc w:val="left"/>
    </w:lvl>
    <w:lvl w:ilvl="3" w:tplc="DCB0CB04">
      <w:numFmt w:val="decimal"/>
      <w:lvlText w:val=""/>
      <w:lvlJc w:val="left"/>
    </w:lvl>
    <w:lvl w:ilvl="4" w:tplc="E3467244">
      <w:numFmt w:val="decimal"/>
      <w:lvlText w:val=""/>
      <w:lvlJc w:val="left"/>
    </w:lvl>
    <w:lvl w:ilvl="5" w:tplc="FB72E8F2">
      <w:numFmt w:val="decimal"/>
      <w:lvlText w:val=""/>
      <w:lvlJc w:val="left"/>
    </w:lvl>
    <w:lvl w:ilvl="6" w:tplc="404E493E">
      <w:numFmt w:val="decimal"/>
      <w:lvlText w:val=""/>
      <w:lvlJc w:val="left"/>
    </w:lvl>
    <w:lvl w:ilvl="7" w:tplc="34E0BDF2">
      <w:numFmt w:val="decimal"/>
      <w:lvlText w:val=""/>
      <w:lvlJc w:val="left"/>
    </w:lvl>
    <w:lvl w:ilvl="8" w:tplc="6FEE9D66">
      <w:numFmt w:val="decimal"/>
      <w:lvlText w:val=""/>
      <w:lvlJc w:val="left"/>
    </w:lvl>
  </w:abstractNum>
  <w:abstractNum w:abstractNumId="60" w15:restartNumberingAfterBreak="0">
    <w:nsid w:val="60E57321"/>
    <w:multiLevelType w:val="singleLevel"/>
    <w:tmpl w:val="9498F2D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1" w15:restartNumberingAfterBreak="0">
    <w:nsid w:val="640E4045"/>
    <w:multiLevelType w:val="hybridMultilevel"/>
    <w:tmpl w:val="5902344E"/>
    <w:lvl w:ilvl="0" w:tplc="59882560">
      <w:start w:val="1"/>
      <w:numFmt w:val="bullet"/>
      <w:pStyle w:val="Tablebullet"/>
      <w:lvlText w:val=""/>
      <w:lvlJc w:val="left"/>
      <w:pPr>
        <w:ind w:left="720" w:hanging="360"/>
      </w:pPr>
      <w:rPr>
        <w:rFonts w:ascii="Symbol" w:hAnsi="Symbol" w:hint="default"/>
        <w:color w:val="auto"/>
        <w:spacing w:val="0"/>
        <w:w w:val="100"/>
        <w:position w:val="0"/>
        <w:sz w:val="20"/>
      </w:rPr>
    </w:lvl>
    <w:lvl w:ilvl="1" w:tplc="1EA62C92" w:tentative="1">
      <w:start w:val="1"/>
      <w:numFmt w:val="bullet"/>
      <w:lvlText w:val="o"/>
      <w:lvlJc w:val="left"/>
      <w:pPr>
        <w:ind w:left="1440" w:hanging="360"/>
      </w:pPr>
      <w:rPr>
        <w:rFonts w:ascii="Courier New" w:hAnsi="Courier New" w:cs="Courier New" w:hint="default"/>
      </w:rPr>
    </w:lvl>
    <w:lvl w:ilvl="2" w:tplc="6CF42F56" w:tentative="1">
      <w:start w:val="1"/>
      <w:numFmt w:val="bullet"/>
      <w:lvlText w:val=""/>
      <w:lvlJc w:val="left"/>
      <w:pPr>
        <w:ind w:left="2160" w:hanging="360"/>
      </w:pPr>
      <w:rPr>
        <w:rFonts w:ascii="Wingdings" w:hAnsi="Wingdings" w:hint="default"/>
      </w:rPr>
    </w:lvl>
    <w:lvl w:ilvl="3" w:tplc="74A66126" w:tentative="1">
      <w:start w:val="1"/>
      <w:numFmt w:val="bullet"/>
      <w:lvlText w:val=""/>
      <w:lvlJc w:val="left"/>
      <w:pPr>
        <w:ind w:left="2880" w:hanging="360"/>
      </w:pPr>
      <w:rPr>
        <w:rFonts w:ascii="Symbol" w:hAnsi="Symbol" w:hint="default"/>
      </w:rPr>
    </w:lvl>
    <w:lvl w:ilvl="4" w:tplc="60B6C074" w:tentative="1">
      <w:start w:val="1"/>
      <w:numFmt w:val="bullet"/>
      <w:lvlText w:val="o"/>
      <w:lvlJc w:val="left"/>
      <w:pPr>
        <w:ind w:left="3600" w:hanging="360"/>
      </w:pPr>
      <w:rPr>
        <w:rFonts w:ascii="Courier New" w:hAnsi="Courier New" w:cs="Courier New" w:hint="default"/>
      </w:rPr>
    </w:lvl>
    <w:lvl w:ilvl="5" w:tplc="DDA219BE" w:tentative="1">
      <w:start w:val="1"/>
      <w:numFmt w:val="bullet"/>
      <w:lvlText w:val=""/>
      <w:lvlJc w:val="left"/>
      <w:pPr>
        <w:ind w:left="4320" w:hanging="360"/>
      </w:pPr>
      <w:rPr>
        <w:rFonts w:ascii="Wingdings" w:hAnsi="Wingdings" w:hint="default"/>
      </w:rPr>
    </w:lvl>
    <w:lvl w:ilvl="6" w:tplc="FA80C3C2" w:tentative="1">
      <w:start w:val="1"/>
      <w:numFmt w:val="bullet"/>
      <w:lvlText w:val=""/>
      <w:lvlJc w:val="left"/>
      <w:pPr>
        <w:ind w:left="5040" w:hanging="360"/>
      </w:pPr>
      <w:rPr>
        <w:rFonts w:ascii="Symbol" w:hAnsi="Symbol" w:hint="default"/>
      </w:rPr>
    </w:lvl>
    <w:lvl w:ilvl="7" w:tplc="A698A4DC" w:tentative="1">
      <w:start w:val="1"/>
      <w:numFmt w:val="bullet"/>
      <w:lvlText w:val="o"/>
      <w:lvlJc w:val="left"/>
      <w:pPr>
        <w:ind w:left="5760" w:hanging="360"/>
      </w:pPr>
      <w:rPr>
        <w:rFonts w:ascii="Courier New" w:hAnsi="Courier New" w:cs="Courier New" w:hint="default"/>
      </w:rPr>
    </w:lvl>
    <w:lvl w:ilvl="8" w:tplc="0AB668A8" w:tentative="1">
      <w:start w:val="1"/>
      <w:numFmt w:val="bullet"/>
      <w:lvlText w:val=""/>
      <w:lvlJc w:val="left"/>
      <w:pPr>
        <w:ind w:left="6480" w:hanging="360"/>
      </w:pPr>
      <w:rPr>
        <w:rFonts w:ascii="Wingdings" w:hAnsi="Wingdings" w:hint="default"/>
      </w:rPr>
    </w:lvl>
  </w:abstractNum>
  <w:abstractNum w:abstractNumId="62" w15:restartNumberingAfterBreak="0">
    <w:nsid w:val="644E6124"/>
    <w:multiLevelType w:val="multilevel"/>
    <w:tmpl w:val="2E888232"/>
    <w:lvl w:ilvl="0">
      <w:start w:val="1"/>
      <w:numFmt w:val="decimal"/>
      <w:pStyle w:val="MEBasic1"/>
      <w:lvlText w:val="%1."/>
      <w:lvlJc w:val="left"/>
      <w:pPr>
        <w:tabs>
          <w:tab w:val="num" w:pos="822"/>
        </w:tabs>
        <w:ind w:left="822" w:hanging="680"/>
      </w:pPr>
      <w:rPr>
        <w:rFonts w:ascii="Calibri" w:hAnsi="Calibri" w:cs="Calibri" w:hint="default"/>
        <w:b/>
        <w:bCs w:val="0"/>
        <w:sz w:val="24"/>
        <w:szCs w:val="24"/>
      </w:rPr>
    </w:lvl>
    <w:lvl w:ilvl="1">
      <w:start w:val="1"/>
      <w:numFmt w:val="decimal"/>
      <w:pStyle w:val="MEBasic2"/>
      <w:lvlText w:val="%1.%2"/>
      <w:lvlJc w:val="left"/>
      <w:pPr>
        <w:tabs>
          <w:tab w:val="num" w:pos="822"/>
        </w:tabs>
        <w:ind w:left="822" w:hanging="680"/>
      </w:pPr>
      <w:rPr>
        <w:rFonts w:hint="default"/>
      </w:rPr>
    </w:lvl>
    <w:lvl w:ilvl="2">
      <w:start w:val="1"/>
      <w:numFmt w:val="lowerLetter"/>
      <w:pStyle w:val="MEBasic3"/>
      <w:lvlText w:val="(%3)"/>
      <w:lvlJc w:val="left"/>
      <w:pPr>
        <w:tabs>
          <w:tab w:val="num" w:pos="1503"/>
        </w:tabs>
        <w:ind w:left="1503" w:hanging="681"/>
      </w:pPr>
      <w:rPr>
        <w:rFonts w:hint="default"/>
      </w:rPr>
    </w:lvl>
    <w:lvl w:ilvl="3">
      <w:start w:val="1"/>
      <w:numFmt w:val="lowerRoman"/>
      <w:pStyle w:val="MEBasic4"/>
      <w:lvlText w:val="(%4)"/>
      <w:lvlJc w:val="left"/>
      <w:pPr>
        <w:tabs>
          <w:tab w:val="num" w:pos="2183"/>
        </w:tabs>
        <w:ind w:left="2183" w:hanging="680"/>
      </w:pPr>
      <w:rPr>
        <w:rFonts w:hint="default"/>
      </w:rPr>
    </w:lvl>
    <w:lvl w:ilvl="4">
      <w:start w:val="1"/>
      <w:numFmt w:val="upperLetter"/>
      <w:pStyle w:val="MEBasic5"/>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63" w15:restartNumberingAfterBreak="0">
    <w:nsid w:val="66E34DD4"/>
    <w:multiLevelType w:val="singleLevel"/>
    <w:tmpl w:val="74427C0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4" w15:restartNumberingAfterBreak="0">
    <w:nsid w:val="67C06B73"/>
    <w:multiLevelType w:val="multilevel"/>
    <w:tmpl w:val="F6CCA84A"/>
    <w:lvl w:ilvl="0">
      <w:start w:val="1"/>
      <w:numFmt w:val="bullet"/>
      <w:lvlText w:val="•"/>
      <w:lvlJc w:val="left"/>
      <w:pPr>
        <w:ind w:left="720" w:hanging="360"/>
      </w:pPr>
      <w:rPr>
        <w:rFonts w:ascii="Arial" w:hAnsi="Arial" w:hint="default"/>
        <w:b/>
        <w:color w:val="auto"/>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15:restartNumberingAfterBreak="0">
    <w:nsid w:val="6C2D4657"/>
    <w:multiLevelType w:val="singleLevel"/>
    <w:tmpl w:val="73564EA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6" w15:restartNumberingAfterBreak="0">
    <w:nsid w:val="6C4030FF"/>
    <w:multiLevelType w:val="hybridMultilevel"/>
    <w:tmpl w:val="E6E43430"/>
    <w:lvl w:ilvl="0" w:tplc="EB022B22">
      <w:start w:val="1"/>
      <w:numFmt w:val="bullet"/>
      <w:pStyle w:val="ListBullet2"/>
      <w:lvlText w:val="-"/>
      <w:lvlJc w:val="left"/>
      <w:pPr>
        <w:tabs>
          <w:tab w:val="num" w:pos="680"/>
        </w:tabs>
        <w:ind w:left="680" w:hanging="340"/>
      </w:pPr>
      <w:rPr>
        <w:rFonts w:ascii="Times New Roman" w:hAnsi="Times New Roman" w:hint="default"/>
      </w:rPr>
    </w:lvl>
    <w:lvl w:ilvl="1" w:tplc="20EED25C">
      <w:numFmt w:val="decimal"/>
      <w:lvlText w:val=""/>
      <w:lvlJc w:val="left"/>
    </w:lvl>
    <w:lvl w:ilvl="2" w:tplc="CB228C20">
      <w:numFmt w:val="decimal"/>
      <w:lvlText w:val=""/>
      <w:lvlJc w:val="left"/>
    </w:lvl>
    <w:lvl w:ilvl="3" w:tplc="1756B9AC">
      <w:numFmt w:val="decimal"/>
      <w:lvlText w:val=""/>
      <w:lvlJc w:val="left"/>
    </w:lvl>
    <w:lvl w:ilvl="4" w:tplc="A98CE706">
      <w:numFmt w:val="decimal"/>
      <w:lvlText w:val=""/>
      <w:lvlJc w:val="left"/>
    </w:lvl>
    <w:lvl w:ilvl="5" w:tplc="979816C6">
      <w:numFmt w:val="decimal"/>
      <w:lvlText w:val=""/>
      <w:lvlJc w:val="left"/>
    </w:lvl>
    <w:lvl w:ilvl="6" w:tplc="E9702D76">
      <w:numFmt w:val="decimal"/>
      <w:lvlText w:val=""/>
      <w:lvlJc w:val="left"/>
    </w:lvl>
    <w:lvl w:ilvl="7" w:tplc="8DF0B8BA">
      <w:numFmt w:val="decimal"/>
      <w:lvlText w:val=""/>
      <w:lvlJc w:val="left"/>
    </w:lvl>
    <w:lvl w:ilvl="8" w:tplc="71A41552">
      <w:numFmt w:val="decimal"/>
      <w:lvlText w:val=""/>
      <w:lvlJc w:val="left"/>
    </w:lvl>
  </w:abstractNum>
  <w:abstractNum w:abstractNumId="67" w15:restartNumberingAfterBreak="0">
    <w:nsid w:val="6CA127C6"/>
    <w:multiLevelType w:val="singleLevel"/>
    <w:tmpl w:val="15D6064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8" w15:restartNumberingAfterBreak="0">
    <w:nsid w:val="6CA65EAE"/>
    <w:multiLevelType w:val="singleLevel"/>
    <w:tmpl w:val="B7C6A25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9" w15:restartNumberingAfterBreak="0">
    <w:nsid w:val="6CB93DD2"/>
    <w:multiLevelType w:val="hybridMultilevel"/>
    <w:tmpl w:val="22FA2796"/>
    <w:lvl w:ilvl="0" w:tplc="317498B0">
      <w:start w:val="1"/>
      <w:numFmt w:val="bullet"/>
      <w:lvlText w:val="•"/>
      <w:lvlJc w:val="left"/>
      <w:pPr>
        <w:ind w:left="720" w:hanging="360"/>
      </w:pPr>
      <w:rPr>
        <w:rFonts w:ascii="Arial" w:hAnsi="Arial" w:hint="default"/>
        <w:color w:val="auto"/>
        <w:sz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2434B7B"/>
    <w:multiLevelType w:val="multilevel"/>
    <w:tmpl w:val="3016226C"/>
    <w:lvl w:ilvl="0">
      <w:start w:val="1"/>
      <w:numFmt w:val="decimal"/>
      <w:lvlText w:val="%1."/>
      <w:lvlJc w:val="left"/>
      <w:pPr>
        <w:ind w:left="360" w:hanging="360"/>
      </w:pPr>
      <w:rPr>
        <w:rFonts w:hint="default"/>
        <w:b/>
        <w:i w:val="0"/>
        <w:u w:color="266DF1"/>
      </w:rPr>
    </w:lvl>
    <w:lvl w:ilvl="1">
      <w:start w:val="5"/>
      <w:numFmt w:val="decimal"/>
      <w:isLgl/>
      <w:lvlText w:val="3.%2"/>
      <w:lvlJc w:val="left"/>
      <w:pPr>
        <w:ind w:left="720" w:hanging="720"/>
      </w:pPr>
      <w:rPr>
        <w:rFonts w:hint="default"/>
      </w:rPr>
    </w:lvl>
    <w:lvl w:ilvl="2">
      <w:start w:val="2"/>
      <w:numFmt w:val="decimal"/>
      <w:isLgl/>
      <w:lvlText w:val="3.5.%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71" w15:restartNumberingAfterBreak="0">
    <w:nsid w:val="7398507A"/>
    <w:multiLevelType w:val="singleLevel"/>
    <w:tmpl w:val="6414BB5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2" w15:restartNumberingAfterBreak="0">
    <w:nsid w:val="76920F2C"/>
    <w:multiLevelType w:val="hybridMultilevel"/>
    <w:tmpl w:val="93C8D4FC"/>
    <w:lvl w:ilvl="0" w:tplc="204C5A6E">
      <w:start w:val="1"/>
      <w:numFmt w:val="decimal"/>
      <w:pStyle w:val="SectionTitleNumbered"/>
      <w:lvlText w:val="%1."/>
      <w:lvlJc w:val="left"/>
      <w:pPr>
        <w:ind w:left="720" w:hanging="360"/>
      </w:pPr>
      <w:rPr>
        <w:rFonts w:ascii="Arial" w:hAnsi="Arial" w:hint="default"/>
        <w:b w:val="0"/>
        <w:i w:val="0"/>
        <w:color w:val="0C233C" w:themeColor="text2"/>
        <w:sz w:val="40"/>
      </w:rPr>
    </w:lvl>
    <w:lvl w:ilvl="1" w:tplc="B02042EA" w:tentative="1">
      <w:start w:val="1"/>
      <w:numFmt w:val="lowerLetter"/>
      <w:lvlText w:val="%2."/>
      <w:lvlJc w:val="left"/>
      <w:pPr>
        <w:ind w:left="1440" w:hanging="360"/>
      </w:pPr>
    </w:lvl>
    <w:lvl w:ilvl="2" w:tplc="A0B2660C" w:tentative="1">
      <w:start w:val="1"/>
      <w:numFmt w:val="lowerRoman"/>
      <w:lvlText w:val="%3."/>
      <w:lvlJc w:val="right"/>
      <w:pPr>
        <w:ind w:left="2160" w:hanging="180"/>
      </w:pPr>
    </w:lvl>
    <w:lvl w:ilvl="3" w:tplc="763E84F6" w:tentative="1">
      <w:start w:val="1"/>
      <w:numFmt w:val="decimal"/>
      <w:lvlText w:val="%4."/>
      <w:lvlJc w:val="left"/>
      <w:pPr>
        <w:ind w:left="2880" w:hanging="360"/>
      </w:pPr>
    </w:lvl>
    <w:lvl w:ilvl="4" w:tplc="3FBC7FF0" w:tentative="1">
      <w:start w:val="1"/>
      <w:numFmt w:val="lowerLetter"/>
      <w:lvlText w:val="%5."/>
      <w:lvlJc w:val="left"/>
      <w:pPr>
        <w:ind w:left="3600" w:hanging="360"/>
      </w:pPr>
    </w:lvl>
    <w:lvl w:ilvl="5" w:tplc="8446027A" w:tentative="1">
      <w:start w:val="1"/>
      <w:numFmt w:val="lowerRoman"/>
      <w:lvlText w:val="%6."/>
      <w:lvlJc w:val="right"/>
      <w:pPr>
        <w:ind w:left="4320" w:hanging="180"/>
      </w:pPr>
    </w:lvl>
    <w:lvl w:ilvl="6" w:tplc="622A53EC" w:tentative="1">
      <w:start w:val="1"/>
      <w:numFmt w:val="decimal"/>
      <w:lvlText w:val="%7."/>
      <w:lvlJc w:val="left"/>
      <w:pPr>
        <w:ind w:left="5040" w:hanging="360"/>
      </w:pPr>
    </w:lvl>
    <w:lvl w:ilvl="7" w:tplc="FBD8190E" w:tentative="1">
      <w:start w:val="1"/>
      <w:numFmt w:val="lowerLetter"/>
      <w:lvlText w:val="%8."/>
      <w:lvlJc w:val="left"/>
      <w:pPr>
        <w:ind w:left="5760" w:hanging="360"/>
      </w:pPr>
    </w:lvl>
    <w:lvl w:ilvl="8" w:tplc="7700D3CA" w:tentative="1">
      <w:start w:val="1"/>
      <w:numFmt w:val="lowerRoman"/>
      <w:lvlText w:val="%9."/>
      <w:lvlJc w:val="right"/>
      <w:pPr>
        <w:ind w:left="6480" w:hanging="180"/>
      </w:pPr>
    </w:lvl>
  </w:abstractNum>
  <w:abstractNum w:abstractNumId="73" w15:restartNumberingAfterBreak="0">
    <w:nsid w:val="773F0F9B"/>
    <w:multiLevelType w:val="singleLevel"/>
    <w:tmpl w:val="24B2035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4" w15:restartNumberingAfterBreak="0">
    <w:nsid w:val="7C407D3C"/>
    <w:multiLevelType w:val="singleLevel"/>
    <w:tmpl w:val="06F08BA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5" w15:restartNumberingAfterBreak="0">
    <w:nsid w:val="7E5D0D21"/>
    <w:multiLevelType w:val="singleLevel"/>
    <w:tmpl w:val="6D2243AA"/>
    <w:lvl w:ilvl="0">
      <w:start w:val="1"/>
      <w:numFmt w:val="bullet"/>
      <w:lvlText w:val="•"/>
      <w:lvlJc w:val="left"/>
      <w:pPr>
        <w:tabs>
          <w:tab w:val="num" w:pos="340"/>
        </w:tabs>
        <w:ind w:left="340" w:hanging="340"/>
      </w:pPr>
      <w:rPr>
        <w:rFonts w:ascii="Arial" w:hAnsi="Arial" w:cs="Arial" w:hint="default"/>
        <w:color w:val="auto"/>
        <w:sz w:val="24"/>
      </w:rPr>
    </w:lvl>
  </w:abstractNum>
  <w:num w:numId="1" w16cid:durableId="233004865">
    <w:abstractNumId w:val="26"/>
  </w:num>
  <w:num w:numId="2" w16cid:durableId="1641109852">
    <w:abstractNumId w:val="66"/>
  </w:num>
  <w:num w:numId="3" w16cid:durableId="1800760489">
    <w:abstractNumId w:val="59"/>
  </w:num>
  <w:num w:numId="4" w16cid:durableId="12343747">
    <w:abstractNumId w:val="9"/>
  </w:num>
  <w:num w:numId="5" w16cid:durableId="1298532706">
    <w:abstractNumId w:val="45"/>
  </w:num>
  <w:num w:numId="6" w16cid:durableId="1397163025">
    <w:abstractNumId w:val="29"/>
  </w:num>
  <w:num w:numId="7" w16cid:durableId="1279677060">
    <w:abstractNumId w:val="39"/>
  </w:num>
  <w:num w:numId="8" w16cid:durableId="677583220">
    <w:abstractNumId w:val="35"/>
  </w:num>
  <w:num w:numId="9" w16cid:durableId="725378635">
    <w:abstractNumId w:val="28"/>
  </w:num>
  <w:num w:numId="10" w16cid:durableId="669604063">
    <w:abstractNumId w:val="50"/>
  </w:num>
  <w:num w:numId="11" w16cid:durableId="605384444">
    <w:abstractNumId w:val="61"/>
  </w:num>
  <w:num w:numId="12" w16cid:durableId="601573313">
    <w:abstractNumId w:val="31"/>
  </w:num>
  <w:num w:numId="13" w16cid:durableId="6533415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2963372">
    <w:abstractNumId w:val="10"/>
  </w:num>
  <w:num w:numId="15" w16cid:durableId="301228886">
    <w:abstractNumId w:val="21"/>
  </w:num>
  <w:num w:numId="16" w16cid:durableId="719747199">
    <w:abstractNumId w:val="32"/>
  </w:num>
  <w:num w:numId="17" w16cid:durableId="2057074316">
    <w:abstractNumId w:val="72"/>
  </w:num>
  <w:num w:numId="18" w16cid:durableId="1014183155">
    <w:abstractNumId w:val="8"/>
  </w:num>
  <w:num w:numId="19" w16cid:durableId="304892857">
    <w:abstractNumId w:val="54"/>
  </w:num>
  <w:num w:numId="20" w16cid:durableId="247472160">
    <w:abstractNumId w:val="13"/>
  </w:num>
  <w:num w:numId="21" w16cid:durableId="558395409">
    <w:abstractNumId w:val="53"/>
  </w:num>
  <w:num w:numId="22" w16cid:durableId="2095079083">
    <w:abstractNumId w:val="43"/>
  </w:num>
  <w:num w:numId="23" w16cid:durableId="569004676">
    <w:abstractNumId w:val="23"/>
  </w:num>
  <w:num w:numId="24" w16cid:durableId="1463694419">
    <w:abstractNumId w:val="24"/>
  </w:num>
  <w:num w:numId="25" w16cid:durableId="982932442">
    <w:abstractNumId w:val="2"/>
  </w:num>
  <w:num w:numId="26" w16cid:durableId="328483633">
    <w:abstractNumId w:val="1"/>
  </w:num>
  <w:num w:numId="27" w16cid:durableId="1984767629">
    <w:abstractNumId w:val="0"/>
  </w:num>
  <w:num w:numId="28" w16cid:durableId="2109958115">
    <w:abstractNumId w:val="52"/>
  </w:num>
  <w:num w:numId="29" w16cid:durableId="246808683">
    <w:abstractNumId w:val="34"/>
  </w:num>
  <w:num w:numId="30" w16cid:durableId="1732074596">
    <w:abstractNumId w:val="36"/>
  </w:num>
  <w:num w:numId="31" w16cid:durableId="716857681">
    <w:abstractNumId w:val="67"/>
  </w:num>
  <w:num w:numId="32" w16cid:durableId="494304381">
    <w:abstractNumId w:val="33"/>
  </w:num>
  <w:num w:numId="33" w16cid:durableId="282032455">
    <w:abstractNumId w:val="42"/>
  </w:num>
  <w:num w:numId="34" w16cid:durableId="1915893770">
    <w:abstractNumId w:val="18"/>
  </w:num>
  <w:num w:numId="35" w16cid:durableId="1603956172">
    <w:abstractNumId w:val="75"/>
  </w:num>
  <w:num w:numId="36" w16cid:durableId="1308126000">
    <w:abstractNumId w:val="38"/>
  </w:num>
  <w:num w:numId="37" w16cid:durableId="843205860">
    <w:abstractNumId w:val="44"/>
  </w:num>
  <w:num w:numId="38" w16cid:durableId="140730429">
    <w:abstractNumId w:val="57"/>
  </w:num>
  <w:num w:numId="39" w16cid:durableId="638341999">
    <w:abstractNumId w:val="7"/>
  </w:num>
  <w:num w:numId="40" w16cid:durableId="359552172">
    <w:abstractNumId w:val="14"/>
  </w:num>
  <w:num w:numId="41" w16cid:durableId="1146626425">
    <w:abstractNumId w:val="12"/>
  </w:num>
  <w:num w:numId="42" w16cid:durableId="1095596591">
    <w:abstractNumId w:val="41"/>
  </w:num>
  <w:num w:numId="43" w16cid:durableId="1108624430">
    <w:abstractNumId w:val="56"/>
  </w:num>
  <w:num w:numId="44" w16cid:durableId="11345134">
    <w:abstractNumId w:val="6"/>
  </w:num>
  <w:num w:numId="45" w16cid:durableId="1156459684">
    <w:abstractNumId w:val="58"/>
  </w:num>
  <w:num w:numId="46" w16cid:durableId="740374074">
    <w:abstractNumId w:val="4"/>
  </w:num>
  <w:num w:numId="47" w16cid:durableId="747728364">
    <w:abstractNumId w:val="55"/>
  </w:num>
  <w:num w:numId="48" w16cid:durableId="1927954501">
    <w:abstractNumId w:val="47"/>
  </w:num>
  <w:num w:numId="49" w16cid:durableId="1530676499">
    <w:abstractNumId w:val="37"/>
  </w:num>
  <w:num w:numId="50" w16cid:durableId="385105785">
    <w:abstractNumId w:val="46"/>
  </w:num>
  <w:num w:numId="51" w16cid:durableId="1990669739">
    <w:abstractNumId w:val="16"/>
  </w:num>
  <w:num w:numId="52" w16cid:durableId="26029838">
    <w:abstractNumId w:val="68"/>
  </w:num>
  <w:num w:numId="53" w16cid:durableId="433863419">
    <w:abstractNumId w:val="73"/>
  </w:num>
  <w:num w:numId="54" w16cid:durableId="290482368">
    <w:abstractNumId w:val="48"/>
  </w:num>
  <w:num w:numId="55" w16cid:durableId="1624992468">
    <w:abstractNumId w:val="69"/>
  </w:num>
  <w:num w:numId="56" w16cid:durableId="2108573980">
    <w:abstractNumId w:val="11"/>
  </w:num>
  <w:num w:numId="57" w16cid:durableId="1383093539">
    <w:abstractNumId w:val="64"/>
  </w:num>
  <w:num w:numId="58" w16cid:durableId="1954634178">
    <w:abstractNumId w:val="30"/>
  </w:num>
  <w:num w:numId="59" w16cid:durableId="1980719857">
    <w:abstractNumId w:val="15"/>
  </w:num>
  <w:num w:numId="60" w16cid:durableId="747846416">
    <w:abstractNumId w:val="25"/>
  </w:num>
  <w:num w:numId="61" w16cid:durableId="1120681136">
    <w:abstractNumId w:val="63"/>
  </w:num>
  <w:num w:numId="62" w16cid:durableId="373233851">
    <w:abstractNumId w:val="5"/>
  </w:num>
  <w:num w:numId="63" w16cid:durableId="282346839">
    <w:abstractNumId w:val="49"/>
  </w:num>
  <w:num w:numId="64" w16cid:durableId="2062947092">
    <w:abstractNumId w:val="20"/>
  </w:num>
  <w:num w:numId="65" w16cid:durableId="1540430457">
    <w:abstractNumId w:val="40"/>
  </w:num>
  <w:num w:numId="66" w16cid:durableId="1909488594">
    <w:abstractNumId w:val="65"/>
  </w:num>
  <w:num w:numId="67" w16cid:durableId="1910185631">
    <w:abstractNumId w:val="60"/>
  </w:num>
  <w:num w:numId="68" w16cid:durableId="734281505">
    <w:abstractNumId w:val="22"/>
  </w:num>
  <w:num w:numId="69" w16cid:durableId="317614683">
    <w:abstractNumId w:val="70"/>
  </w:num>
  <w:num w:numId="70" w16cid:durableId="542401769">
    <w:abstractNumId w:val="19"/>
  </w:num>
  <w:num w:numId="71" w16cid:durableId="38631298">
    <w:abstractNumId w:val="74"/>
  </w:num>
  <w:num w:numId="72" w16cid:durableId="1366760262">
    <w:abstractNumId w:val="71"/>
  </w:num>
  <w:num w:numId="73" w16cid:durableId="870610294">
    <w:abstractNumId w:val="17"/>
  </w:num>
  <w:num w:numId="74" w16cid:durableId="1878081291">
    <w:abstractNumId w:val="51"/>
  </w:num>
  <w:num w:numId="75" w16cid:durableId="1184901273">
    <w:abstractNumId w:val="27"/>
  </w:num>
  <w:num w:numId="76" w16cid:durableId="12889717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996211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585448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704402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126167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6191885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661283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892833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069915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5260219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856938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440897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415529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5418965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0336576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790862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398636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138655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749939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740857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028661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8481250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283375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994480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5072840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23620662">
    <w:abstractNumId w:val="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raftWatermark" w:val="0"/>
  </w:docVars>
  <w:rsids>
    <w:rsidRoot w:val="001C1003"/>
    <w:rsid w:val="00000094"/>
    <w:rsid w:val="000002AB"/>
    <w:rsid w:val="00000302"/>
    <w:rsid w:val="000003D8"/>
    <w:rsid w:val="0000043C"/>
    <w:rsid w:val="00000460"/>
    <w:rsid w:val="00000482"/>
    <w:rsid w:val="00000685"/>
    <w:rsid w:val="00000729"/>
    <w:rsid w:val="000007BC"/>
    <w:rsid w:val="00000B92"/>
    <w:rsid w:val="00000E2A"/>
    <w:rsid w:val="000014AB"/>
    <w:rsid w:val="000015CF"/>
    <w:rsid w:val="000015E5"/>
    <w:rsid w:val="0000177E"/>
    <w:rsid w:val="000017F3"/>
    <w:rsid w:val="0000182B"/>
    <w:rsid w:val="0000186A"/>
    <w:rsid w:val="00001937"/>
    <w:rsid w:val="00001B35"/>
    <w:rsid w:val="00001B6C"/>
    <w:rsid w:val="00001D0C"/>
    <w:rsid w:val="00001D6F"/>
    <w:rsid w:val="00001D88"/>
    <w:rsid w:val="00001E2B"/>
    <w:rsid w:val="0000274A"/>
    <w:rsid w:val="000028A4"/>
    <w:rsid w:val="0000291F"/>
    <w:rsid w:val="000029BB"/>
    <w:rsid w:val="000029D5"/>
    <w:rsid w:val="00002B1F"/>
    <w:rsid w:val="00002BD8"/>
    <w:rsid w:val="00002DDF"/>
    <w:rsid w:val="00002EE8"/>
    <w:rsid w:val="000030A0"/>
    <w:rsid w:val="00003124"/>
    <w:rsid w:val="0000322D"/>
    <w:rsid w:val="0000325F"/>
    <w:rsid w:val="000032F5"/>
    <w:rsid w:val="000032F7"/>
    <w:rsid w:val="0000331C"/>
    <w:rsid w:val="00003426"/>
    <w:rsid w:val="00003587"/>
    <w:rsid w:val="000036BC"/>
    <w:rsid w:val="0000382E"/>
    <w:rsid w:val="000038C5"/>
    <w:rsid w:val="00003918"/>
    <w:rsid w:val="00003F61"/>
    <w:rsid w:val="00004551"/>
    <w:rsid w:val="0000463C"/>
    <w:rsid w:val="000046FD"/>
    <w:rsid w:val="0000477E"/>
    <w:rsid w:val="00004869"/>
    <w:rsid w:val="00004A85"/>
    <w:rsid w:val="00004AB4"/>
    <w:rsid w:val="00004E6E"/>
    <w:rsid w:val="00004EE4"/>
    <w:rsid w:val="00004F40"/>
    <w:rsid w:val="00004FE1"/>
    <w:rsid w:val="000054F8"/>
    <w:rsid w:val="0000553A"/>
    <w:rsid w:val="000056CE"/>
    <w:rsid w:val="000057A1"/>
    <w:rsid w:val="00005ADF"/>
    <w:rsid w:val="00005B19"/>
    <w:rsid w:val="00005BB8"/>
    <w:rsid w:val="00005D22"/>
    <w:rsid w:val="00005E35"/>
    <w:rsid w:val="00005F1B"/>
    <w:rsid w:val="00005F21"/>
    <w:rsid w:val="00005F3E"/>
    <w:rsid w:val="00006039"/>
    <w:rsid w:val="000064F1"/>
    <w:rsid w:val="00006503"/>
    <w:rsid w:val="00006516"/>
    <w:rsid w:val="00006572"/>
    <w:rsid w:val="0000665E"/>
    <w:rsid w:val="0000694C"/>
    <w:rsid w:val="00006B26"/>
    <w:rsid w:val="00006B8C"/>
    <w:rsid w:val="00006C78"/>
    <w:rsid w:val="00006D1A"/>
    <w:rsid w:val="00006D4F"/>
    <w:rsid w:val="00006E41"/>
    <w:rsid w:val="00006E53"/>
    <w:rsid w:val="00006E8B"/>
    <w:rsid w:val="00006EEC"/>
    <w:rsid w:val="00006FFA"/>
    <w:rsid w:val="00007046"/>
    <w:rsid w:val="0000712A"/>
    <w:rsid w:val="000071E8"/>
    <w:rsid w:val="0000754D"/>
    <w:rsid w:val="00007596"/>
    <w:rsid w:val="000075B7"/>
    <w:rsid w:val="00007758"/>
    <w:rsid w:val="000077BA"/>
    <w:rsid w:val="00007A57"/>
    <w:rsid w:val="00007AFA"/>
    <w:rsid w:val="00007C89"/>
    <w:rsid w:val="00007D6D"/>
    <w:rsid w:val="00007FE6"/>
    <w:rsid w:val="0001025D"/>
    <w:rsid w:val="00010471"/>
    <w:rsid w:val="000105CC"/>
    <w:rsid w:val="000107CB"/>
    <w:rsid w:val="00010811"/>
    <w:rsid w:val="00010898"/>
    <w:rsid w:val="00010A59"/>
    <w:rsid w:val="00010CA2"/>
    <w:rsid w:val="00010E3B"/>
    <w:rsid w:val="00010F75"/>
    <w:rsid w:val="0001107C"/>
    <w:rsid w:val="00011124"/>
    <w:rsid w:val="00011172"/>
    <w:rsid w:val="000112DF"/>
    <w:rsid w:val="000115F0"/>
    <w:rsid w:val="00011645"/>
    <w:rsid w:val="00011712"/>
    <w:rsid w:val="000119E0"/>
    <w:rsid w:val="00011AC6"/>
    <w:rsid w:val="00011B0A"/>
    <w:rsid w:val="00011CD2"/>
    <w:rsid w:val="00011D2C"/>
    <w:rsid w:val="00011E1A"/>
    <w:rsid w:val="00011E2F"/>
    <w:rsid w:val="00011F24"/>
    <w:rsid w:val="00011F9F"/>
    <w:rsid w:val="00011FCA"/>
    <w:rsid w:val="000121D5"/>
    <w:rsid w:val="00012259"/>
    <w:rsid w:val="00012376"/>
    <w:rsid w:val="0001243B"/>
    <w:rsid w:val="00012495"/>
    <w:rsid w:val="00012539"/>
    <w:rsid w:val="0001298D"/>
    <w:rsid w:val="00012B89"/>
    <w:rsid w:val="00012F1A"/>
    <w:rsid w:val="00012F67"/>
    <w:rsid w:val="00012F9C"/>
    <w:rsid w:val="00013188"/>
    <w:rsid w:val="000132F9"/>
    <w:rsid w:val="0001332F"/>
    <w:rsid w:val="00013411"/>
    <w:rsid w:val="00013473"/>
    <w:rsid w:val="00013550"/>
    <w:rsid w:val="000136A0"/>
    <w:rsid w:val="0001377D"/>
    <w:rsid w:val="00013B2D"/>
    <w:rsid w:val="00013C45"/>
    <w:rsid w:val="00013F02"/>
    <w:rsid w:val="00013F6D"/>
    <w:rsid w:val="00013FBA"/>
    <w:rsid w:val="0001414C"/>
    <w:rsid w:val="000141C5"/>
    <w:rsid w:val="000141F8"/>
    <w:rsid w:val="0001423D"/>
    <w:rsid w:val="000142A5"/>
    <w:rsid w:val="000144FE"/>
    <w:rsid w:val="000145AA"/>
    <w:rsid w:val="000145B5"/>
    <w:rsid w:val="00014660"/>
    <w:rsid w:val="000146C0"/>
    <w:rsid w:val="00014723"/>
    <w:rsid w:val="00014789"/>
    <w:rsid w:val="00014915"/>
    <w:rsid w:val="00014D41"/>
    <w:rsid w:val="00014DA6"/>
    <w:rsid w:val="00014DAE"/>
    <w:rsid w:val="00014DB3"/>
    <w:rsid w:val="00014DF1"/>
    <w:rsid w:val="00014F08"/>
    <w:rsid w:val="00015143"/>
    <w:rsid w:val="00015470"/>
    <w:rsid w:val="000155BD"/>
    <w:rsid w:val="00015822"/>
    <w:rsid w:val="000159BA"/>
    <w:rsid w:val="000159DA"/>
    <w:rsid w:val="00015AEE"/>
    <w:rsid w:val="00015E50"/>
    <w:rsid w:val="00015EE7"/>
    <w:rsid w:val="00015F17"/>
    <w:rsid w:val="000160CF"/>
    <w:rsid w:val="000163EC"/>
    <w:rsid w:val="000164DD"/>
    <w:rsid w:val="00016730"/>
    <w:rsid w:val="00016776"/>
    <w:rsid w:val="00016847"/>
    <w:rsid w:val="00016B46"/>
    <w:rsid w:val="00016BE4"/>
    <w:rsid w:val="00016BF0"/>
    <w:rsid w:val="00016EE0"/>
    <w:rsid w:val="00016F64"/>
    <w:rsid w:val="0001707D"/>
    <w:rsid w:val="000170D9"/>
    <w:rsid w:val="00017392"/>
    <w:rsid w:val="00017683"/>
    <w:rsid w:val="000177D3"/>
    <w:rsid w:val="00017965"/>
    <w:rsid w:val="0001798A"/>
    <w:rsid w:val="000179E4"/>
    <w:rsid w:val="00017D04"/>
    <w:rsid w:val="00017E24"/>
    <w:rsid w:val="0002001E"/>
    <w:rsid w:val="000203AB"/>
    <w:rsid w:val="000204C2"/>
    <w:rsid w:val="0002059C"/>
    <w:rsid w:val="000208B9"/>
    <w:rsid w:val="00020A31"/>
    <w:rsid w:val="00020A42"/>
    <w:rsid w:val="00020C0D"/>
    <w:rsid w:val="00020E45"/>
    <w:rsid w:val="00020E4E"/>
    <w:rsid w:val="00020F31"/>
    <w:rsid w:val="00020F58"/>
    <w:rsid w:val="00021000"/>
    <w:rsid w:val="00021314"/>
    <w:rsid w:val="000215B8"/>
    <w:rsid w:val="00021670"/>
    <w:rsid w:val="00021A68"/>
    <w:rsid w:val="00021B6C"/>
    <w:rsid w:val="00021C43"/>
    <w:rsid w:val="00021D12"/>
    <w:rsid w:val="00021D88"/>
    <w:rsid w:val="00021EB0"/>
    <w:rsid w:val="00021F40"/>
    <w:rsid w:val="00021F45"/>
    <w:rsid w:val="00021F7D"/>
    <w:rsid w:val="000220FD"/>
    <w:rsid w:val="000221D3"/>
    <w:rsid w:val="000222DF"/>
    <w:rsid w:val="000224DB"/>
    <w:rsid w:val="00022769"/>
    <w:rsid w:val="00022857"/>
    <w:rsid w:val="00022ACF"/>
    <w:rsid w:val="00022B8D"/>
    <w:rsid w:val="00022C37"/>
    <w:rsid w:val="00022E28"/>
    <w:rsid w:val="00022EBA"/>
    <w:rsid w:val="00022FD7"/>
    <w:rsid w:val="000231B9"/>
    <w:rsid w:val="00023326"/>
    <w:rsid w:val="0002374C"/>
    <w:rsid w:val="0002376C"/>
    <w:rsid w:val="00023A20"/>
    <w:rsid w:val="00023ADA"/>
    <w:rsid w:val="00023C25"/>
    <w:rsid w:val="00023C61"/>
    <w:rsid w:val="00023D7E"/>
    <w:rsid w:val="0002403A"/>
    <w:rsid w:val="0002418A"/>
    <w:rsid w:val="00024250"/>
    <w:rsid w:val="00024288"/>
    <w:rsid w:val="00024343"/>
    <w:rsid w:val="00024356"/>
    <w:rsid w:val="00024555"/>
    <w:rsid w:val="000247C1"/>
    <w:rsid w:val="000247E7"/>
    <w:rsid w:val="00024815"/>
    <w:rsid w:val="00024A4A"/>
    <w:rsid w:val="00024B32"/>
    <w:rsid w:val="00024CDB"/>
    <w:rsid w:val="00024CEE"/>
    <w:rsid w:val="00024DB0"/>
    <w:rsid w:val="00024E58"/>
    <w:rsid w:val="00024EEA"/>
    <w:rsid w:val="00024F71"/>
    <w:rsid w:val="000253DF"/>
    <w:rsid w:val="00025490"/>
    <w:rsid w:val="0002563D"/>
    <w:rsid w:val="00025ADA"/>
    <w:rsid w:val="00025C61"/>
    <w:rsid w:val="00025CEA"/>
    <w:rsid w:val="00025E7C"/>
    <w:rsid w:val="00025F1B"/>
    <w:rsid w:val="00025F58"/>
    <w:rsid w:val="0002603C"/>
    <w:rsid w:val="000261F8"/>
    <w:rsid w:val="000262ED"/>
    <w:rsid w:val="000264AA"/>
    <w:rsid w:val="00026A87"/>
    <w:rsid w:val="00026B04"/>
    <w:rsid w:val="00026C5D"/>
    <w:rsid w:val="00026C90"/>
    <w:rsid w:val="00026D46"/>
    <w:rsid w:val="00026FD1"/>
    <w:rsid w:val="00027237"/>
    <w:rsid w:val="0002734D"/>
    <w:rsid w:val="00027467"/>
    <w:rsid w:val="0002763A"/>
    <w:rsid w:val="000278B9"/>
    <w:rsid w:val="00027B7E"/>
    <w:rsid w:val="00027C1D"/>
    <w:rsid w:val="00027F24"/>
    <w:rsid w:val="00027FF7"/>
    <w:rsid w:val="000302F7"/>
    <w:rsid w:val="0003039B"/>
    <w:rsid w:val="0003085A"/>
    <w:rsid w:val="000309DD"/>
    <w:rsid w:val="00030AE8"/>
    <w:rsid w:val="00030C51"/>
    <w:rsid w:val="00030E6F"/>
    <w:rsid w:val="00030F5A"/>
    <w:rsid w:val="0003107D"/>
    <w:rsid w:val="00031121"/>
    <w:rsid w:val="00031194"/>
    <w:rsid w:val="000311B7"/>
    <w:rsid w:val="0003127B"/>
    <w:rsid w:val="000319F2"/>
    <w:rsid w:val="00031BE9"/>
    <w:rsid w:val="00031DEE"/>
    <w:rsid w:val="00031E6A"/>
    <w:rsid w:val="00031E78"/>
    <w:rsid w:val="00031E7B"/>
    <w:rsid w:val="00032169"/>
    <w:rsid w:val="00032254"/>
    <w:rsid w:val="000322D8"/>
    <w:rsid w:val="00032447"/>
    <w:rsid w:val="0003252A"/>
    <w:rsid w:val="000326C0"/>
    <w:rsid w:val="0003274B"/>
    <w:rsid w:val="00032844"/>
    <w:rsid w:val="00032918"/>
    <w:rsid w:val="00032A09"/>
    <w:rsid w:val="00032B62"/>
    <w:rsid w:val="00032E1A"/>
    <w:rsid w:val="0003331E"/>
    <w:rsid w:val="00033327"/>
    <w:rsid w:val="000333B9"/>
    <w:rsid w:val="00033B5A"/>
    <w:rsid w:val="00033F44"/>
    <w:rsid w:val="000340A5"/>
    <w:rsid w:val="00034216"/>
    <w:rsid w:val="00034291"/>
    <w:rsid w:val="00034468"/>
    <w:rsid w:val="0003458E"/>
    <w:rsid w:val="00034631"/>
    <w:rsid w:val="000346C8"/>
    <w:rsid w:val="00034989"/>
    <w:rsid w:val="00034A23"/>
    <w:rsid w:val="00034B4F"/>
    <w:rsid w:val="00034BAC"/>
    <w:rsid w:val="00034F61"/>
    <w:rsid w:val="00035005"/>
    <w:rsid w:val="000350E9"/>
    <w:rsid w:val="00035565"/>
    <w:rsid w:val="0003569F"/>
    <w:rsid w:val="00035979"/>
    <w:rsid w:val="000359B8"/>
    <w:rsid w:val="00035A99"/>
    <w:rsid w:val="00035BE6"/>
    <w:rsid w:val="00035CBA"/>
    <w:rsid w:val="00035D51"/>
    <w:rsid w:val="00035F29"/>
    <w:rsid w:val="00036122"/>
    <w:rsid w:val="0003628D"/>
    <w:rsid w:val="000363D2"/>
    <w:rsid w:val="00036432"/>
    <w:rsid w:val="000365EC"/>
    <w:rsid w:val="0003687E"/>
    <w:rsid w:val="00036A40"/>
    <w:rsid w:val="00036BA4"/>
    <w:rsid w:val="00036E5A"/>
    <w:rsid w:val="00036F7F"/>
    <w:rsid w:val="00037210"/>
    <w:rsid w:val="00037786"/>
    <w:rsid w:val="00037816"/>
    <w:rsid w:val="00037825"/>
    <w:rsid w:val="00037B63"/>
    <w:rsid w:val="00037D81"/>
    <w:rsid w:val="00037FDD"/>
    <w:rsid w:val="00040100"/>
    <w:rsid w:val="00040363"/>
    <w:rsid w:val="000403B3"/>
    <w:rsid w:val="000404BE"/>
    <w:rsid w:val="000407D1"/>
    <w:rsid w:val="00041307"/>
    <w:rsid w:val="0004135D"/>
    <w:rsid w:val="000413B4"/>
    <w:rsid w:val="00041515"/>
    <w:rsid w:val="00041578"/>
    <w:rsid w:val="00041741"/>
    <w:rsid w:val="00041CFA"/>
    <w:rsid w:val="00041E88"/>
    <w:rsid w:val="00041EC5"/>
    <w:rsid w:val="00041F3A"/>
    <w:rsid w:val="000421BC"/>
    <w:rsid w:val="0004226D"/>
    <w:rsid w:val="00042656"/>
    <w:rsid w:val="00042DAB"/>
    <w:rsid w:val="00042F6A"/>
    <w:rsid w:val="000430B6"/>
    <w:rsid w:val="0004320C"/>
    <w:rsid w:val="00043456"/>
    <w:rsid w:val="00043667"/>
    <w:rsid w:val="00043A63"/>
    <w:rsid w:val="00043DCB"/>
    <w:rsid w:val="00043FB0"/>
    <w:rsid w:val="000440EB"/>
    <w:rsid w:val="00044166"/>
    <w:rsid w:val="00044179"/>
    <w:rsid w:val="000442C0"/>
    <w:rsid w:val="00044349"/>
    <w:rsid w:val="00044390"/>
    <w:rsid w:val="00044602"/>
    <w:rsid w:val="0004477C"/>
    <w:rsid w:val="000447B7"/>
    <w:rsid w:val="0004489F"/>
    <w:rsid w:val="000448AD"/>
    <w:rsid w:val="000448BF"/>
    <w:rsid w:val="0004497A"/>
    <w:rsid w:val="00044AE9"/>
    <w:rsid w:val="00044BC5"/>
    <w:rsid w:val="00045010"/>
    <w:rsid w:val="000450A7"/>
    <w:rsid w:val="000450BF"/>
    <w:rsid w:val="00045126"/>
    <w:rsid w:val="00045171"/>
    <w:rsid w:val="00045282"/>
    <w:rsid w:val="0004534C"/>
    <w:rsid w:val="00045A47"/>
    <w:rsid w:val="00045A84"/>
    <w:rsid w:val="00045A9A"/>
    <w:rsid w:val="00045C14"/>
    <w:rsid w:val="00045C4B"/>
    <w:rsid w:val="00045E40"/>
    <w:rsid w:val="00045F5D"/>
    <w:rsid w:val="00045FEF"/>
    <w:rsid w:val="0004618F"/>
    <w:rsid w:val="000461B7"/>
    <w:rsid w:val="0004621F"/>
    <w:rsid w:val="000462A9"/>
    <w:rsid w:val="000465E9"/>
    <w:rsid w:val="000465ED"/>
    <w:rsid w:val="00046A38"/>
    <w:rsid w:val="00046C75"/>
    <w:rsid w:val="00046D5D"/>
    <w:rsid w:val="00046F2C"/>
    <w:rsid w:val="00047161"/>
    <w:rsid w:val="00047171"/>
    <w:rsid w:val="000471F7"/>
    <w:rsid w:val="00047233"/>
    <w:rsid w:val="0004735A"/>
    <w:rsid w:val="00047610"/>
    <w:rsid w:val="00047AF0"/>
    <w:rsid w:val="00047B0E"/>
    <w:rsid w:val="00047B76"/>
    <w:rsid w:val="00047B7F"/>
    <w:rsid w:val="00047E64"/>
    <w:rsid w:val="00047F7F"/>
    <w:rsid w:val="0005004B"/>
    <w:rsid w:val="000502A9"/>
    <w:rsid w:val="000503BA"/>
    <w:rsid w:val="00050469"/>
    <w:rsid w:val="00050501"/>
    <w:rsid w:val="0005051B"/>
    <w:rsid w:val="0005061D"/>
    <w:rsid w:val="000507BD"/>
    <w:rsid w:val="00050809"/>
    <w:rsid w:val="00050952"/>
    <w:rsid w:val="000509D6"/>
    <w:rsid w:val="00050B4D"/>
    <w:rsid w:val="00050D19"/>
    <w:rsid w:val="00050DFC"/>
    <w:rsid w:val="00050E18"/>
    <w:rsid w:val="00050EB7"/>
    <w:rsid w:val="00050F20"/>
    <w:rsid w:val="000510AF"/>
    <w:rsid w:val="00051237"/>
    <w:rsid w:val="000513A7"/>
    <w:rsid w:val="000513CA"/>
    <w:rsid w:val="0005174D"/>
    <w:rsid w:val="0005193C"/>
    <w:rsid w:val="00051940"/>
    <w:rsid w:val="00051A78"/>
    <w:rsid w:val="00051B7C"/>
    <w:rsid w:val="00051B9E"/>
    <w:rsid w:val="00051CA4"/>
    <w:rsid w:val="00051CEF"/>
    <w:rsid w:val="00051CFD"/>
    <w:rsid w:val="00051D02"/>
    <w:rsid w:val="00051D1C"/>
    <w:rsid w:val="00051D98"/>
    <w:rsid w:val="00051DF0"/>
    <w:rsid w:val="000523A5"/>
    <w:rsid w:val="000524F0"/>
    <w:rsid w:val="00052500"/>
    <w:rsid w:val="000525C3"/>
    <w:rsid w:val="000525FE"/>
    <w:rsid w:val="000526B5"/>
    <w:rsid w:val="00052765"/>
    <w:rsid w:val="000527D0"/>
    <w:rsid w:val="000528C4"/>
    <w:rsid w:val="00052935"/>
    <w:rsid w:val="00052BAF"/>
    <w:rsid w:val="00052BCC"/>
    <w:rsid w:val="00052BD9"/>
    <w:rsid w:val="00052CCE"/>
    <w:rsid w:val="00052FBD"/>
    <w:rsid w:val="000530BB"/>
    <w:rsid w:val="000531AA"/>
    <w:rsid w:val="0005338E"/>
    <w:rsid w:val="0005355F"/>
    <w:rsid w:val="000537BB"/>
    <w:rsid w:val="00053838"/>
    <w:rsid w:val="000538C2"/>
    <w:rsid w:val="00053904"/>
    <w:rsid w:val="00053A68"/>
    <w:rsid w:val="00053BC0"/>
    <w:rsid w:val="00053C92"/>
    <w:rsid w:val="00053CDB"/>
    <w:rsid w:val="00053E44"/>
    <w:rsid w:val="00053E60"/>
    <w:rsid w:val="00054159"/>
    <w:rsid w:val="00054258"/>
    <w:rsid w:val="0005437E"/>
    <w:rsid w:val="00054510"/>
    <w:rsid w:val="00054562"/>
    <w:rsid w:val="0005472E"/>
    <w:rsid w:val="000548C8"/>
    <w:rsid w:val="00054B48"/>
    <w:rsid w:val="00054C10"/>
    <w:rsid w:val="00054C41"/>
    <w:rsid w:val="00054DFD"/>
    <w:rsid w:val="00054EE7"/>
    <w:rsid w:val="00054FE2"/>
    <w:rsid w:val="00055177"/>
    <w:rsid w:val="000551C0"/>
    <w:rsid w:val="000553A7"/>
    <w:rsid w:val="00055408"/>
    <w:rsid w:val="0005550A"/>
    <w:rsid w:val="000555EB"/>
    <w:rsid w:val="00055635"/>
    <w:rsid w:val="0005583D"/>
    <w:rsid w:val="00055915"/>
    <w:rsid w:val="00055A64"/>
    <w:rsid w:val="00055AD5"/>
    <w:rsid w:val="00055D19"/>
    <w:rsid w:val="00055DCF"/>
    <w:rsid w:val="00055EB7"/>
    <w:rsid w:val="00055FC9"/>
    <w:rsid w:val="000560B1"/>
    <w:rsid w:val="00056415"/>
    <w:rsid w:val="00056715"/>
    <w:rsid w:val="00056879"/>
    <w:rsid w:val="00056973"/>
    <w:rsid w:val="00056C41"/>
    <w:rsid w:val="00056CCC"/>
    <w:rsid w:val="00056E31"/>
    <w:rsid w:val="00056F02"/>
    <w:rsid w:val="00056FD0"/>
    <w:rsid w:val="00057000"/>
    <w:rsid w:val="0005700E"/>
    <w:rsid w:val="000571F7"/>
    <w:rsid w:val="000572F2"/>
    <w:rsid w:val="00057435"/>
    <w:rsid w:val="00057480"/>
    <w:rsid w:val="000577FD"/>
    <w:rsid w:val="0005780C"/>
    <w:rsid w:val="0005781A"/>
    <w:rsid w:val="00057ACE"/>
    <w:rsid w:val="00057B59"/>
    <w:rsid w:val="00057C89"/>
    <w:rsid w:val="0006002D"/>
    <w:rsid w:val="00060039"/>
    <w:rsid w:val="00060183"/>
    <w:rsid w:val="00060870"/>
    <w:rsid w:val="000608C3"/>
    <w:rsid w:val="00060936"/>
    <w:rsid w:val="00060A94"/>
    <w:rsid w:val="00060AB4"/>
    <w:rsid w:val="00060B0E"/>
    <w:rsid w:val="00060CB7"/>
    <w:rsid w:val="00060D64"/>
    <w:rsid w:val="00060E24"/>
    <w:rsid w:val="00060FA6"/>
    <w:rsid w:val="00061026"/>
    <w:rsid w:val="000610C8"/>
    <w:rsid w:val="000611CA"/>
    <w:rsid w:val="000611FA"/>
    <w:rsid w:val="00061248"/>
    <w:rsid w:val="000612E5"/>
    <w:rsid w:val="0006136B"/>
    <w:rsid w:val="000613E5"/>
    <w:rsid w:val="000615A0"/>
    <w:rsid w:val="00061938"/>
    <w:rsid w:val="00061964"/>
    <w:rsid w:val="00061976"/>
    <w:rsid w:val="00061A58"/>
    <w:rsid w:val="00061B14"/>
    <w:rsid w:val="00061BA7"/>
    <w:rsid w:val="00061BDA"/>
    <w:rsid w:val="00061C23"/>
    <w:rsid w:val="00061CF2"/>
    <w:rsid w:val="00061E94"/>
    <w:rsid w:val="00061EAD"/>
    <w:rsid w:val="00061FBB"/>
    <w:rsid w:val="00062385"/>
    <w:rsid w:val="0006242F"/>
    <w:rsid w:val="00062473"/>
    <w:rsid w:val="00062536"/>
    <w:rsid w:val="0006256D"/>
    <w:rsid w:val="00062889"/>
    <w:rsid w:val="000628F7"/>
    <w:rsid w:val="00062AD3"/>
    <w:rsid w:val="00062B67"/>
    <w:rsid w:val="00062DC6"/>
    <w:rsid w:val="00063089"/>
    <w:rsid w:val="00063140"/>
    <w:rsid w:val="0006317F"/>
    <w:rsid w:val="00063307"/>
    <w:rsid w:val="00063389"/>
    <w:rsid w:val="000633EB"/>
    <w:rsid w:val="000633F1"/>
    <w:rsid w:val="00063779"/>
    <w:rsid w:val="00063C58"/>
    <w:rsid w:val="00063E61"/>
    <w:rsid w:val="00064023"/>
    <w:rsid w:val="0006402C"/>
    <w:rsid w:val="00064163"/>
    <w:rsid w:val="000641A6"/>
    <w:rsid w:val="000641EF"/>
    <w:rsid w:val="0006439A"/>
    <w:rsid w:val="000643B8"/>
    <w:rsid w:val="000644AB"/>
    <w:rsid w:val="000644B5"/>
    <w:rsid w:val="0006458C"/>
    <w:rsid w:val="0006463D"/>
    <w:rsid w:val="00064790"/>
    <w:rsid w:val="0006499C"/>
    <w:rsid w:val="00064B68"/>
    <w:rsid w:val="00064B8F"/>
    <w:rsid w:val="00064BBC"/>
    <w:rsid w:val="00064BEC"/>
    <w:rsid w:val="00064CDC"/>
    <w:rsid w:val="00064F26"/>
    <w:rsid w:val="000650C8"/>
    <w:rsid w:val="0006511A"/>
    <w:rsid w:val="000652D0"/>
    <w:rsid w:val="0006554D"/>
    <w:rsid w:val="000655EE"/>
    <w:rsid w:val="000657A7"/>
    <w:rsid w:val="00065AAC"/>
    <w:rsid w:val="00065C72"/>
    <w:rsid w:val="00065C73"/>
    <w:rsid w:val="00065CA3"/>
    <w:rsid w:val="00065CA7"/>
    <w:rsid w:val="00065CDC"/>
    <w:rsid w:val="00065FC3"/>
    <w:rsid w:val="00065FD5"/>
    <w:rsid w:val="0006641F"/>
    <w:rsid w:val="0006643C"/>
    <w:rsid w:val="000664BC"/>
    <w:rsid w:val="000664E0"/>
    <w:rsid w:val="0006678C"/>
    <w:rsid w:val="000667C5"/>
    <w:rsid w:val="000667EB"/>
    <w:rsid w:val="00066985"/>
    <w:rsid w:val="00066BE9"/>
    <w:rsid w:val="00066E2D"/>
    <w:rsid w:val="00066EC9"/>
    <w:rsid w:val="00067231"/>
    <w:rsid w:val="000673E1"/>
    <w:rsid w:val="00067708"/>
    <w:rsid w:val="00067711"/>
    <w:rsid w:val="00067737"/>
    <w:rsid w:val="00067786"/>
    <w:rsid w:val="000679D4"/>
    <w:rsid w:val="000679ED"/>
    <w:rsid w:val="00067C85"/>
    <w:rsid w:val="00067D2F"/>
    <w:rsid w:val="000700C0"/>
    <w:rsid w:val="000700DF"/>
    <w:rsid w:val="00070642"/>
    <w:rsid w:val="00070880"/>
    <w:rsid w:val="0007094A"/>
    <w:rsid w:val="000709F6"/>
    <w:rsid w:val="00070D80"/>
    <w:rsid w:val="00070D87"/>
    <w:rsid w:val="00071046"/>
    <w:rsid w:val="000710AF"/>
    <w:rsid w:val="00071186"/>
    <w:rsid w:val="00071529"/>
    <w:rsid w:val="00071654"/>
    <w:rsid w:val="00071706"/>
    <w:rsid w:val="0007172A"/>
    <w:rsid w:val="00071AC8"/>
    <w:rsid w:val="00071B8C"/>
    <w:rsid w:val="00071E0B"/>
    <w:rsid w:val="000720F3"/>
    <w:rsid w:val="00072279"/>
    <w:rsid w:val="000722F1"/>
    <w:rsid w:val="0007236B"/>
    <w:rsid w:val="00072398"/>
    <w:rsid w:val="000723EB"/>
    <w:rsid w:val="00072500"/>
    <w:rsid w:val="000725E8"/>
    <w:rsid w:val="000726AE"/>
    <w:rsid w:val="00072734"/>
    <w:rsid w:val="0007282B"/>
    <w:rsid w:val="0007286C"/>
    <w:rsid w:val="000728CB"/>
    <w:rsid w:val="00072A26"/>
    <w:rsid w:val="00072B7B"/>
    <w:rsid w:val="00072BC5"/>
    <w:rsid w:val="00072C17"/>
    <w:rsid w:val="00072C6D"/>
    <w:rsid w:val="00072C7A"/>
    <w:rsid w:val="00072D60"/>
    <w:rsid w:val="00072DB9"/>
    <w:rsid w:val="00072E8A"/>
    <w:rsid w:val="00072FC6"/>
    <w:rsid w:val="00073093"/>
    <w:rsid w:val="00073105"/>
    <w:rsid w:val="0007315C"/>
    <w:rsid w:val="00073354"/>
    <w:rsid w:val="00073550"/>
    <w:rsid w:val="0007359B"/>
    <w:rsid w:val="00073685"/>
    <w:rsid w:val="000736BD"/>
    <w:rsid w:val="00073704"/>
    <w:rsid w:val="000737D2"/>
    <w:rsid w:val="000738CE"/>
    <w:rsid w:val="0007391A"/>
    <w:rsid w:val="0007392D"/>
    <w:rsid w:val="000739A2"/>
    <w:rsid w:val="000739D7"/>
    <w:rsid w:val="00073A0A"/>
    <w:rsid w:val="00073A65"/>
    <w:rsid w:val="00073E0E"/>
    <w:rsid w:val="00073F61"/>
    <w:rsid w:val="0007401E"/>
    <w:rsid w:val="0007405F"/>
    <w:rsid w:val="00074085"/>
    <w:rsid w:val="00074088"/>
    <w:rsid w:val="000740BD"/>
    <w:rsid w:val="000741C0"/>
    <w:rsid w:val="0007421D"/>
    <w:rsid w:val="000744F7"/>
    <w:rsid w:val="000746CF"/>
    <w:rsid w:val="0007479F"/>
    <w:rsid w:val="000747A9"/>
    <w:rsid w:val="00074A4D"/>
    <w:rsid w:val="00074AC0"/>
    <w:rsid w:val="00074DE7"/>
    <w:rsid w:val="00074E17"/>
    <w:rsid w:val="00074FF9"/>
    <w:rsid w:val="00075043"/>
    <w:rsid w:val="0007513B"/>
    <w:rsid w:val="00075351"/>
    <w:rsid w:val="00075655"/>
    <w:rsid w:val="00075714"/>
    <w:rsid w:val="0007576E"/>
    <w:rsid w:val="00075C69"/>
    <w:rsid w:val="00075D94"/>
    <w:rsid w:val="00075F5A"/>
    <w:rsid w:val="00075FB4"/>
    <w:rsid w:val="00076076"/>
    <w:rsid w:val="0007619C"/>
    <w:rsid w:val="000761AF"/>
    <w:rsid w:val="00076204"/>
    <w:rsid w:val="00076334"/>
    <w:rsid w:val="000766A6"/>
    <w:rsid w:val="00076981"/>
    <w:rsid w:val="00076AB2"/>
    <w:rsid w:val="00076CA5"/>
    <w:rsid w:val="00076CB7"/>
    <w:rsid w:val="00076E43"/>
    <w:rsid w:val="00076EDF"/>
    <w:rsid w:val="000772B9"/>
    <w:rsid w:val="00077455"/>
    <w:rsid w:val="000774CC"/>
    <w:rsid w:val="00077931"/>
    <w:rsid w:val="00077D16"/>
    <w:rsid w:val="00077D54"/>
    <w:rsid w:val="00077E6D"/>
    <w:rsid w:val="00077F96"/>
    <w:rsid w:val="000800FB"/>
    <w:rsid w:val="00080216"/>
    <w:rsid w:val="00080236"/>
    <w:rsid w:val="00080429"/>
    <w:rsid w:val="0008042C"/>
    <w:rsid w:val="00080470"/>
    <w:rsid w:val="00080854"/>
    <w:rsid w:val="0008085D"/>
    <w:rsid w:val="000809AE"/>
    <w:rsid w:val="00080B1A"/>
    <w:rsid w:val="00080BB5"/>
    <w:rsid w:val="00080C22"/>
    <w:rsid w:val="00080CC8"/>
    <w:rsid w:val="00080E73"/>
    <w:rsid w:val="00080FEE"/>
    <w:rsid w:val="0008100A"/>
    <w:rsid w:val="000810AF"/>
    <w:rsid w:val="00081160"/>
    <w:rsid w:val="000811EB"/>
    <w:rsid w:val="000811F7"/>
    <w:rsid w:val="000812F9"/>
    <w:rsid w:val="0008134D"/>
    <w:rsid w:val="000814D2"/>
    <w:rsid w:val="000815DD"/>
    <w:rsid w:val="000818F7"/>
    <w:rsid w:val="00081DD6"/>
    <w:rsid w:val="00081E13"/>
    <w:rsid w:val="00081E32"/>
    <w:rsid w:val="00081EC7"/>
    <w:rsid w:val="00082196"/>
    <w:rsid w:val="0008235B"/>
    <w:rsid w:val="0008236A"/>
    <w:rsid w:val="000823AC"/>
    <w:rsid w:val="00082654"/>
    <w:rsid w:val="0008266C"/>
    <w:rsid w:val="00082725"/>
    <w:rsid w:val="00082755"/>
    <w:rsid w:val="00082906"/>
    <w:rsid w:val="00082A41"/>
    <w:rsid w:val="00082D03"/>
    <w:rsid w:val="00082D58"/>
    <w:rsid w:val="00082D8D"/>
    <w:rsid w:val="00082F0A"/>
    <w:rsid w:val="00083107"/>
    <w:rsid w:val="000833C8"/>
    <w:rsid w:val="000834A8"/>
    <w:rsid w:val="0008363B"/>
    <w:rsid w:val="00083665"/>
    <w:rsid w:val="000836BF"/>
    <w:rsid w:val="000838B8"/>
    <w:rsid w:val="00083976"/>
    <w:rsid w:val="000839BA"/>
    <w:rsid w:val="00083A64"/>
    <w:rsid w:val="00083A8E"/>
    <w:rsid w:val="00083AB6"/>
    <w:rsid w:val="00083B25"/>
    <w:rsid w:val="00083C39"/>
    <w:rsid w:val="00083C81"/>
    <w:rsid w:val="00083DCC"/>
    <w:rsid w:val="00083E5A"/>
    <w:rsid w:val="00083F62"/>
    <w:rsid w:val="00084001"/>
    <w:rsid w:val="00084062"/>
    <w:rsid w:val="000840A1"/>
    <w:rsid w:val="0008413F"/>
    <w:rsid w:val="00084215"/>
    <w:rsid w:val="0008447A"/>
    <w:rsid w:val="000844FC"/>
    <w:rsid w:val="000846D9"/>
    <w:rsid w:val="00084767"/>
    <w:rsid w:val="00084BB0"/>
    <w:rsid w:val="00084E16"/>
    <w:rsid w:val="0008500C"/>
    <w:rsid w:val="000850B7"/>
    <w:rsid w:val="000852CE"/>
    <w:rsid w:val="000852F6"/>
    <w:rsid w:val="0008563C"/>
    <w:rsid w:val="0008597C"/>
    <w:rsid w:val="00085A13"/>
    <w:rsid w:val="00085A53"/>
    <w:rsid w:val="00085B10"/>
    <w:rsid w:val="00085B71"/>
    <w:rsid w:val="00085C8E"/>
    <w:rsid w:val="00085FE1"/>
    <w:rsid w:val="00086343"/>
    <w:rsid w:val="00086382"/>
    <w:rsid w:val="00086468"/>
    <w:rsid w:val="0008648D"/>
    <w:rsid w:val="0008657A"/>
    <w:rsid w:val="000865DA"/>
    <w:rsid w:val="00086844"/>
    <w:rsid w:val="000868A1"/>
    <w:rsid w:val="000869F9"/>
    <w:rsid w:val="00086A11"/>
    <w:rsid w:val="00086B6B"/>
    <w:rsid w:val="00086D30"/>
    <w:rsid w:val="00086F1B"/>
    <w:rsid w:val="00086F75"/>
    <w:rsid w:val="0008703F"/>
    <w:rsid w:val="0008749A"/>
    <w:rsid w:val="000877A1"/>
    <w:rsid w:val="000879A5"/>
    <w:rsid w:val="00087A85"/>
    <w:rsid w:val="00087AC3"/>
    <w:rsid w:val="00087C4A"/>
    <w:rsid w:val="00087C77"/>
    <w:rsid w:val="00087F2A"/>
    <w:rsid w:val="00087FED"/>
    <w:rsid w:val="000900A4"/>
    <w:rsid w:val="00090134"/>
    <w:rsid w:val="000902BD"/>
    <w:rsid w:val="000905FA"/>
    <w:rsid w:val="00090606"/>
    <w:rsid w:val="00090742"/>
    <w:rsid w:val="000908D2"/>
    <w:rsid w:val="00090969"/>
    <w:rsid w:val="00090983"/>
    <w:rsid w:val="000909DB"/>
    <w:rsid w:val="00090A15"/>
    <w:rsid w:val="00090AAD"/>
    <w:rsid w:val="00090B13"/>
    <w:rsid w:val="00090B79"/>
    <w:rsid w:val="00090C56"/>
    <w:rsid w:val="00090CB0"/>
    <w:rsid w:val="00090D0C"/>
    <w:rsid w:val="00090DE1"/>
    <w:rsid w:val="00090FE6"/>
    <w:rsid w:val="00091060"/>
    <w:rsid w:val="00091185"/>
    <w:rsid w:val="000911B4"/>
    <w:rsid w:val="00091462"/>
    <w:rsid w:val="0009173D"/>
    <w:rsid w:val="0009186E"/>
    <w:rsid w:val="0009190B"/>
    <w:rsid w:val="0009196E"/>
    <w:rsid w:val="0009198A"/>
    <w:rsid w:val="00091AD1"/>
    <w:rsid w:val="00091C36"/>
    <w:rsid w:val="00091CD0"/>
    <w:rsid w:val="00091CF9"/>
    <w:rsid w:val="00091E63"/>
    <w:rsid w:val="00091F9C"/>
    <w:rsid w:val="00092021"/>
    <w:rsid w:val="000920F7"/>
    <w:rsid w:val="00092272"/>
    <w:rsid w:val="00092638"/>
    <w:rsid w:val="0009281B"/>
    <w:rsid w:val="000928C7"/>
    <w:rsid w:val="000929A7"/>
    <w:rsid w:val="00092A77"/>
    <w:rsid w:val="00092C91"/>
    <w:rsid w:val="00092CB2"/>
    <w:rsid w:val="00092D80"/>
    <w:rsid w:val="00092D9E"/>
    <w:rsid w:val="00092F0E"/>
    <w:rsid w:val="00092F99"/>
    <w:rsid w:val="00093244"/>
    <w:rsid w:val="0009326D"/>
    <w:rsid w:val="000934AD"/>
    <w:rsid w:val="0009369A"/>
    <w:rsid w:val="000936F9"/>
    <w:rsid w:val="00093740"/>
    <w:rsid w:val="000938B5"/>
    <w:rsid w:val="0009396A"/>
    <w:rsid w:val="00093980"/>
    <w:rsid w:val="00093FC4"/>
    <w:rsid w:val="00094260"/>
    <w:rsid w:val="0009443A"/>
    <w:rsid w:val="000944F4"/>
    <w:rsid w:val="00094532"/>
    <w:rsid w:val="00094660"/>
    <w:rsid w:val="0009467C"/>
    <w:rsid w:val="000946B1"/>
    <w:rsid w:val="000948A3"/>
    <w:rsid w:val="000949E8"/>
    <w:rsid w:val="00094B87"/>
    <w:rsid w:val="00094C5D"/>
    <w:rsid w:val="00094C86"/>
    <w:rsid w:val="00094C92"/>
    <w:rsid w:val="00094E18"/>
    <w:rsid w:val="00094F86"/>
    <w:rsid w:val="0009506F"/>
    <w:rsid w:val="00095087"/>
    <w:rsid w:val="00095491"/>
    <w:rsid w:val="000954AF"/>
    <w:rsid w:val="000959AC"/>
    <w:rsid w:val="00095A0C"/>
    <w:rsid w:val="00095A26"/>
    <w:rsid w:val="00095B18"/>
    <w:rsid w:val="00095B94"/>
    <w:rsid w:val="00095D3A"/>
    <w:rsid w:val="00095E47"/>
    <w:rsid w:val="00095EC0"/>
    <w:rsid w:val="00095F74"/>
    <w:rsid w:val="000961CB"/>
    <w:rsid w:val="000962D3"/>
    <w:rsid w:val="00096377"/>
    <w:rsid w:val="0009673B"/>
    <w:rsid w:val="00096749"/>
    <w:rsid w:val="00096872"/>
    <w:rsid w:val="000968A7"/>
    <w:rsid w:val="000969DB"/>
    <w:rsid w:val="00096AEE"/>
    <w:rsid w:val="00096C06"/>
    <w:rsid w:val="00096CC4"/>
    <w:rsid w:val="00096E7B"/>
    <w:rsid w:val="0009725A"/>
    <w:rsid w:val="0009735A"/>
    <w:rsid w:val="00097388"/>
    <w:rsid w:val="000973D3"/>
    <w:rsid w:val="00097676"/>
    <w:rsid w:val="000976C0"/>
    <w:rsid w:val="000976C7"/>
    <w:rsid w:val="00097ACD"/>
    <w:rsid w:val="00097B13"/>
    <w:rsid w:val="00097CB5"/>
    <w:rsid w:val="00097D17"/>
    <w:rsid w:val="00097E89"/>
    <w:rsid w:val="00097F7A"/>
    <w:rsid w:val="00097FD4"/>
    <w:rsid w:val="000A0067"/>
    <w:rsid w:val="000A0108"/>
    <w:rsid w:val="000A01C6"/>
    <w:rsid w:val="000A0274"/>
    <w:rsid w:val="000A03F9"/>
    <w:rsid w:val="000A0409"/>
    <w:rsid w:val="000A04DA"/>
    <w:rsid w:val="000A0521"/>
    <w:rsid w:val="000A05C2"/>
    <w:rsid w:val="000A07F5"/>
    <w:rsid w:val="000A088C"/>
    <w:rsid w:val="000A0C40"/>
    <w:rsid w:val="000A0D57"/>
    <w:rsid w:val="000A0D98"/>
    <w:rsid w:val="000A0F3A"/>
    <w:rsid w:val="000A1106"/>
    <w:rsid w:val="000A12F4"/>
    <w:rsid w:val="000A135F"/>
    <w:rsid w:val="000A142B"/>
    <w:rsid w:val="000A15A4"/>
    <w:rsid w:val="000A16AB"/>
    <w:rsid w:val="000A178E"/>
    <w:rsid w:val="000A17A1"/>
    <w:rsid w:val="000A1810"/>
    <w:rsid w:val="000A1861"/>
    <w:rsid w:val="000A1ADD"/>
    <w:rsid w:val="000A1C5D"/>
    <w:rsid w:val="000A2402"/>
    <w:rsid w:val="000A26C4"/>
    <w:rsid w:val="000A2700"/>
    <w:rsid w:val="000A27A3"/>
    <w:rsid w:val="000A28DB"/>
    <w:rsid w:val="000A2E33"/>
    <w:rsid w:val="000A31B3"/>
    <w:rsid w:val="000A3512"/>
    <w:rsid w:val="000A359C"/>
    <w:rsid w:val="000A35AA"/>
    <w:rsid w:val="000A3603"/>
    <w:rsid w:val="000A3910"/>
    <w:rsid w:val="000A392B"/>
    <w:rsid w:val="000A3A95"/>
    <w:rsid w:val="000A3BF3"/>
    <w:rsid w:val="000A3E37"/>
    <w:rsid w:val="000A3FF1"/>
    <w:rsid w:val="000A40E1"/>
    <w:rsid w:val="000A4229"/>
    <w:rsid w:val="000A4539"/>
    <w:rsid w:val="000A454C"/>
    <w:rsid w:val="000A48DC"/>
    <w:rsid w:val="000A49BE"/>
    <w:rsid w:val="000A4BAF"/>
    <w:rsid w:val="000A4C65"/>
    <w:rsid w:val="000A4C94"/>
    <w:rsid w:val="000A50D9"/>
    <w:rsid w:val="000A5302"/>
    <w:rsid w:val="000A54F7"/>
    <w:rsid w:val="000A5542"/>
    <w:rsid w:val="000A55C9"/>
    <w:rsid w:val="000A5783"/>
    <w:rsid w:val="000A596B"/>
    <w:rsid w:val="000A5A83"/>
    <w:rsid w:val="000A5AED"/>
    <w:rsid w:val="000A5B05"/>
    <w:rsid w:val="000A5B64"/>
    <w:rsid w:val="000A5C9D"/>
    <w:rsid w:val="000A6344"/>
    <w:rsid w:val="000A63EA"/>
    <w:rsid w:val="000A6405"/>
    <w:rsid w:val="000A653A"/>
    <w:rsid w:val="000A658F"/>
    <w:rsid w:val="000A67FB"/>
    <w:rsid w:val="000A6841"/>
    <w:rsid w:val="000A685E"/>
    <w:rsid w:val="000A6B96"/>
    <w:rsid w:val="000A6DC9"/>
    <w:rsid w:val="000A6E73"/>
    <w:rsid w:val="000A73AE"/>
    <w:rsid w:val="000A748C"/>
    <w:rsid w:val="000A7787"/>
    <w:rsid w:val="000A7852"/>
    <w:rsid w:val="000A796C"/>
    <w:rsid w:val="000A79E5"/>
    <w:rsid w:val="000A7B5B"/>
    <w:rsid w:val="000A7D95"/>
    <w:rsid w:val="000A7F1E"/>
    <w:rsid w:val="000B02A8"/>
    <w:rsid w:val="000B03BA"/>
    <w:rsid w:val="000B05AC"/>
    <w:rsid w:val="000B05C7"/>
    <w:rsid w:val="000B0600"/>
    <w:rsid w:val="000B0660"/>
    <w:rsid w:val="000B07D2"/>
    <w:rsid w:val="000B0C9A"/>
    <w:rsid w:val="000B0F0B"/>
    <w:rsid w:val="000B0F7F"/>
    <w:rsid w:val="000B1183"/>
    <w:rsid w:val="000B13BB"/>
    <w:rsid w:val="000B1593"/>
    <w:rsid w:val="000B1677"/>
    <w:rsid w:val="000B16A9"/>
    <w:rsid w:val="000B184B"/>
    <w:rsid w:val="000B1A34"/>
    <w:rsid w:val="000B1AE4"/>
    <w:rsid w:val="000B1C08"/>
    <w:rsid w:val="000B1D24"/>
    <w:rsid w:val="000B1E07"/>
    <w:rsid w:val="000B1EF1"/>
    <w:rsid w:val="000B1F0C"/>
    <w:rsid w:val="000B1FB0"/>
    <w:rsid w:val="000B20D7"/>
    <w:rsid w:val="000B20E6"/>
    <w:rsid w:val="000B250F"/>
    <w:rsid w:val="000B2661"/>
    <w:rsid w:val="000B26E7"/>
    <w:rsid w:val="000B2829"/>
    <w:rsid w:val="000B286D"/>
    <w:rsid w:val="000B289F"/>
    <w:rsid w:val="000B28F8"/>
    <w:rsid w:val="000B2A49"/>
    <w:rsid w:val="000B2CE3"/>
    <w:rsid w:val="000B2F29"/>
    <w:rsid w:val="000B31F8"/>
    <w:rsid w:val="000B34D0"/>
    <w:rsid w:val="000B3815"/>
    <w:rsid w:val="000B3833"/>
    <w:rsid w:val="000B3A7F"/>
    <w:rsid w:val="000B3CA1"/>
    <w:rsid w:val="000B3CD5"/>
    <w:rsid w:val="000B3EE6"/>
    <w:rsid w:val="000B3F80"/>
    <w:rsid w:val="000B4171"/>
    <w:rsid w:val="000B41DD"/>
    <w:rsid w:val="000B43D3"/>
    <w:rsid w:val="000B43E8"/>
    <w:rsid w:val="000B45C0"/>
    <w:rsid w:val="000B4781"/>
    <w:rsid w:val="000B48E9"/>
    <w:rsid w:val="000B4976"/>
    <w:rsid w:val="000B4A16"/>
    <w:rsid w:val="000B4B49"/>
    <w:rsid w:val="000B4C92"/>
    <w:rsid w:val="000B4CC5"/>
    <w:rsid w:val="000B4D73"/>
    <w:rsid w:val="000B4D8D"/>
    <w:rsid w:val="000B4DD3"/>
    <w:rsid w:val="000B4E39"/>
    <w:rsid w:val="000B4F13"/>
    <w:rsid w:val="000B502A"/>
    <w:rsid w:val="000B506E"/>
    <w:rsid w:val="000B5096"/>
    <w:rsid w:val="000B5104"/>
    <w:rsid w:val="000B511D"/>
    <w:rsid w:val="000B51B4"/>
    <w:rsid w:val="000B51C6"/>
    <w:rsid w:val="000B5295"/>
    <w:rsid w:val="000B53B5"/>
    <w:rsid w:val="000B54EA"/>
    <w:rsid w:val="000B5514"/>
    <w:rsid w:val="000B5672"/>
    <w:rsid w:val="000B5756"/>
    <w:rsid w:val="000B58D3"/>
    <w:rsid w:val="000B590A"/>
    <w:rsid w:val="000B5B00"/>
    <w:rsid w:val="000B5B4C"/>
    <w:rsid w:val="000B5BEA"/>
    <w:rsid w:val="000B5C4A"/>
    <w:rsid w:val="000B5E25"/>
    <w:rsid w:val="000B5F37"/>
    <w:rsid w:val="000B5F8E"/>
    <w:rsid w:val="000B60DD"/>
    <w:rsid w:val="000B61DE"/>
    <w:rsid w:val="000B6285"/>
    <w:rsid w:val="000B632C"/>
    <w:rsid w:val="000B633C"/>
    <w:rsid w:val="000B63ED"/>
    <w:rsid w:val="000B6694"/>
    <w:rsid w:val="000B66F2"/>
    <w:rsid w:val="000B67F7"/>
    <w:rsid w:val="000B690B"/>
    <w:rsid w:val="000B693A"/>
    <w:rsid w:val="000B6999"/>
    <w:rsid w:val="000B6A66"/>
    <w:rsid w:val="000B6B0D"/>
    <w:rsid w:val="000B6B54"/>
    <w:rsid w:val="000B6D4D"/>
    <w:rsid w:val="000B6E08"/>
    <w:rsid w:val="000B6F54"/>
    <w:rsid w:val="000B6F6A"/>
    <w:rsid w:val="000B70A8"/>
    <w:rsid w:val="000B71D2"/>
    <w:rsid w:val="000B733C"/>
    <w:rsid w:val="000B7486"/>
    <w:rsid w:val="000B74CD"/>
    <w:rsid w:val="000B74FC"/>
    <w:rsid w:val="000B7796"/>
    <w:rsid w:val="000B77A7"/>
    <w:rsid w:val="000B7869"/>
    <w:rsid w:val="000B7891"/>
    <w:rsid w:val="000B7A57"/>
    <w:rsid w:val="000B7BDC"/>
    <w:rsid w:val="000C000C"/>
    <w:rsid w:val="000C0096"/>
    <w:rsid w:val="000C0173"/>
    <w:rsid w:val="000C020E"/>
    <w:rsid w:val="000C0238"/>
    <w:rsid w:val="000C02CD"/>
    <w:rsid w:val="000C0392"/>
    <w:rsid w:val="000C03CF"/>
    <w:rsid w:val="000C04A3"/>
    <w:rsid w:val="000C04E0"/>
    <w:rsid w:val="000C0522"/>
    <w:rsid w:val="000C074F"/>
    <w:rsid w:val="000C08E9"/>
    <w:rsid w:val="000C095E"/>
    <w:rsid w:val="000C09A0"/>
    <w:rsid w:val="000C0A6D"/>
    <w:rsid w:val="000C0DCF"/>
    <w:rsid w:val="000C0E1C"/>
    <w:rsid w:val="000C0E6B"/>
    <w:rsid w:val="000C0F22"/>
    <w:rsid w:val="000C0F7C"/>
    <w:rsid w:val="000C10A7"/>
    <w:rsid w:val="000C11A0"/>
    <w:rsid w:val="000C1213"/>
    <w:rsid w:val="000C12B4"/>
    <w:rsid w:val="000C12DE"/>
    <w:rsid w:val="000C15B6"/>
    <w:rsid w:val="000C15C3"/>
    <w:rsid w:val="000C17E6"/>
    <w:rsid w:val="000C19E3"/>
    <w:rsid w:val="000C1C6E"/>
    <w:rsid w:val="000C1CAA"/>
    <w:rsid w:val="000C1D5C"/>
    <w:rsid w:val="000C1DDF"/>
    <w:rsid w:val="000C1ED0"/>
    <w:rsid w:val="000C1F22"/>
    <w:rsid w:val="000C1FE0"/>
    <w:rsid w:val="000C23A8"/>
    <w:rsid w:val="000C254C"/>
    <w:rsid w:val="000C2550"/>
    <w:rsid w:val="000C2A23"/>
    <w:rsid w:val="000C2AE6"/>
    <w:rsid w:val="000C2C40"/>
    <w:rsid w:val="000C2EE7"/>
    <w:rsid w:val="000C3369"/>
    <w:rsid w:val="000C369F"/>
    <w:rsid w:val="000C379B"/>
    <w:rsid w:val="000C3950"/>
    <w:rsid w:val="000C3C64"/>
    <w:rsid w:val="000C3C73"/>
    <w:rsid w:val="000C3CD0"/>
    <w:rsid w:val="000C3D45"/>
    <w:rsid w:val="000C3F94"/>
    <w:rsid w:val="000C4027"/>
    <w:rsid w:val="000C427B"/>
    <w:rsid w:val="000C43D3"/>
    <w:rsid w:val="000C4550"/>
    <w:rsid w:val="000C458B"/>
    <w:rsid w:val="000C463B"/>
    <w:rsid w:val="000C46D1"/>
    <w:rsid w:val="000C4740"/>
    <w:rsid w:val="000C4742"/>
    <w:rsid w:val="000C47B6"/>
    <w:rsid w:val="000C48BA"/>
    <w:rsid w:val="000C4BCE"/>
    <w:rsid w:val="000C4BDF"/>
    <w:rsid w:val="000C4C0E"/>
    <w:rsid w:val="000C4C8D"/>
    <w:rsid w:val="000C4E8B"/>
    <w:rsid w:val="000C4EA6"/>
    <w:rsid w:val="000C52B9"/>
    <w:rsid w:val="000C5485"/>
    <w:rsid w:val="000C549F"/>
    <w:rsid w:val="000C54B7"/>
    <w:rsid w:val="000C57C1"/>
    <w:rsid w:val="000C58F6"/>
    <w:rsid w:val="000C5DE8"/>
    <w:rsid w:val="000C6033"/>
    <w:rsid w:val="000C606E"/>
    <w:rsid w:val="000C6208"/>
    <w:rsid w:val="000C62EE"/>
    <w:rsid w:val="000C6449"/>
    <w:rsid w:val="000C64C8"/>
    <w:rsid w:val="000C672B"/>
    <w:rsid w:val="000C694E"/>
    <w:rsid w:val="000C694F"/>
    <w:rsid w:val="000C6AD4"/>
    <w:rsid w:val="000C6B74"/>
    <w:rsid w:val="000C6DD4"/>
    <w:rsid w:val="000C6DE5"/>
    <w:rsid w:val="000C6FA6"/>
    <w:rsid w:val="000C6FB0"/>
    <w:rsid w:val="000C7128"/>
    <w:rsid w:val="000C713D"/>
    <w:rsid w:val="000C715C"/>
    <w:rsid w:val="000C732E"/>
    <w:rsid w:val="000C7631"/>
    <w:rsid w:val="000C7639"/>
    <w:rsid w:val="000C76BB"/>
    <w:rsid w:val="000C7709"/>
    <w:rsid w:val="000C7754"/>
    <w:rsid w:val="000C7814"/>
    <w:rsid w:val="000C78B7"/>
    <w:rsid w:val="000C790D"/>
    <w:rsid w:val="000C794F"/>
    <w:rsid w:val="000C79DD"/>
    <w:rsid w:val="000C7AB3"/>
    <w:rsid w:val="000C7B74"/>
    <w:rsid w:val="000C7B95"/>
    <w:rsid w:val="000C7BD7"/>
    <w:rsid w:val="000C7C60"/>
    <w:rsid w:val="000C7CF4"/>
    <w:rsid w:val="000D00F9"/>
    <w:rsid w:val="000D0199"/>
    <w:rsid w:val="000D034C"/>
    <w:rsid w:val="000D0431"/>
    <w:rsid w:val="000D04DF"/>
    <w:rsid w:val="000D0689"/>
    <w:rsid w:val="000D0694"/>
    <w:rsid w:val="000D06E2"/>
    <w:rsid w:val="000D0842"/>
    <w:rsid w:val="000D0875"/>
    <w:rsid w:val="000D0922"/>
    <w:rsid w:val="000D0933"/>
    <w:rsid w:val="000D0ABD"/>
    <w:rsid w:val="000D0B1C"/>
    <w:rsid w:val="000D0B78"/>
    <w:rsid w:val="000D0E28"/>
    <w:rsid w:val="000D0FB0"/>
    <w:rsid w:val="000D1006"/>
    <w:rsid w:val="000D101A"/>
    <w:rsid w:val="000D10D9"/>
    <w:rsid w:val="000D10F2"/>
    <w:rsid w:val="000D135A"/>
    <w:rsid w:val="000D13CC"/>
    <w:rsid w:val="000D142B"/>
    <w:rsid w:val="000D150A"/>
    <w:rsid w:val="000D1768"/>
    <w:rsid w:val="000D17CC"/>
    <w:rsid w:val="000D195D"/>
    <w:rsid w:val="000D1CAD"/>
    <w:rsid w:val="000D2013"/>
    <w:rsid w:val="000D2203"/>
    <w:rsid w:val="000D229C"/>
    <w:rsid w:val="000D240A"/>
    <w:rsid w:val="000D24C4"/>
    <w:rsid w:val="000D279B"/>
    <w:rsid w:val="000D27B7"/>
    <w:rsid w:val="000D2804"/>
    <w:rsid w:val="000D284B"/>
    <w:rsid w:val="000D2BC1"/>
    <w:rsid w:val="000D2E4F"/>
    <w:rsid w:val="000D2EE5"/>
    <w:rsid w:val="000D2EF4"/>
    <w:rsid w:val="000D2F2F"/>
    <w:rsid w:val="000D2F95"/>
    <w:rsid w:val="000D3080"/>
    <w:rsid w:val="000D30C5"/>
    <w:rsid w:val="000D3255"/>
    <w:rsid w:val="000D32E3"/>
    <w:rsid w:val="000D3322"/>
    <w:rsid w:val="000D3422"/>
    <w:rsid w:val="000D343D"/>
    <w:rsid w:val="000D3468"/>
    <w:rsid w:val="000D3477"/>
    <w:rsid w:val="000D3543"/>
    <w:rsid w:val="000D36E0"/>
    <w:rsid w:val="000D382C"/>
    <w:rsid w:val="000D399B"/>
    <w:rsid w:val="000D3A0B"/>
    <w:rsid w:val="000D3BFF"/>
    <w:rsid w:val="000D3E57"/>
    <w:rsid w:val="000D3E9B"/>
    <w:rsid w:val="000D3F01"/>
    <w:rsid w:val="000D3F14"/>
    <w:rsid w:val="000D40B7"/>
    <w:rsid w:val="000D40E8"/>
    <w:rsid w:val="000D42C7"/>
    <w:rsid w:val="000D42FF"/>
    <w:rsid w:val="000D4445"/>
    <w:rsid w:val="000D4558"/>
    <w:rsid w:val="000D45F2"/>
    <w:rsid w:val="000D478E"/>
    <w:rsid w:val="000D47C2"/>
    <w:rsid w:val="000D4860"/>
    <w:rsid w:val="000D48E5"/>
    <w:rsid w:val="000D5061"/>
    <w:rsid w:val="000D53D7"/>
    <w:rsid w:val="000D5476"/>
    <w:rsid w:val="000D55AA"/>
    <w:rsid w:val="000D55D5"/>
    <w:rsid w:val="000D5635"/>
    <w:rsid w:val="000D5649"/>
    <w:rsid w:val="000D568D"/>
    <w:rsid w:val="000D56CB"/>
    <w:rsid w:val="000D57C3"/>
    <w:rsid w:val="000D57E4"/>
    <w:rsid w:val="000D5AB1"/>
    <w:rsid w:val="000D5C39"/>
    <w:rsid w:val="000D5D1F"/>
    <w:rsid w:val="000D5F25"/>
    <w:rsid w:val="000D602C"/>
    <w:rsid w:val="000D6059"/>
    <w:rsid w:val="000D613C"/>
    <w:rsid w:val="000D61C0"/>
    <w:rsid w:val="000D61C3"/>
    <w:rsid w:val="000D6281"/>
    <w:rsid w:val="000D629E"/>
    <w:rsid w:val="000D6E60"/>
    <w:rsid w:val="000D722E"/>
    <w:rsid w:val="000D73CC"/>
    <w:rsid w:val="000D7401"/>
    <w:rsid w:val="000D762F"/>
    <w:rsid w:val="000D78B2"/>
    <w:rsid w:val="000D78F0"/>
    <w:rsid w:val="000D7A13"/>
    <w:rsid w:val="000D7BBE"/>
    <w:rsid w:val="000D7CD1"/>
    <w:rsid w:val="000D7D24"/>
    <w:rsid w:val="000D7D48"/>
    <w:rsid w:val="000D7E04"/>
    <w:rsid w:val="000D7EAE"/>
    <w:rsid w:val="000D7FFE"/>
    <w:rsid w:val="000E0017"/>
    <w:rsid w:val="000E015E"/>
    <w:rsid w:val="000E0286"/>
    <w:rsid w:val="000E0446"/>
    <w:rsid w:val="000E05AA"/>
    <w:rsid w:val="000E0652"/>
    <w:rsid w:val="000E06D1"/>
    <w:rsid w:val="000E06E9"/>
    <w:rsid w:val="000E0774"/>
    <w:rsid w:val="000E078A"/>
    <w:rsid w:val="000E08AA"/>
    <w:rsid w:val="000E0928"/>
    <w:rsid w:val="000E09D0"/>
    <w:rsid w:val="000E0A40"/>
    <w:rsid w:val="000E0A50"/>
    <w:rsid w:val="000E0B71"/>
    <w:rsid w:val="000E0CBE"/>
    <w:rsid w:val="000E0D03"/>
    <w:rsid w:val="000E0E4B"/>
    <w:rsid w:val="000E10A8"/>
    <w:rsid w:val="000E1169"/>
    <w:rsid w:val="000E12BF"/>
    <w:rsid w:val="000E131B"/>
    <w:rsid w:val="000E133E"/>
    <w:rsid w:val="000E1343"/>
    <w:rsid w:val="000E1959"/>
    <w:rsid w:val="000E1C5E"/>
    <w:rsid w:val="000E1DF9"/>
    <w:rsid w:val="000E1E27"/>
    <w:rsid w:val="000E1EB9"/>
    <w:rsid w:val="000E1EF4"/>
    <w:rsid w:val="000E1F4A"/>
    <w:rsid w:val="000E200B"/>
    <w:rsid w:val="000E20CB"/>
    <w:rsid w:val="000E2148"/>
    <w:rsid w:val="000E21AE"/>
    <w:rsid w:val="000E2299"/>
    <w:rsid w:val="000E22D7"/>
    <w:rsid w:val="000E22ED"/>
    <w:rsid w:val="000E2526"/>
    <w:rsid w:val="000E2661"/>
    <w:rsid w:val="000E27E8"/>
    <w:rsid w:val="000E2901"/>
    <w:rsid w:val="000E2957"/>
    <w:rsid w:val="000E2A68"/>
    <w:rsid w:val="000E2A8E"/>
    <w:rsid w:val="000E2AC3"/>
    <w:rsid w:val="000E2B12"/>
    <w:rsid w:val="000E2BAC"/>
    <w:rsid w:val="000E2C4D"/>
    <w:rsid w:val="000E2D2F"/>
    <w:rsid w:val="000E2E16"/>
    <w:rsid w:val="000E2F20"/>
    <w:rsid w:val="000E2F49"/>
    <w:rsid w:val="000E318B"/>
    <w:rsid w:val="000E323B"/>
    <w:rsid w:val="000E33D2"/>
    <w:rsid w:val="000E3448"/>
    <w:rsid w:val="000E349C"/>
    <w:rsid w:val="000E3555"/>
    <w:rsid w:val="000E3646"/>
    <w:rsid w:val="000E38CB"/>
    <w:rsid w:val="000E3A0F"/>
    <w:rsid w:val="000E3D1E"/>
    <w:rsid w:val="000E3F0E"/>
    <w:rsid w:val="000E3F81"/>
    <w:rsid w:val="000E4155"/>
    <w:rsid w:val="000E42F8"/>
    <w:rsid w:val="000E43FA"/>
    <w:rsid w:val="000E4440"/>
    <w:rsid w:val="000E44C5"/>
    <w:rsid w:val="000E4872"/>
    <w:rsid w:val="000E4AA1"/>
    <w:rsid w:val="000E4B55"/>
    <w:rsid w:val="000E4D71"/>
    <w:rsid w:val="000E4DD4"/>
    <w:rsid w:val="000E4FA3"/>
    <w:rsid w:val="000E516D"/>
    <w:rsid w:val="000E5308"/>
    <w:rsid w:val="000E5460"/>
    <w:rsid w:val="000E555C"/>
    <w:rsid w:val="000E5815"/>
    <w:rsid w:val="000E5B92"/>
    <w:rsid w:val="000E5DAA"/>
    <w:rsid w:val="000E5DBE"/>
    <w:rsid w:val="000E5F01"/>
    <w:rsid w:val="000E6108"/>
    <w:rsid w:val="000E6246"/>
    <w:rsid w:val="000E64DA"/>
    <w:rsid w:val="000E64DD"/>
    <w:rsid w:val="000E67D9"/>
    <w:rsid w:val="000E695E"/>
    <w:rsid w:val="000E6B90"/>
    <w:rsid w:val="000E6C04"/>
    <w:rsid w:val="000E6D40"/>
    <w:rsid w:val="000E7166"/>
    <w:rsid w:val="000E72BA"/>
    <w:rsid w:val="000E74A9"/>
    <w:rsid w:val="000E77A0"/>
    <w:rsid w:val="000E783B"/>
    <w:rsid w:val="000E7844"/>
    <w:rsid w:val="000E7855"/>
    <w:rsid w:val="000E7965"/>
    <w:rsid w:val="000E7C63"/>
    <w:rsid w:val="000E7C66"/>
    <w:rsid w:val="000E7E1F"/>
    <w:rsid w:val="000E7FB5"/>
    <w:rsid w:val="000F00B2"/>
    <w:rsid w:val="000F00B6"/>
    <w:rsid w:val="000F00E5"/>
    <w:rsid w:val="000F0278"/>
    <w:rsid w:val="000F04CF"/>
    <w:rsid w:val="000F0609"/>
    <w:rsid w:val="000F0656"/>
    <w:rsid w:val="000F067D"/>
    <w:rsid w:val="000F0832"/>
    <w:rsid w:val="000F085A"/>
    <w:rsid w:val="000F09D0"/>
    <w:rsid w:val="000F09DD"/>
    <w:rsid w:val="000F0B39"/>
    <w:rsid w:val="000F0CE7"/>
    <w:rsid w:val="000F0D9E"/>
    <w:rsid w:val="000F0E04"/>
    <w:rsid w:val="000F0E8C"/>
    <w:rsid w:val="000F0FBE"/>
    <w:rsid w:val="000F106A"/>
    <w:rsid w:val="000F1075"/>
    <w:rsid w:val="000F111C"/>
    <w:rsid w:val="000F1328"/>
    <w:rsid w:val="000F1599"/>
    <w:rsid w:val="000F15EF"/>
    <w:rsid w:val="000F168C"/>
    <w:rsid w:val="000F184A"/>
    <w:rsid w:val="000F18F7"/>
    <w:rsid w:val="000F1912"/>
    <w:rsid w:val="000F19B6"/>
    <w:rsid w:val="000F1A73"/>
    <w:rsid w:val="000F1C0F"/>
    <w:rsid w:val="000F1E1C"/>
    <w:rsid w:val="000F1E2F"/>
    <w:rsid w:val="000F1F6C"/>
    <w:rsid w:val="000F2110"/>
    <w:rsid w:val="000F2141"/>
    <w:rsid w:val="000F222E"/>
    <w:rsid w:val="000F23A3"/>
    <w:rsid w:val="000F2430"/>
    <w:rsid w:val="000F2BC9"/>
    <w:rsid w:val="000F2C61"/>
    <w:rsid w:val="000F2D7E"/>
    <w:rsid w:val="000F2D81"/>
    <w:rsid w:val="000F2EF7"/>
    <w:rsid w:val="000F2F9A"/>
    <w:rsid w:val="000F31B8"/>
    <w:rsid w:val="000F332C"/>
    <w:rsid w:val="000F3344"/>
    <w:rsid w:val="000F35A5"/>
    <w:rsid w:val="000F37CA"/>
    <w:rsid w:val="000F38D8"/>
    <w:rsid w:val="000F3CCF"/>
    <w:rsid w:val="000F420C"/>
    <w:rsid w:val="000F4364"/>
    <w:rsid w:val="000F4601"/>
    <w:rsid w:val="000F488A"/>
    <w:rsid w:val="000F48AB"/>
    <w:rsid w:val="000F48CF"/>
    <w:rsid w:val="000F4954"/>
    <w:rsid w:val="000F4BA5"/>
    <w:rsid w:val="000F4F1B"/>
    <w:rsid w:val="000F519E"/>
    <w:rsid w:val="000F5329"/>
    <w:rsid w:val="000F534D"/>
    <w:rsid w:val="000F54BE"/>
    <w:rsid w:val="000F562F"/>
    <w:rsid w:val="000F5960"/>
    <w:rsid w:val="000F5A9E"/>
    <w:rsid w:val="000F5C30"/>
    <w:rsid w:val="000F5DA6"/>
    <w:rsid w:val="000F5E05"/>
    <w:rsid w:val="000F62B1"/>
    <w:rsid w:val="000F64A3"/>
    <w:rsid w:val="000F6641"/>
    <w:rsid w:val="000F6761"/>
    <w:rsid w:val="000F67C4"/>
    <w:rsid w:val="000F6838"/>
    <w:rsid w:val="000F694C"/>
    <w:rsid w:val="000F698A"/>
    <w:rsid w:val="000F69C9"/>
    <w:rsid w:val="000F6E96"/>
    <w:rsid w:val="000F7191"/>
    <w:rsid w:val="000F7193"/>
    <w:rsid w:val="000F7237"/>
    <w:rsid w:val="000F72D5"/>
    <w:rsid w:val="000F74FE"/>
    <w:rsid w:val="000F74FF"/>
    <w:rsid w:val="000F76E9"/>
    <w:rsid w:val="000F787E"/>
    <w:rsid w:val="000F79E5"/>
    <w:rsid w:val="000F7BF8"/>
    <w:rsid w:val="000F7D4E"/>
    <w:rsid w:val="000F7E1A"/>
    <w:rsid w:val="001003AA"/>
    <w:rsid w:val="001004C7"/>
    <w:rsid w:val="001004E0"/>
    <w:rsid w:val="00100566"/>
    <w:rsid w:val="001005D4"/>
    <w:rsid w:val="001007FE"/>
    <w:rsid w:val="001008CF"/>
    <w:rsid w:val="00100A9C"/>
    <w:rsid w:val="00100D7C"/>
    <w:rsid w:val="00100E5A"/>
    <w:rsid w:val="00100ED4"/>
    <w:rsid w:val="00100F36"/>
    <w:rsid w:val="00100F9A"/>
    <w:rsid w:val="0010106E"/>
    <w:rsid w:val="00101252"/>
    <w:rsid w:val="0010125A"/>
    <w:rsid w:val="001012D5"/>
    <w:rsid w:val="00101392"/>
    <w:rsid w:val="00101412"/>
    <w:rsid w:val="0010181D"/>
    <w:rsid w:val="00101921"/>
    <w:rsid w:val="00101CA6"/>
    <w:rsid w:val="00101CDD"/>
    <w:rsid w:val="00101CDF"/>
    <w:rsid w:val="00101ED5"/>
    <w:rsid w:val="00101F41"/>
    <w:rsid w:val="00101F45"/>
    <w:rsid w:val="00101FC8"/>
    <w:rsid w:val="00101FED"/>
    <w:rsid w:val="0010205A"/>
    <w:rsid w:val="00102094"/>
    <w:rsid w:val="00102204"/>
    <w:rsid w:val="001022B4"/>
    <w:rsid w:val="00102433"/>
    <w:rsid w:val="001024F4"/>
    <w:rsid w:val="0010274C"/>
    <w:rsid w:val="001027AD"/>
    <w:rsid w:val="001027F3"/>
    <w:rsid w:val="00102910"/>
    <w:rsid w:val="00102954"/>
    <w:rsid w:val="00102B7C"/>
    <w:rsid w:val="00102C24"/>
    <w:rsid w:val="00102C77"/>
    <w:rsid w:val="0010300A"/>
    <w:rsid w:val="00103212"/>
    <w:rsid w:val="00103E74"/>
    <w:rsid w:val="00104035"/>
    <w:rsid w:val="001040FC"/>
    <w:rsid w:val="00104140"/>
    <w:rsid w:val="00104520"/>
    <w:rsid w:val="001048E4"/>
    <w:rsid w:val="00104B35"/>
    <w:rsid w:val="00104C89"/>
    <w:rsid w:val="00104D77"/>
    <w:rsid w:val="00104FED"/>
    <w:rsid w:val="001051AA"/>
    <w:rsid w:val="001051DF"/>
    <w:rsid w:val="001052BB"/>
    <w:rsid w:val="001052ED"/>
    <w:rsid w:val="00105326"/>
    <w:rsid w:val="001053AD"/>
    <w:rsid w:val="001053F9"/>
    <w:rsid w:val="001055CD"/>
    <w:rsid w:val="001055F8"/>
    <w:rsid w:val="001056E9"/>
    <w:rsid w:val="00105A47"/>
    <w:rsid w:val="00105A70"/>
    <w:rsid w:val="00105B0B"/>
    <w:rsid w:val="00105CFD"/>
    <w:rsid w:val="00105D6D"/>
    <w:rsid w:val="00105D8D"/>
    <w:rsid w:val="00105ECB"/>
    <w:rsid w:val="00106289"/>
    <w:rsid w:val="001062C5"/>
    <w:rsid w:val="0010630D"/>
    <w:rsid w:val="00106647"/>
    <w:rsid w:val="001067E0"/>
    <w:rsid w:val="0010684D"/>
    <w:rsid w:val="00106874"/>
    <w:rsid w:val="00106931"/>
    <w:rsid w:val="0010693F"/>
    <w:rsid w:val="00106962"/>
    <w:rsid w:val="00106A18"/>
    <w:rsid w:val="00106B92"/>
    <w:rsid w:val="00106CF9"/>
    <w:rsid w:val="00106E5D"/>
    <w:rsid w:val="00106E9F"/>
    <w:rsid w:val="00107146"/>
    <w:rsid w:val="00107204"/>
    <w:rsid w:val="001073C0"/>
    <w:rsid w:val="0010740E"/>
    <w:rsid w:val="0010741A"/>
    <w:rsid w:val="00107625"/>
    <w:rsid w:val="00107A75"/>
    <w:rsid w:val="00107BCD"/>
    <w:rsid w:val="00107D60"/>
    <w:rsid w:val="00107DCD"/>
    <w:rsid w:val="00107EE7"/>
    <w:rsid w:val="00107F85"/>
    <w:rsid w:val="00110038"/>
    <w:rsid w:val="0011023B"/>
    <w:rsid w:val="0011028E"/>
    <w:rsid w:val="00110460"/>
    <w:rsid w:val="00110580"/>
    <w:rsid w:val="00110656"/>
    <w:rsid w:val="0011075C"/>
    <w:rsid w:val="001107FF"/>
    <w:rsid w:val="0011085E"/>
    <w:rsid w:val="00110A4F"/>
    <w:rsid w:val="00110BEB"/>
    <w:rsid w:val="00110EC0"/>
    <w:rsid w:val="00110F58"/>
    <w:rsid w:val="00111018"/>
    <w:rsid w:val="001110DA"/>
    <w:rsid w:val="00111495"/>
    <w:rsid w:val="001114FE"/>
    <w:rsid w:val="0011150D"/>
    <w:rsid w:val="001115BB"/>
    <w:rsid w:val="0011197D"/>
    <w:rsid w:val="00112410"/>
    <w:rsid w:val="00112459"/>
    <w:rsid w:val="001124CB"/>
    <w:rsid w:val="001125F8"/>
    <w:rsid w:val="001127F2"/>
    <w:rsid w:val="001128EE"/>
    <w:rsid w:val="00112AD0"/>
    <w:rsid w:val="00112AF6"/>
    <w:rsid w:val="00112B28"/>
    <w:rsid w:val="00112B44"/>
    <w:rsid w:val="00112C1C"/>
    <w:rsid w:val="00112DEE"/>
    <w:rsid w:val="00112EAC"/>
    <w:rsid w:val="00112F11"/>
    <w:rsid w:val="00112F3D"/>
    <w:rsid w:val="00112FC3"/>
    <w:rsid w:val="00113094"/>
    <w:rsid w:val="001130AE"/>
    <w:rsid w:val="00113268"/>
    <w:rsid w:val="0011326A"/>
    <w:rsid w:val="001133BE"/>
    <w:rsid w:val="00113634"/>
    <w:rsid w:val="0011378D"/>
    <w:rsid w:val="00113936"/>
    <w:rsid w:val="0011399F"/>
    <w:rsid w:val="00113A12"/>
    <w:rsid w:val="00113B3C"/>
    <w:rsid w:val="00113F4B"/>
    <w:rsid w:val="001140DC"/>
    <w:rsid w:val="0011415D"/>
    <w:rsid w:val="0011440F"/>
    <w:rsid w:val="0011456A"/>
    <w:rsid w:val="00114626"/>
    <w:rsid w:val="001147EF"/>
    <w:rsid w:val="00114914"/>
    <w:rsid w:val="0011498E"/>
    <w:rsid w:val="00114A31"/>
    <w:rsid w:val="00114AB0"/>
    <w:rsid w:val="00114BEB"/>
    <w:rsid w:val="00114CF5"/>
    <w:rsid w:val="00114D7F"/>
    <w:rsid w:val="0011501A"/>
    <w:rsid w:val="001153BA"/>
    <w:rsid w:val="001153D5"/>
    <w:rsid w:val="001154DD"/>
    <w:rsid w:val="0011555C"/>
    <w:rsid w:val="0011557D"/>
    <w:rsid w:val="00115646"/>
    <w:rsid w:val="001156AC"/>
    <w:rsid w:val="001156BA"/>
    <w:rsid w:val="001158B2"/>
    <w:rsid w:val="00115AC9"/>
    <w:rsid w:val="00115C08"/>
    <w:rsid w:val="00115C2C"/>
    <w:rsid w:val="00115C8D"/>
    <w:rsid w:val="00115D15"/>
    <w:rsid w:val="00115E33"/>
    <w:rsid w:val="00115FC1"/>
    <w:rsid w:val="00116001"/>
    <w:rsid w:val="001160B6"/>
    <w:rsid w:val="00116100"/>
    <w:rsid w:val="00116140"/>
    <w:rsid w:val="001162E6"/>
    <w:rsid w:val="00116334"/>
    <w:rsid w:val="0011645C"/>
    <w:rsid w:val="001165FF"/>
    <w:rsid w:val="001167F6"/>
    <w:rsid w:val="0011699C"/>
    <w:rsid w:val="001169BA"/>
    <w:rsid w:val="00116B22"/>
    <w:rsid w:val="00116B4B"/>
    <w:rsid w:val="00116B68"/>
    <w:rsid w:val="00116CA9"/>
    <w:rsid w:val="00116CD2"/>
    <w:rsid w:val="00116E97"/>
    <w:rsid w:val="00116E99"/>
    <w:rsid w:val="00116F3C"/>
    <w:rsid w:val="00116F65"/>
    <w:rsid w:val="00116F7E"/>
    <w:rsid w:val="0011702A"/>
    <w:rsid w:val="0011704C"/>
    <w:rsid w:val="00117183"/>
    <w:rsid w:val="00117209"/>
    <w:rsid w:val="0011722E"/>
    <w:rsid w:val="0011745E"/>
    <w:rsid w:val="00117482"/>
    <w:rsid w:val="001174CB"/>
    <w:rsid w:val="001176DA"/>
    <w:rsid w:val="0011773F"/>
    <w:rsid w:val="001178E6"/>
    <w:rsid w:val="00117959"/>
    <w:rsid w:val="00117BC8"/>
    <w:rsid w:val="00117CE1"/>
    <w:rsid w:val="00117D55"/>
    <w:rsid w:val="00117E50"/>
    <w:rsid w:val="0012016C"/>
    <w:rsid w:val="00120435"/>
    <w:rsid w:val="00120464"/>
    <w:rsid w:val="00120802"/>
    <w:rsid w:val="001208AB"/>
    <w:rsid w:val="00120BE8"/>
    <w:rsid w:val="00120BFC"/>
    <w:rsid w:val="00120CA2"/>
    <w:rsid w:val="00120ECD"/>
    <w:rsid w:val="00120F09"/>
    <w:rsid w:val="00121231"/>
    <w:rsid w:val="0012128F"/>
    <w:rsid w:val="001212D4"/>
    <w:rsid w:val="0012140A"/>
    <w:rsid w:val="00121451"/>
    <w:rsid w:val="00121647"/>
    <w:rsid w:val="0012172E"/>
    <w:rsid w:val="00121777"/>
    <w:rsid w:val="0012190A"/>
    <w:rsid w:val="00121BA9"/>
    <w:rsid w:val="00121BDD"/>
    <w:rsid w:val="00121C6C"/>
    <w:rsid w:val="00121CCB"/>
    <w:rsid w:val="00121F41"/>
    <w:rsid w:val="00121F95"/>
    <w:rsid w:val="00121FBA"/>
    <w:rsid w:val="00121FF4"/>
    <w:rsid w:val="0012210E"/>
    <w:rsid w:val="00122135"/>
    <w:rsid w:val="00122179"/>
    <w:rsid w:val="00122271"/>
    <w:rsid w:val="001222CD"/>
    <w:rsid w:val="001224B1"/>
    <w:rsid w:val="001224CA"/>
    <w:rsid w:val="0012270F"/>
    <w:rsid w:val="00122870"/>
    <w:rsid w:val="001228A1"/>
    <w:rsid w:val="001229AA"/>
    <w:rsid w:val="00122AAF"/>
    <w:rsid w:val="00122B8F"/>
    <w:rsid w:val="00122BEB"/>
    <w:rsid w:val="00122DEB"/>
    <w:rsid w:val="00122DED"/>
    <w:rsid w:val="00122EBE"/>
    <w:rsid w:val="00122EE3"/>
    <w:rsid w:val="00122FA1"/>
    <w:rsid w:val="00122FAB"/>
    <w:rsid w:val="00122FFA"/>
    <w:rsid w:val="0012329F"/>
    <w:rsid w:val="001232A3"/>
    <w:rsid w:val="001234E3"/>
    <w:rsid w:val="001234F2"/>
    <w:rsid w:val="00123839"/>
    <w:rsid w:val="0012385F"/>
    <w:rsid w:val="00123BC3"/>
    <w:rsid w:val="00123C42"/>
    <w:rsid w:val="001240E9"/>
    <w:rsid w:val="00124176"/>
    <w:rsid w:val="001241D4"/>
    <w:rsid w:val="001242BB"/>
    <w:rsid w:val="001243FB"/>
    <w:rsid w:val="00124406"/>
    <w:rsid w:val="0012440E"/>
    <w:rsid w:val="00124456"/>
    <w:rsid w:val="00124724"/>
    <w:rsid w:val="00124825"/>
    <w:rsid w:val="00124883"/>
    <w:rsid w:val="00124CFB"/>
    <w:rsid w:val="00124D84"/>
    <w:rsid w:val="00124D89"/>
    <w:rsid w:val="00124E93"/>
    <w:rsid w:val="00124EEB"/>
    <w:rsid w:val="00124F0F"/>
    <w:rsid w:val="00124F74"/>
    <w:rsid w:val="00124FFA"/>
    <w:rsid w:val="00125108"/>
    <w:rsid w:val="00125161"/>
    <w:rsid w:val="00125653"/>
    <w:rsid w:val="00125850"/>
    <w:rsid w:val="00125953"/>
    <w:rsid w:val="00125AC5"/>
    <w:rsid w:val="00125AD9"/>
    <w:rsid w:val="00125B1E"/>
    <w:rsid w:val="00125B22"/>
    <w:rsid w:val="00125D04"/>
    <w:rsid w:val="00125D10"/>
    <w:rsid w:val="00125E6A"/>
    <w:rsid w:val="00126101"/>
    <w:rsid w:val="0012653D"/>
    <w:rsid w:val="0012698D"/>
    <w:rsid w:val="00126B27"/>
    <w:rsid w:val="00126CAF"/>
    <w:rsid w:val="00126D4C"/>
    <w:rsid w:val="00127042"/>
    <w:rsid w:val="00127164"/>
    <w:rsid w:val="001272EA"/>
    <w:rsid w:val="001272EE"/>
    <w:rsid w:val="00127368"/>
    <w:rsid w:val="001275E1"/>
    <w:rsid w:val="001276B8"/>
    <w:rsid w:val="001279DA"/>
    <w:rsid w:val="00127C1F"/>
    <w:rsid w:val="00127E0C"/>
    <w:rsid w:val="00127F29"/>
    <w:rsid w:val="00127F54"/>
    <w:rsid w:val="00127F5B"/>
    <w:rsid w:val="0013010D"/>
    <w:rsid w:val="0013039A"/>
    <w:rsid w:val="00130414"/>
    <w:rsid w:val="001305C7"/>
    <w:rsid w:val="0013073A"/>
    <w:rsid w:val="0013076B"/>
    <w:rsid w:val="001307EC"/>
    <w:rsid w:val="00130849"/>
    <w:rsid w:val="001309CC"/>
    <w:rsid w:val="00130A44"/>
    <w:rsid w:val="00130A66"/>
    <w:rsid w:val="00130B41"/>
    <w:rsid w:val="00130C40"/>
    <w:rsid w:val="00130F02"/>
    <w:rsid w:val="00130F1A"/>
    <w:rsid w:val="00130F26"/>
    <w:rsid w:val="00130F9A"/>
    <w:rsid w:val="00131111"/>
    <w:rsid w:val="0013121C"/>
    <w:rsid w:val="00131278"/>
    <w:rsid w:val="001313E6"/>
    <w:rsid w:val="0013151B"/>
    <w:rsid w:val="001315F0"/>
    <w:rsid w:val="0013197F"/>
    <w:rsid w:val="00131A13"/>
    <w:rsid w:val="00131A66"/>
    <w:rsid w:val="00131A6D"/>
    <w:rsid w:val="00131AE8"/>
    <w:rsid w:val="00131DA2"/>
    <w:rsid w:val="00131E84"/>
    <w:rsid w:val="00131EDA"/>
    <w:rsid w:val="00131F29"/>
    <w:rsid w:val="00132318"/>
    <w:rsid w:val="00132765"/>
    <w:rsid w:val="001327DA"/>
    <w:rsid w:val="0013283F"/>
    <w:rsid w:val="00132851"/>
    <w:rsid w:val="00132ABF"/>
    <w:rsid w:val="00132CA3"/>
    <w:rsid w:val="00132DCA"/>
    <w:rsid w:val="00132E3F"/>
    <w:rsid w:val="001330DA"/>
    <w:rsid w:val="0013326A"/>
    <w:rsid w:val="00133357"/>
    <w:rsid w:val="001335AE"/>
    <w:rsid w:val="00133671"/>
    <w:rsid w:val="001336CE"/>
    <w:rsid w:val="00133B6C"/>
    <w:rsid w:val="00133C52"/>
    <w:rsid w:val="00133DD5"/>
    <w:rsid w:val="00133EB7"/>
    <w:rsid w:val="0013440A"/>
    <w:rsid w:val="00134835"/>
    <w:rsid w:val="0013489C"/>
    <w:rsid w:val="00134A00"/>
    <w:rsid w:val="00134A7F"/>
    <w:rsid w:val="00134C2C"/>
    <w:rsid w:val="00134CF4"/>
    <w:rsid w:val="00134D64"/>
    <w:rsid w:val="00134E16"/>
    <w:rsid w:val="00134EC4"/>
    <w:rsid w:val="00134F77"/>
    <w:rsid w:val="00135009"/>
    <w:rsid w:val="00135155"/>
    <w:rsid w:val="0013518F"/>
    <w:rsid w:val="00135245"/>
    <w:rsid w:val="0013541D"/>
    <w:rsid w:val="00135552"/>
    <w:rsid w:val="001355DA"/>
    <w:rsid w:val="001356EA"/>
    <w:rsid w:val="00135A02"/>
    <w:rsid w:val="00135A44"/>
    <w:rsid w:val="00135A7D"/>
    <w:rsid w:val="00135C87"/>
    <w:rsid w:val="00135DF2"/>
    <w:rsid w:val="00135F99"/>
    <w:rsid w:val="001360AC"/>
    <w:rsid w:val="001361A8"/>
    <w:rsid w:val="0013630D"/>
    <w:rsid w:val="001363FF"/>
    <w:rsid w:val="00136484"/>
    <w:rsid w:val="001364BD"/>
    <w:rsid w:val="0013650A"/>
    <w:rsid w:val="001366AE"/>
    <w:rsid w:val="00136727"/>
    <w:rsid w:val="00136831"/>
    <w:rsid w:val="00136B72"/>
    <w:rsid w:val="00136CEE"/>
    <w:rsid w:val="00136D45"/>
    <w:rsid w:val="00136D98"/>
    <w:rsid w:val="00136F9D"/>
    <w:rsid w:val="00137251"/>
    <w:rsid w:val="0013725D"/>
    <w:rsid w:val="00137262"/>
    <w:rsid w:val="001372DA"/>
    <w:rsid w:val="00137389"/>
    <w:rsid w:val="001377CE"/>
    <w:rsid w:val="001377D1"/>
    <w:rsid w:val="00137812"/>
    <w:rsid w:val="00137824"/>
    <w:rsid w:val="00137861"/>
    <w:rsid w:val="001378AB"/>
    <w:rsid w:val="001378FE"/>
    <w:rsid w:val="00137B88"/>
    <w:rsid w:val="00137D65"/>
    <w:rsid w:val="00137D9E"/>
    <w:rsid w:val="00137DFC"/>
    <w:rsid w:val="00137E40"/>
    <w:rsid w:val="00137FC3"/>
    <w:rsid w:val="00140142"/>
    <w:rsid w:val="00140235"/>
    <w:rsid w:val="00140296"/>
    <w:rsid w:val="00140353"/>
    <w:rsid w:val="0014061E"/>
    <w:rsid w:val="0014068B"/>
    <w:rsid w:val="0014078F"/>
    <w:rsid w:val="00140865"/>
    <w:rsid w:val="00140928"/>
    <w:rsid w:val="00140A47"/>
    <w:rsid w:val="00140BDA"/>
    <w:rsid w:val="00140C61"/>
    <w:rsid w:val="00140EAC"/>
    <w:rsid w:val="00141010"/>
    <w:rsid w:val="001410EA"/>
    <w:rsid w:val="00141327"/>
    <w:rsid w:val="001415A0"/>
    <w:rsid w:val="001417B2"/>
    <w:rsid w:val="001417C0"/>
    <w:rsid w:val="001418FD"/>
    <w:rsid w:val="00141B02"/>
    <w:rsid w:val="00141BB4"/>
    <w:rsid w:val="00141BE1"/>
    <w:rsid w:val="00141C9B"/>
    <w:rsid w:val="00141E62"/>
    <w:rsid w:val="00141EB6"/>
    <w:rsid w:val="00141F2D"/>
    <w:rsid w:val="00141F65"/>
    <w:rsid w:val="001420C5"/>
    <w:rsid w:val="00142222"/>
    <w:rsid w:val="001422FA"/>
    <w:rsid w:val="0014242D"/>
    <w:rsid w:val="00142452"/>
    <w:rsid w:val="00142A6A"/>
    <w:rsid w:val="00142E6F"/>
    <w:rsid w:val="00142FCD"/>
    <w:rsid w:val="00142FD5"/>
    <w:rsid w:val="001430A3"/>
    <w:rsid w:val="0014313A"/>
    <w:rsid w:val="001431E7"/>
    <w:rsid w:val="00143287"/>
    <w:rsid w:val="00143679"/>
    <w:rsid w:val="001437CE"/>
    <w:rsid w:val="00143BD4"/>
    <w:rsid w:val="00143C15"/>
    <w:rsid w:val="00143C9D"/>
    <w:rsid w:val="00143FAC"/>
    <w:rsid w:val="0014415B"/>
    <w:rsid w:val="001441E3"/>
    <w:rsid w:val="0014432A"/>
    <w:rsid w:val="0014446C"/>
    <w:rsid w:val="001444F5"/>
    <w:rsid w:val="001445AB"/>
    <w:rsid w:val="001446FD"/>
    <w:rsid w:val="001447E9"/>
    <w:rsid w:val="00144847"/>
    <w:rsid w:val="00144AED"/>
    <w:rsid w:val="00144BEF"/>
    <w:rsid w:val="00144E9F"/>
    <w:rsid w:val="00144EB4"/>
    <w:rsid w:val="00144EF6"/>
    <w:rsid w:val="00144FA4"/>
    <w:rsid w:val="00144FC9"/>
    <w:rsid w:val="00145081"/>
    <w:rsid w:val="001450A7"/>
    <w:rsid w:val="0014512B"/>
    <w:rsid w:val="001451EF"/>
    <w:rsid w:val="00145249"/>
    <w:rsid w:val="001452AB"/>
    <w:rsid w:val="001453E3"/>
    <w:rsid w:val="00145538"/>
    <w:rsid w:val="001457EE"/>
    <w:rsid w:val="00145830"/>
    <w:rsid w:val="001458C0"/>
    <w:rsid w:val="001459CE"/>
    <w:rsid w:val="00145C40"/>
    <w:rsid w:val="00145C76"/>
    <w:rsid w:val="00145F24"/>
    <w:rsid w:val="00145FBC"/>
    <w:rsid w:val="0014607F"/>
    <w:rsid w:val="0014634D"/>
    <w:rsid w:val="001464AD"/>
    <w:rsid w:val="00146655"/>
    <w:rsid w:val="0014672F"/>
    <w:rsid w:val="00146808"/>
    <w:rsid w:val="0014687C"/>
    <w:rsid w:val="00146965"/>
    <w:rsid w:val="00146B52"/>
    <w:rsid w:val="00146E74"/>
    <w:rsid w:val="00146FBB"/>
    <w:rsid w:val="00146FC4"/>
    <w:rsid w:val="001472B4"/>
    <w:rsid w:val="0014730C"/>
    <w:rsid w:val="00147313"/>
    <w:rsid w:val="001473AC"/>
    <w:rsid w:val="001474BD"/>
    <w:rsid w:val="001474E6"/>
    <w:rsid w:val="00147953"/>
    <w:rsid w:val="00147973"/>
    <w:rsid w:val="00147A2C"/>
    <w:rsid w:val="00147A36"/>
    <w:rsid w:val="00147ADA"/>
    <w:rsid w:val="00147EFF"/>
    <w:rsid w:val="00147F98"/>
    <w:rsid w:val="001500A2"/>
    <w:rsid w:val="001502C8"/>
    <w:rsid w:val="00150355"/>
    <w:rsid w:val="001503E8"/>
    <w:rsid w:val="00150493"/>
    <w:rsid w:val="00150714"/>
    <w:rsid w:val="0015077D"/>
    <w:rsid w:val="001508B6"/>
    <w:rsid w:val="001508C8"/>
    <w:rsid w:val="00150B4D"/>
    <w:rsid w:val="00150B80"/>
    <w:rsid w:val="00150C7E"/>
    <w:rsid w:val="00150E08"/>
    <w:rsid w:val="00150E51"/>
    <w:rsid w:val="00150E65"/>
    <w:rsid w:val="0015126D"/>
    <w:rsid w:val="0015131C"/>
    <w:rsid w:val="001515D6"/>
    <w:rsid w:val="00151603"/>
    <w:rsid w:val="001516D0"/>
    <w:rsid w:val="00151719"/>
    <w:rsid w:val="00151721"/>
    <w:rsid w:val="00151839"/>
    <w:rsid w:val="001518A1"/>
    <w:rsid w:val="0015190E"/>
    <w:rsid w:val="00151940"/>
    <w:rsid w:val="00151A4C"/>
    <w:rsid w:val="00151AA5"/>
    <w:rsid w:val="00151CE7"/>
    <w:rsid w:val="00151E34"/>
    <w:rsid w:val="001520E5"/>
    <w:rsid w:val="00152206"/>
    <w:rsid w:val="0015223A"/>
    <w:rsid w:val="001523FF"/>
    <w:rsid w:val="0015243D"/>
    <w:rsid w:val="001524F5"/>
    <w:rsid w:val="0015271D"/>
    <w:rsid w:val="001527AB"/>
    <w:rsid w:val="00153179"/>
    <w:rsid w:val="00153443"/>
    <w:rsid w:val="001535B6"/>
    <w:rsid w:val="001535B9"/>
    <w:rsid w:val="001535C4"/>
    <w:rsid w:val="00153637"/>
    <w:rsid w:val="00153901"/>
    <w:rsid w:val="00153E8C"/>
    <w:rsid w:val="00153F6E"/>
    <w:rsid w:val="00153FA7"/>
    <w:rsid w:val="00154044"/>
    <w:rsid w:val="0015429D"/>
    <w:rsid w:val="00154571"/>
    <w:rsid w:val="0015457A"/>
    <w:rsid w:val="001547C7"/>
    <w:rsid w:val="00154E67"/>
    <w:rsid w:val="00154FA8"/>
    <w:rsid w:val="00155080"/>
    <w:rsid w:val="001550B4"/>
    <w:rsid w:val="00155149"/>
    <w:rsid w:val="001556F8"/>
    <w:rsid w:val="00155750"/>
    <w:rsid w:val="00155761"/>
    <w:rsid w:val="0015584D"/>
    <w:rsid w:val="00155B95"/>
    <w:rsid w:val="00155C3E"/>
    <w:rsid w:val="00155E3A"/>
    <w:rsid w:val="00155E95"/>
    <w:rsid w:val="00156090"/>
    <w:rsid w:val="0015615E"/>
    <w:rsid w:val="001561A6"/>
    <w:rsid w:val="001562AF"/>
    <w:rsid w:val="001563AF"/>
    <w:rsid w:val="00156430"/>
    <w:rsid w:val="001564CF"/>
    <w:rsid w:val="00156838"/>
    <w:rsid w:val="001568EB"/>
    <w:rsid w:val="00156BA4"/>
    <w:rsid w:val="00156BC2"/>
    <w:rsid w:val="00157226"/>
    <w:rsid w:val="00157293"/>
    <w:rsid w:val="001572BF"/>
    <w:rsid w:val="0015732D"/>
    <w:rsid w:val="0015748A"/>
    <w:rsid w:val="00157536"/>
    <w:rsid w:val="001577EE"/>
    <w:rsid w:val="0015782C"/>
    <w:rsid w:val="00157B91"/>
    <w:rsid w:val="00157BF9"/>
    <w:rsid w:val="00157C3A"/>
    <w:rsid w:val="00157D3C"/>
    <w:rsid w:val="00157F56"/>
    <w:rsid w:val="001601A5"/>
    <w:rsid w:val="001601A7"/>
    <w:rsid w:val="0016026A"/>
    <w:rsid w:val="0016032A"/>
    <w:rsid w:val="00160399"/>
    <w:rsid w:val="00160499"/>
    <w:rsid w:val="001604E6"/>
    <w:rsid w:val="001604EC"/>
    <w:rsid w:val="00160574"/>
    <w:rsid w:val="00160639"/>
    <w:rsid w:val="0016099F"/>
    <w:rsid w:val="00160B4E"/>
    <w:rsid w:val="00160C24"/>
    <w:rsid w:val="00160C92"/>
    <w:rsid w:val="00160EA7"/>
    <w:rsid w:val="00160EF0"/>
    <w:rsid w:val="00161063"/>
    <w:rsid w:val="001611B6"/>
    <w:rsid w:val="00161261"/>
    <w:rsid w:val="001613D5"/>
    <w:rsid w:val="001614B9"/>
    <w:rsid w:val="001614C0"/>
    <w:rsid w:val="00161509"/>
    <w:rsid w:val="0016155A"/>
    <w:rsid w:val="00161659"/>
    <w:rsid w:val="0016169B"/>
    <w:rsid w:val="00161792"/>
    <w:rsid w:val="00161842"/>
    <w:rsid w:val="0016189D"/>
    <w:rsid w:val="00161B34"/>
    <w:rsid w:val="00161B38"/>
    <w:rsid w:val="00161B8F"/>
    <w:rsid w:val="00161B95"/>
    <w:rsid w:val="00161B96"/>
    <w:rsid w:val="00161F8C"/>
    <w:rsid w:val="0016215C"/>
    <w:rsid w:val="0016225F"/>
    <w:rsid w:val="001622A8"/>
    <w:rsid w:val="001624F0"/>
    <w:rsid w:val="001625EE"/>
    <w:rsid w:val="001626F8"/>
    <w:rsid w:val="00162728"/>
    <w:rsid w:val="001627D5"/>
    <w:rsid w:val="001628D3"/>
    <w:rsid w:val="00162B34"/>
    <w:rsid w:val="00162B97"/>
    <w:rsid w:val="00162CD3"/>
    <w:rsid w:val="00162D2E"/>
    <w:rsid w:val="00162F32"/>
    <w:rsid w:val="001630F3"/>
    <w:rsid w:val="00163151"/>
    <w:rsid w:val="0016330D"/>
    <w:rsid w:val="001635EF"/>
    <w:rsid w:val="00163695"/>
    <w:rsid w:val="001638C9"/>
    <w:rsid w:val="00163988"/>
    <w:rsid w:val="00163DCA"/>
    <w:rsid w:val="00163E03"/>
    <w:rsid w:val="00163F25"/>
    <w:rsid w:val="00163F3C"/>
    <w:rsid w:val="00163FAB"/>
    <w:rsid w:val="00164559"/>
    <w:rsid w:val="001646FB"/>
    <w:rsid w:val="00164738"/>
    <w:rsid w:val="001647D3"/>
    <w:rsid w:val="00164806"/>
    <w:rsid w:val="00164909"/>
    <w:rsid w:val="00164AF5"/>
    <w:rsid w:val="00164BFD"/>
    <w:rsid w:val="00164C13"/>
    <w:rsid w:val="00164C1B"/>
    <w:rsid w:val="00164C55"/>
    <w:rsid w:val="00164D2F"/>
    <w:rsid w:val="00164D61"/>
    <w:rsid w:val="00164E67"/>
    <w:rsid w:val="00164EA3"/>
    <w:rsid w:val="00164EEB"/>
    <w:rsid w:val="00164F7A"/>
    <w:rsid w:val="001650A4"/>
    <w:rsid w:val="00165156"/>
    <w:rsid w:val="001652A6"/>
    <w:rsid w:val="00165435"/>
    <w:rsid w:val="001655B7"/>
    <w:rsid w:val="0016597B"/>
    <w:rsid w:val="00165A35"/>
    <w:rsid w:val="00165BB8"/>
    <w:rsid w:val="00165E24"/>
    <w:rsid w:val="00165EB9"/>
    <w:rsid w:val="00166160"/>
    <w:rsid w:val="0016621F"/>
    <w:rsid w:val="001662ED"/>
    <w:rsid w:val="00166372"/>
    <w:rsid w:val="001663B4"/>
    <w:rsid w:val="0016666D"/>
    <w:rsid w:val="00166792"/>
    <w:rsid w:val="001667DC"/>
    <w:rsid w:val="00166898"/>
    <w:rsid w:val="001668E5"/>
    <w:rsid w:val="001669CE"/>
    <w:rsid w:val="00166A72"/>
    <w:rsid w:val="00166A77"/>
    <w:rsid w:val="00166AD5"/>
    <w:rsid w:val="00166B83"/>
    <w:rsid w:val="00166C50"/>
    <w:rsid w:val="00166C84"/>
    <w:rsid w:val="00166D39"/>
    <w:rsid w:val="00166E12"/>
    <w:rsid w:val="00166E29"/>
    <w:rsid w:val="00166F10"/>
    <w:rsid w:val="00166F17"/>
    <w:rsid w:val="00166F86"/>
    <w:rsid w:val="00167117"/>
    <w:rsid w:val="001671A9"/>
    <w:rsid w:val="001671FD"/>
    <w:rsid w:val="00167780"/>
    <w:rsid w:val="001677CC"/>
    <w:rsid w:val="00167916"/>
    <w:rsid w:val="0016791E"/>
    <w:rsid w:val="00167AA3"/>
    <w:rsid w:val="00167B11"/>
    <w:rsid w:val="00167B9A"/>
    <w:rsid w:val="00167CA0"/>
    <w:rsid w:val="00167E14"/>
    <w:rsid w:val="00167EF2"/>
    <w:rsid w:val="001700FA"/>
    <w:rsid w:val="001702C9"/>
    <w:rsid w:val="00170670"/>
    <w:rsid w:val="00170694"/>
    <w:rsid w:val="00170A02"/>
    <w:rsid w:val="00170C20"/>
    <w:rsid w:val="00170D97"/>
    <w:rsid w:val="00170DC5"/>
    <w:rsid w:val="00170DE3"/>
    <w:rsid w:val="00170FFE"/>
    <w:rsid w:val="00171023"/>
    <w:rsid w:val="001710D4"/>
    <w:rsid w:val="00171144"/>
    <w:rsid w:val="001711D8"/>
    <w:rsid w:val="001712BF"/>
    <w:rsid w:val="00171391"/>
    <w:rsid w:val="0017189E"/>
    <w:rsid w:val="00171A30"/>
    <w:rsid w:val="00171ABA"/>
    <w:rsid w:val="00171CAA"/>
    <w:rsid w:val="00171E49"/>
    <w:rsid w:val="00171F22"/>
    <w:rsid w:val="0017216C"/>
    <w:rsid w:val="001723BB"/>
    <w:rsid w:val="00172600"/>
    <w:rsid w:val="001727D3"/>
    <w:rsid w:val="0017288A"/>
    <w:rsid w:val="00172965"/>
    <w:rsid w:val="001729C1"/>
    <w:rsid w:val="001729C2"/>
    <w:rsid w:val="00172B7F"/>
    <w:rsid w:val="00172CFD"/>
    <w:rsid w:val="00172DB0"/>
    <w:rsid w:val="001732CC"/>
    <w:rsid w:val="001733FC"/>
    <w:rsid w:val="001735B4"/>
    <w:rsid w:val="00173805"/>
    <w:rsid w:val="00173970"/>
    <w:rsid w:val="001739EE"/>
    <w:rsid w:val="00173DA4"/>
    <w:rsid w:val="00173E79"/>
    <w:rsid w:val="00173F74"/>
    <w:rsid w:val="0017408E"/>
    <w:rsid w:val="001741BE"/>
    <w:rsid w:val="0017462D"/>
    <w:rsid w:val="00174718"/>
    <w:rsid w:val="001747AA"/>
    <w:rsid w:val="00174848"/>
    <w:rsid w:val="00174854"/>
    <w:rsid w:val="0017486A"/>
    <w:rsid w:val="0017490F"/>
    <w:rsid w:val="00174980"/>
    <w:rsid w:val="00174B18"/>
    <w:rsid w:val="00174C98"/>
    <w:rsid w:val="00174D78"/>
    <w:rsid w:val="00174F73"/>
    <w:rsid w:val="00174FEF"/>
    <w:rsid w:val="00175055"/>
    <w:rsid w:val="00175201"/>
    <w:rsid w:val="00175204"/>
    <w:rsid w:val="00175300"/>
    <w:rsid w:val="00175736"/>
    <w:rsid w:val="00175806"/>
    <w:rsid w:val="0017585A"/>
    <w:rsid w:val="00175877"/>
    <w:rsid w:val="001758A3"/>
    <w:rsid w:val="00175BA4"/>
    <w:rsid w:val="00175CB7"/>
    <w:rsid w:val="00175CE9"/>
    <w:rsid w:val="00175D09"/>
    <w:rsid w:val="00175FE0"/>
    <w:rsid w:val="00176308"/>
    <w:rsid w:val="001764A8"/>
    <w:rsid w:val="0017661C"/>
    <w:rsid w:val="00176855"/>
    <w:rsid w:val="00176BCC"/>
    <w:rsid w:val="00176D0D"/>
    <w:rsid w:val="00176D79"/>
    <w:rsid w:val="00176DB1"/>
    <w:rsid w:val="00176DB4"/>
    <w:rsid w:val="00176ECD"/>
    <w:rsid w:val="00177013"/>
    <w:rsid w:val="0017702B"/>
    <w:rsid w:val="001770AF"/>
    <w:rsid w:val="00177196"/>
    <w:rsid w:val="001771E9"/>
    <w:rsid w:val="001775B1"/>
    <w:rsid w:val="001775DA"/>
    <w:rsid w:val="00177600"/>
    <w:rsid w:val="0017761C"/>
    <w:rsid w:val="001777F4"/>
    <w:rsid w:val="001779E6"/>
    <w:rsid w:val="00177BF1"/>
    <w:rsid w:val="00177D14"/>
    <w:rsid w:val="00177D28"/>
    <w:rsid w:val="0018000A"/>
    <w:rsid w:val="00180195"/>
    <w:rsid w:val="00180331"/>
    <w:rsid w:val="00180375"/>
    <w:rsid w:val="001803E1"/>
    <w:rsid w:val="0018049A"/>
    <w:rsid w:val="0018053E"/>
    <w:rsid w:val="0018065E"/>
    <w:rsid w:val="001806C9"/>
    <w:rsid w:val="00180793"/>
    <w:rsid w:val="0018097B"/>
    <w:rsid w:val="001809FD"/>
    <w:rsid w:val="00180CCF"/>
    <w:rsid w:val="00181128"/>
    <w:rsid w:val="001811CC"/>
    <w:rsid w:val="00181275"/>
    <w:rsid w:val="00181313"/>
    <w:rsid w:val="001814B3"/>
    <w:rsid w:val="0018159D"/>
    <w:rsid w:val="001815D4"/>
    <w:rsid w:val="001816DF"/>
    <w:rsid w:val="00181849"/>
    <w:rsid w:val="001818FB"/>
    <w:rsid w:val="00181B86"/>
    <w:rsid w:val="00181C45"/>
    <w:rsid w:val="00181D3C"/>
    <w:rsid w:val="00181E0E"/>
    <w:rsid w:val="0018203F"/>
    <w:rsid w:val="00182345"/>
    <w:rsid w:val="001824A0"/>
    <w:rsid w:val="001825CF"/>
    <w:rsid w:val="00182993"/>
    <w:rsid w:val="00182A16"/>
    <w:rsid w:val="00182B1A"/>
    <w:rsid w:val="00182CF9"/>
    <w:rsid w:val="00182D77"/>
    <w:rsid w:val="00183269"/>
    <w:rsid w:val="00183443"/>
    <w:rsid w:val="001834F0"/>
    <w:rsid w:val="0018358C"/>
    <w:rsid w:val="00183619"/>
    <w:rsid w:val="00183678"/>
    <w:rsid w:val="00183D85"/>
    <w:rsid w:val="00183DA4"/>
    <w:rsid w:val="00184112"/>
    <w:rsid w:val="001842EC"/>
    <w:rsid w:val="001843B0"/>
    <w:rsid w:val="00184507"/>
    <w:rsid w:val="00184559"/>
    <w:rsid w:val="001846E4"/>
    <w:rsid w:val="00184BD7"/>
    <w:rsid w:val="00184CE6"/>
    <w:rsid w:val="00184CF0"/>
    <w:rsid w:val="00185086"/>
    <w:rsid w:val="0018545F"/>
    <w:rsid w:val="00185498"/>
    <w:rsid w:val="00185560"/>
    <w:rsid w:val="001855E5"/>
    <w:rsid w:val="00185872"/>
    <w:rsid w:val="00185930"/>
    <w:rsid w:val="001859C5"/>
    <w:rsid w:val="00185A0A"/>
    <w:rsid w:val="00185A6A"/>
    <w:rsid w:val="00185BA3"/>
    <w:rsid w:val="00185BEF"/>
    <w:rsid w:val="0018603E"/>
    <w:rsid w:val="00186089"/>
    <w:rsid w:val="00186238"/>
    <w:rsid w:val="001862B1"/>
    <w:rsid w:val="00186573"/>
    <w:rsid w:val="00186582"/>
    <w:rsid w:val="001867A1"/>
    <w:rsid w:val="00186BAB"/>
    <w:rsid w:val="00186DC2"/>
    <w:rsid w:val="00186DD2"/>
    <w:rsid w:val="00186E1B"/>
    <w:rsid w:val="001870E8"/>
    <w:rsid w:val="0018736E"/>
    <w:rsid w:val="001874EA"/>
    <w:rsid w:val="001875F6"/>
    <w:rsid w:val="001876A2"/>
    <w:rsid w:val="001876BF"/>
    <w:rsid w:val="001876F8"/>
    <w:rsid w:val="001877A8"/>
    <w:rsid w:val="00187853"/>
    <w:rsid w:val="001878EB"/>
    <w:rsid w:val="00187A1A"/>
    <w:rsid w:val="00187B11"/>
    <w:rsid w:val="00187BC2"/>
    <w:rsid w:val="00187C7E"/>
    <w:rsid w:val="00187E16"/>
    <w:rsid w:val="00187F4D"/>
    <w:rsid w:val="00187FE3"/>
    <w:rsid w:val="00190082"/>
    <w:rsid w:val="001901A8"/>
    <w:rsid w:val="00190658"/>
    <w:rsid w:val="0019068D"/>
    <w:rsid w:val="0019075A"/>
    <w:rsid w:val="0019089D"/>
    <w:rsid w:val="001908B0"/>
    <w:rsid w:val="0019091E"/>
    <w:rsid w:val="001909CA"/>
    <w:rsid w:val="00190C65"/>
    <w:rsid w:val="00190E25"/>
    <w:rsid w:val="00190F90"/>
    <w:rsid w:val="00191119"/>
    <w:rsid w:val="001912A2"/>
    <w:rsid w:val="001913CB"/>
    <w:rsid w:val="001914C6"/>
    <w:rsid w:val="00191603"/>
    <w:rsid w:val="00191612"/>
    <w:rsid w:val="00191CDD"/>
    <w:rsid w:val="00191EDD"/>
    <w:rsid w:val="00191EE3"/>
    <w:rsid w:val="00192055"/>
    <w:rsid w:val="0019205F"/>
    <w:rsid w:val="0019206F"/>
    <w:rsid w:val="0019228A"/>
    <w:rsid w:val="001925C6"/>
    <w:rsid w:val="001925D3"/>
    <w:rsid w:val="0019282C"/>
    <w:rsid w:val="001928DC"/>
    <w:rsid w:val="00192919"/>
    <w:rsid w:val="00192A65"/>
    <w:rsid w:val="00192B4E"/>
    <w:rsid w:val="00192B54"/>
    <w:rsid w:val="00192BB4"/>
    <w:rsid w:val="00193020"/>
    <w:rsid w:val="00193074"/>
    <w:rsid w:val="001930D0"/>
    <w:rsid w:val="0019312C"/>
    <w:rsid w:val="00193369"/>
    <w:rsid w:val="001933F8"/>
    <w:rsid w:val="0019345E"/>
    <w:rsid w:val="001934FC"/>
    <w:rsid w:val="001935E9"/>
    <w:rsid w:val="00193B11"/>
    <w:rsid w:val="00193D1A"/>
    <w:rsid w:val="00193E0B"/>
    <w:rsid w:val="0019409E"/>
    <w:rsid w:val="001943C9"/>
    <w:rsid w:val="00194457"/>
    <w:rsid w:val="00194536"/>
    <w:rsid w:val="001948FA"/>
    <w:rsid w:val="00194E07"/>
    <w:rsid w:val="00194F20"/>
    <w:rsid w:val="00194F78"/>
    <w:rsid w:val="00194FF4"/>
    <w:rsid w:val="001950E7"/>
    <w:rsid w:val="001950FB"/>
    <w:rsid w:val="001951B4"/>
    <w:rsid w:val="001953DA"/>
    <w:rsid w:val="0019557A"/>
    <w:rsid w:val="0019572C"/>
    <w:rsid w:val="001958F2"/>
    <w:rsid w:val="00195A52"/>
    <w:rsid w:val="00195A89"/>
    <w:rsid w:val="00195B28"/>
    <w:rsid w:val="00195B92"/>
    <w:rsid w:val="00195BCA"/>
    <w:rsid w:val="00195BD0"/>
    <w:rsid w:val="00195BF7"/>
    <w:rsid w:val="00195E5D"/>
    <w:rsid w:val="00195EC5"/>
    <w:rsid w:val="00195F77"/>
    <w:rsid w:val="00195FBE"/>
    <w:rsid w:val="001960C7"/>
    <w:rsid w:val="001962A8"/>
    <w:rsid w:val="00196471"/>
    <w:rsid w:val="00196814"/>
    <w:rsid w:val="001968AE"/>
    <w:rsid w:val="001969D8"/>
    <w:rsid w:val="00196A90"/>
    <w:rsid w:val="00196C2E"/>
    <w:rsid w:val="00196D65"/>
    <w:rsid w:val="00196E19"/>
    <w:rsid w:val="001970DA"/>
    <w:rsid w:val="0019723F"/>
    <w:rsid w:val="001974F3"/>
    <w:rsid w:val="0019756D"/>
    <w:rsid w:val="00197597"/>
    <w:rsid w:val="001977F5"/>
    <w:rsid w:val="001979C3"/>
    <w:rsid w:val="00197B72"/>
    <w:rsid w:val="00197C8B"/>
    <w:rsid w:val="00197C92"/>
    <w:rsid w:val="00197D1E"/>
    <w:rsid w:val="00197E0A"/>
    <w:rsid w:val="00197F8D"/>
    <w:rsid w:val="001A01DA"/>
    <w:rsid w:val="001A05F3"/>
    <w:rsid w:val="001A0654"/>
    <w:rsid w:val="001A065F"/>
    <w:rsid w:val="001A071C"/>
    <w:rsid w:val="001A07DA"/>
    <w:rsid w:val="001A08DA"/>
    <w:rsid w:val="001A0BAD"/>
    <w:rsid w:val="001A0DD1"/>
    <w:rsid w:val="001A0E02"/>
    <w:rsid w:val="001A0E64"/>
    <w:rsid w:val="001A0F1C"/>
    <w:rsid w:val="001A10F5"/>
    <w:rsid w:val="001A1175"/>
    <w:rsid w:val="001A11D8"/>
    <w:rsid w:val="001A11FE"/>
    <w:rsid w:val="001A12C4"/>
    <w:rsid w:val="001A1730"/>
    <w:rsid w:val="001A1889"/>
    <w:rsid w:val="001A1908"/>
    <w:rsid w:val="001A1BFA"/>
    <w:rsid w:val="001A1D63"/>
    <w:rsid w:val="001A1E59"/>
    <w:rsid w:val="001A1EBA"/>
    <w:rsid w:val="001A2062"/>
    <w:rsid w:val="001A221F"/>
    <w:rsid w:val="001A2387"/>
    <w:rsid w:val="001A246A"/>
    <w:rsid w:val="001A2559"/>
    <w:rsid w:val="001A25E4"/>
    <w:rsid w:val="001A2646"/>
    <w:rsid w:val="001A26CE"/>
    <w:rsid w:val="001A2879"/>
    <w:rsid w:val="001A2978"/>
    <w:rsid w:val="001A2B82"/>
    <w:rsid w:val="001A2C10"/>
    <w:rsid w:val="001A2CE3"/>
    <w:rsid w:val="001A2D96"/>
    <w:rsid w:val="001A2E07"/>
    <w:rsid w:val="001A2E65"/>
    <w:rsid w:val="001A2FCC"/>
    <w:rsid w:val="001A31BA"/>
    <w:rsid w:val="001A339C"/>
    <w:rsid w:val="001A353A"/>
    <w:rsid w:val="001A36DC"/>
    <w:rsid w:val="001A3807"/>
    <w:rsid w:val="001A388D"/>
    <w:rsid w:val="001A38D6"/>
    <w:rsid w:val="001A3939"/>
    <w:rsid w:val="001A3B63"/>
    <w:rsid w:val="001A3C18"/>
    <w:rsid w:val="001A3C1E"/>
    <w:rsid w:val="001A3F57"/>
    <w:rsid w:val="001A4030"/>
    <w:rsid w:val="001A4283"/>
    <w:rsid w:val="001A42A7"/>
    <w:rsid w:val="001A44BE"/>
    <w:rsid w:val="001A44EC"/>
    <w:rsid w:val="001A48D0"/>
    <w:rsid w:val="001A4D77"/>
    <w:rsid w:val="001A4D7F"/>
    <w:rsid w:val="001A4E09"/>
    <w:rsid w:val="001A4E59"/>
    <w:rsid w:val="001A53D4"/>
    <w:rsid w:val="001A5411"/>
    <w:rsid w:val="001A54D2"/>
    <w:rsid w:val="001A55F8"/>
    <w:rsid w:val="001A5765"/>
    <w:rsid w:val="001A5873"/>
    <w:rsid w:val="001A58B3"/>
    <w:rsid w:val="001A58FF"/>
    <w:rsid w:val="001A5920"/>
    <w:rsid w:val="001A593D"/>
    <w:rsid w:val="001A5979"/>
    <w:rsid w:val="001A5A00"/>
    <w:rsid w:val="001A5A1B"/>
    <w:rsid w:val="001A5B03"/>
    <w:rsid w:val="001A5B8B"/>
    <w:rsid w:val="001A5E0F"/>
    <w:rsid w:val="001A6114"/>
    <w:rsid w:val="001A62C7"/>
    <w:rsid w:val="001A639F"/>
    <w:rsid w:val="001A6591"/>
    <w:rsid w:val="001A65BC"/>
    <w:rsid w:val="001A6697"/>
    <w:rsid w:val="001A66BA"/>
    <w:rsid w:val="001A66EC"/>
    <w:rsid w:val="001A6A40"/>
    <w:rsid w:val="001A6B01"/>
    <w:rsid w:val="001A6CB6"/>
    <w:rsid w:val="001A6DB0"/>
    <w:rsid w:val="001A6E76"/>
    <w:rsid w:val="001A6F1D"/>
    <w:rsid w:val="001A6FA8"/>
    <w:rsid w:val="001A70D9"/>
    <w:rsid w:val="001A7156"/>
    <w:rsid w:val="001A71EF"/>
    <w:rsid w:val="001A7271"/>
    <w:rsid w:val="001A7541"/>
    <w:rsid w:val="001A7572"/>
    <w:rsid w:val="001A757D"/>
    <w:rsid w:val="001A7594"/>
    <w:rsid w:val="001A7B7E"/>
    <w:rsid w:val="001A7D97"/>
    <w:rsid w:val="001A7EE8"/>
    <w:rsid w:val="001A7FE6"/>
    <w:rsid w:val="001B0039"/>
    <w:rsid w:val="001B016B"/>
    <w:rsid w:val="001B01A8"/>
    <w:rsid w:val="001B0295"/>
    <w:rsid w:val="001B02A2"/>
    <w:rsid w:val="001B0392"/>
    <w:rsid w:val="001B0539"/>
    <w:rsid w:val="001B0715"/>
    <w:rsid w:val="001B0739"/>
    <w:rsid w:val="001B07DE"/>
    <w:rsid w:val="001B07DF"/>
    <w:rsid w:val="001B0916"/>
    <w:rsid w:val="001B09BF"/>
    <w:rsid w:val="001B0ABA"/>
    <w:rsid w:val="001B0AC1"/>
    <w:rsid w:val="001B0ECB"/>
    <w:rsid w:val="001B102A"/>
    <w:rsid w:val="001B1062"/>
    <w:rsid w:val="001B10EB"/>
    <w:rsid w:val="001B139F"/>
    <w:rsid w:val="001B13B1"/>
    <w:rsid w:val="001B1525"/>
    <w:rsid w:val="001B179E"/>
    <w:rsid w:val="001B1D9B"/>
    <w:rsid w:val="001B1DE8"/>
    <w:rsid w:val="001B1F4F"/>
    <w:rsid w:val="001B1F75"/>
    <w:rsid w:val="001B20D5"/>
    <w:rsid w:val="001B22C3"/>
    <w:rsid w:val="001B23D4"/>
    <w:rsid w:val="001B24AA"/>
    <w:rsid w:val="001B2509"/>
    <w:rsid w:val="001B2665"/>
    <w:rsid w:val="001B29C7"/>
    <w:rsid w:val="001B2A27"/>
    <w:rsid w:val="001B2B92"/>
    <w:rsid w:val="001B2B9C"/>
    <w:rsid w:val="001B2C09"/>
    <w:rsid w:val="001B2D66"/>
    <w:rsid w:val="001B2D93"/>
    <w:rsid w:val="001B2F89"/>
    <w:rsid w:val="001B2FA6"/>
    <w:rsid w:val="001B2FBA"/>
    <w:rsid w:val="001B304F"/>
    <w:rsid w:val="001B3118"/>
    <w:rsid w:val="001B35AE"/>
    <w:rsid w:val="001B3790"/>
    <w:rsid w:val="001B37C4"/>
    <w:rsid w:val="001B3836"/>
    <w:rsid w:val="001B3865"/>
    <w:rsid w:val="001B38E6"/>
    <w:rsid w:val="001B38F9"/>
    <w:rsid w:val="001B3924"/>
    <w:rsid w:val="001B3938"/>
    <w:rsid w:val="001B39AB"/>
    <w:rsid w:val="001B3A2D"/>
    <w:rsid w:val="001B3AC5"/>
    <w:rsid w:val="001B3AE7"/>
    <w:rsid w:val="001B3C63"/>
    <w:rsid w:val="001B3D94"/>
    <w:rsid w:val="001B3FAD"/>
    <w:rsid w:val="001B4063"/>
    <w:rsid w:val="001B411A"/>
    <w:rsid w:val="001B415F"/>
    <w:rsid w:val="001B41A0"/>
    <w:rsid w:val="001B4283"/>
    <w:rsid w:val="001B42DB"/>
    <w:rsid w:val="001B436B"/>
    <w:rsid w:val="001B4453"/>
    <w:rsid w:val="001B462F"/>
    <w:rsid w:val="001B4665"/>
    <w:rsid w:val="001B4886"/>
    <w:rsid w:val="001B4A99"/>
    <w:rsid w:val="001B4E7C"/>
    <w:rsid w:val="001B4EBA"/>
    <w:rsid w:val="001B4EBF"/>
    <w:rsid w:val="001B4FCC"/>
    <w:rsid w:val="001B500C"/>
    <w:rsid w:val="001B539F"/>
    <w:rsid w:val="001B55B4"/>
    <w:rsid w:val="001B55FE"/>
    <w:rsid w:val="001B5622"/>
    <w:rsid w:val="001B569C"/>
    <w:rsid w:val="001B5848"/>
    <w:rsid w:val="001B5B61"/>
    <w:rsid w:val="001B5BF9"/>
    <w:rsid w:val="001B5C53"/>
    <w:rsid w:val="001B5CAB"/>
    <w:rsid w:val="001B5D94"/>
    <w:rsid w:val="001B60E7"/>
    <w:rsid w:val="001B62D8"/>
    <w:rsid w:val="001B62EE"/>
    <w:rsid w:val="001B63D5"/>
    <w:rsid w:val="001B65DF"/>
    <w:rsid w:val="001B67D6"/>
    <w:rsid w:val="001B6920"/>
    <w:rsid w:val="001B6973"/>
    <w:rsid w:val="001B6A7C"/>
    <w:rsid w:val="001B6A84"/>
    <w:rsid w:val="001B6AD8"/>
    <w:rsid w:val="001B6B04"/>
    <w:rsid w:val="001B6C16"/>
    <w:rsid w:val="001B6CB7"/>
    <w:rsid w:val="001B6CEB"/>
    <w:rsid w:val="001B7131"/>
    <w:rsid w:val="001B739A"/>
    <w:rsid w:val="001B755F"/>
    <w:rsid w:val="001B75EC"/>
    <w:rsid w:val="001B78AB"/>
    <w:rsid w:val="001B79C0"/>
    <w:rsid w:val="001B7B9D"/>
    <w:rsid w:val="001C0099"/>
    <w:rsid w:val="001C0126"/>
    <w:rsid w:val="001C01F6"/>
    <w:rsid w:val="001C028F"/>
    <w:rsid w:val="001C0629"/>
    <w:rsid w:val="001C0746"/>
    <w:rsid w:val="001C0872"/>
    <w:rsid w:val="001C08BE"/>
    <w:rsid w:val="001C0902"/>
    <w:rsid w:val="001C0A36"/>
    <w:rsid w:val="001C0A44"/>
    <w:rsid w:val="001C0BA8"/>
    <w:rsid w:val="001C0DB4"/>
    <w:rsid w:val="001C0E44"/>
    <w:rsid w:val="001C0E73"/>
    <w:rsid w:val="001C0EAD"/>
    <w:rsid w:val="001C0F3C"/>
    <w:rsid w:val="001C0F4D"/>
    <w:rsid w:val="001C0FBD"/>
    <w:rsid w:val="001C1003"/>
    <w:rsid w:val="001C1327"/>
    <w:rsid w:val="001C13FA"/>
    <w:rsid w:val="001C17A6"/>
    <w:rsid w:val="001C1816"/>
    <w:rsid w:val="001C1849"/>
    <w:rsid w:val="001C1853"/>
    <w:rsid w:val="001C1932"/>
    <w:rsid w:val="001C1992"/>
    <w:rsid w:val="001C1A26"/>
    <w:rsid w:val="001C1A53"/>
    <w:rsid w:val="001C1AF3"/>
    <w:rsid w:val="001C1C58"/>
    <w:rsid w:val="001C1D4C"/>
    <w:rsid w:val="001C1E73"/>
    <w:rsid w:val="001C1EC7"/>
    <w:rsid w:val="001C1F11"/>
    <w:rsid w:val="001C2036"/>
    <w:rsid w:val="001C217F"/>
    <w:rsid w:val="001C2289"/>
    <w:rsid w:val="001C242B"/>
    <w:rsid w:val="001C24D2"/>
    <w:rsid w:val="001C2A12"/>
    <w:rsid w:val="001C2ACA"/>
    <w:rsid w:val="001C2D24"/>
    <w:rsid w:val="001C2F9A"/>
    <w:rsid w:val="001C2FAD"/>
    <w:rsid w:val="001C300F"/>
    <w:rsid w:val="001C3044"/>
    <w:rsid w:val="001C30F5"/>
    <w:rsid w:val="001C350E"/>
    <w:rsid w:val="001C3531"/>
    <w:rsid w:val="001C35E1"/>
    <w:rsid w:val="001C366C"/>
    <w:rsid w:val="001C368E"/>
    <w:rsid w:val="001C371E"/>
    <w:rsid w:val="001C3976"/>
    <w:rsid w:val="001C39BC"/>
    <w:rsid w:val="001C3B90"/>
    <w:rsid w:val="001C3BAE"/>
    <w:rsid w:val="001C3D7E"/>
    <w:rsid w:val="001C3F56"/>
    <w:rsid w:val="001C3FFA"/>
    <w:rsid w:val="001C400F"/>
    <w:rsid w:val="001C4249"/>
    <w:rsid w:val="001C4252"/>
    <w:rsid w:val="001C4378"/>
    <w:rsid w:val="001C4508"/>
    <w:rsid w:val="001C4534"/>
    <w:rsid w:val="001C456C"/>
    <w:rsid w:val="001C45E4"/>
    <w:rsid w:val="001C47E5"/>
    <w:rsid w:val="001C4BE3"/>
    <w:rsid w:val="001C4DC7"/>
    <w:rsid w:val="001C4E9B"/>
    <w:rsid w:val="001C52F0"/>
    <w:rsid w:val="001C55A0"/>
    <w:rsid w:val="001C5658"/>
    <w:rsid w:val="001C583C"/>
    <w:rsid w:val="001C588A"/>
    <w:rsid w:val="001C58D7"/>
    <w:rsid w:val="001C5C21"/>
    <w:rsid w:val="001C5C52"/>
    <w:rsid w:val="001C5D51"/>
    <w:rsid w:val="001C5D97"/>
    <w:rsid w:val="001C6009"/>
    <w:rsid w:val="001C606F"/>
    <w:rsid w:val="001C60FA"/>
    <w:rsid w:val="001C6274"/>
    <w:rsid w:val="001C632F"/>
    <w:rsid w:val="001C656F"/>
    <w:rsid w:val="001C6635"/>
    <w:rsid w:val="001C67B1"/>
    <w:rsid w:val="001C6892"/>
    <w:rsid w:val="001C68E4"/>
    <w:rsid w:val="001C692F"/>
    <w:rsid w:val="001C699A"/>
    <w:rsid w:val="001C6B48"/>
    <w:rsid w:val="001C6BAF"/>
    <w:rsid w:val="001C6BE8"/>
    <w:rsid w:val="001C6CCC"/>
    <w:rsid w:val="001C6D80"/>
    <w:rsid w:val="001C7013"/>
    <w:rsid w:val="001C71CB"/>
    <w:rsid w:val="001C73D7"/>
    <w:rsid w:val="001C7548"/>
    <w:rsid w:val="001C7857"/>
    <w:rsid w:val="001C79E1"/>
    <w:rsid w:val="001C7CBD"/>
    <w:rsid w:val="001C7CCD"/>
    <w:rsid w:val="001C7E98"/>
    <w:rsid w:val="001C7F54"/>
    <w:rsid w:val="001C7F61"/>
    <w:rsid w:val="001C7F87"/>
    <w:rsid w:val="001D0314"/>
    <w:rsid w:val="001D0410"/>
    <w:rsid w:val="001D0413"/>
    <w:rsid w:val="001D0796"/>
    <w:rsid w:val="001D0798"/>
    <w:rsid w:val="001D07B6"/>
    <w:rsid w:val="001D07EF"/>
    <w:rsid w:val="001D080C"/>
    <w:rsid w:val="001D0ACB"/>
    <w:rsid w:val="001D0B9F"/>
    <w:rsid w:val="001D0DEA"/>
    <w:rsid w:val="001D0FDA"/>
    <w:rsid w:val="001D1082"/>
    <w:rsid w:val="001D10BF"/>
    <w:rsid w:val="001D1440"/>
    <w:rsid w:val="001D1486"/>
    <w:rsid w:val="001D159C"/>
    <w:rsid w:val="001D1600"/>
    <w:rsid w:val="001D1616"/>
    <w:rsid w:val="001D188A"/>
    <w:rsid w:val="001D19DB"/>
    <w:rsid w:val="001D1A3C"/>
    <w:rsid w:val="001D1B60"/>
    <w:rsid w:val="001D1B96"/>
    <w:rsid w:val="001D1BE1"/>
    <w:rsid w:val="001D1C85"/>
    <w:rsid w:val="001D2131"/>
    <w:rsid w:val="001D22CD"/>
    <w:rsid w:val="001D235D"/>
    <w:rsid w:val="001D24B7"/>
    <w:rsid w:val="001D24E1"/>
    <w:rsid w:val="001D24F3"/>
    <w:rsid w:val="001D2527"/>
    <w:rsid w:val="001D254A"/>
    <w:rsid w:val="001D2598"/>
    <w:rsid w:val="001D266A"/>
    <w:rsid w:val="001D26E3"/>
    <w:rsid w:val="001D276A"/>
    <w:rsid w:val="001D27D4"/>
    <w:rsid w:val="001D27FD"/>
    <w:rsid w:val="001D29CE"/>
    <w:rsid w:val="001D2A40"/>
    <w:rsid w:val="001D2D16"/>
    <w:rsid w:val="001D2DD6"/>
    <w:rsid w:val="001D2E91"/>
    <w:rsid w:val="001D2ED3"/>
    <w:rsid w:val="001D2F07"/>
    <w:rsid w:val="001D341C"/>
    <w:rsid w:val="001D34CA"/>
    <w:rsid w:val="001D37E8"/>
    <w:rsid w:val="001D3825"/>
    <w:rsid w:val="001D398B"/>
    <w:rsid w:val="001D3ACF"/>
    <w:rsid w:val="001D3CF0"/>
    <w:rsid w:val="001D3D46"/>
    <w:rsid w:val="001D3F07"/>
    <w:rsid w:val="001D3FAF"/>
    <w:rsid w:val="001D4050"/>
    <w:rsid w:val="001D415F"/>
    <w:rsid w:val="001D4354"/>
    <w:rsid w:val="001D4419"/>
    <w:rsid w:val="001D454C"/>
    <w:rsid w:val="001D484F"/>
    <w:rsid w:val="001D4884"/>
    <w:rsid w:val="001D4960"/>
    <w:rsid w:val="001D49FF"/>
    <w:rsid w:val="001D4C31"/>
    <w:rsid w:val="001D4C58"/>
    <w:rsid w:val="001D4FB6"/>
    <w:rsid w:val="001D5049"/>
    <w:rsid w:val="001D5090"/>
    <w:rsid w:val="001D5229"/>
    <w:rsid w:val="001D531D"/>
    <w:rsid w:val="001D53D8"/>
    <w:rsid w:val="001D5539"/>
    <w:rsid w:val="001D5835"/>
    <w:rsid w:val="001D5A90"/>
    <w:rsid w:val="001D5AE1"/>
    <w:rsid w:val="001D5BAD"/>
    <w:rsid w:val="001D5C20"/>
    <w:rsid w:val="001D5D89"/>
    <w:rsid w:val="001D5E29"/>
    <w:rsid w:val="001D5FD2"/>
    <w:rsid w:val="001D614C"/>
    <w:rsid w:val="001D61A0"/>
    <w:rsid w:val="001D652B"/>
    <w:rsid w:val="001D6561"/>
    <w:rsid w:val="001D6835"/>
    <w:rsid w:val="001D6AFC"/>
    <w:rsid w:val="001D6CDA"/>
    <w:rsid w:val="001D6D06"/>
    <w:rsid w:val="001D6E01"/>
    <w:rsid w:val="001D6E17"/>
    <w:rsid w:val="001D718B"/>
    <w:rsid w:val="001D7227"/>
    <w:rsid w:val="001D729F"/>
    <w:rsid w:val="001D759E"/>
    <w:rsid w:val="001D7817"/>
    <w:rsid w:val="001D7873"/>
    <w:rsid w:val="001D7895"/>
    <w:rsid w:val="001D7C3D"/>
    <w:rsid w:val="001D7DC4"/>
    <w:rsid w:val="001D7E48"/>
    <w:rsid w:val="001D7E7C"/>
    <w:rsid w:val="001D7F01"/>
    <w:rsid w:val="001D7FFE"/>
    <w:rsid w:val="001E02F5"/>
    <w:rsid w:val="001E06E5"/>
    <w:rsid w:val="001E073D"/>
    <w:rsid w:val="001E07B6"/>
    <w:rsid w:val="001E07E3"/>
    <w:rsid w:val="001E0803"/>
    <w:rsid w:val="001E081C"/>
    <w:rsid w:val="001E084A"/>
    <w:rsid w:val="001E0875"/>
    <w:rsid w:val="001E09CF"/>
    <w:rsid w:val="001E09FE"/>
    <w:rsid w:val="001E0A02"/>
    <w:rsid w:val="001E0A23"/>
    <w:rsid w:val="001E0B2B"/>
    <w:rsid w:val="001E0BEC"/>
    <w:rsid w:val="001E0C04"/>
    <w:rsid w:val="001E0C17"/>
    <w:rsid w:val="001E0CBC"/>
    <w:rsid w:val="001E1037"/>
    <w:rsid w:val="001E140A"/>
    <w:rsid w:val="001E146F"/>
    <w:rsid w:val="001E15D2"/>
    <w:rsid w:val="001E1651"/>
    <w:rsid w:val="001E19E3"/>
    <w:rsid w:val="001E1A4A"/>
    <w:rsid w:val="001E1C48"/>
    <w:rsid w:val="001E1F7C"/>
    <w:rsid w:val="001E1F8E"/>
    <w:rsid w:val="001E1FDA"/>
    <w:rsid w:val="001E1FF7"/>
    <w:rsid w:val="001E2042"/>
    <w:rsid w:val="001E2197"/>
    <w:rsid w:val="001E2368"/>
    <w:rsid w:val="001E2377"/>
    <w:rsid w:val="001E269B"/>
    <w:rsid w:val="001E2888"/>
    <w:rsid w:val="001E2ACC"/>
    <w:rsid w:val="001E2B2D"/>
    <w:rsid w:val="001E2B56"/>
    <w:rsid w:val="001E2B95"/>
    <w:rsid w:val="001E2BF0"/>
    <w:rsid w:val="001E302C"/>
    <w:rsid w:val="001E31F9"/>
    <w:rsid w:val="001E31FF"/>
    <w:rsid w:val="001E32BF"/>
    <w:rsid w:val="001E3334"/>
    <w:rsid w:val="001E370B"/>
    <w:rsid w:val="001E37E5"/>
    <w:rsid w:val="001E37E7"/>
    <w:rsid w:val="001E389F"/>
    <w:rsid w:val="001E394F"/>
    <w:rsid w:val="001E39A9"/>
    <w:rsid w:val="001E39DA"/>
    <w:rsid w:val="001E3A72"/>
    <w:rsid w:val="001E3B1C"/>
    <w:rsid w:val="001E3B2E"/>
    <w:rsid w:val="001E3CAA"/>
    <w:rsid w:val="001E3D0E"/>
    <w:rsid w:val="001E3E44"/>
    <w:rsid w:val="001E3F3D"/>
    <w:rsid w:val="001E3F90"/>
    <w:rsid w:val="001E3FED"/>
    <w:rsid w:val="001E413C"/>
    <w:rsid w:val="001E41AC"/>
    <w:rsid w:val="001E4271"/>
    <w:rsid w:val="001E42E9"/>
    <w:rsid w:val="001E4430"/>
    <w:rsid w:val="001E4501"/>
    <w:rsid w:val="001E464F"/>
    <w:rsid w:val="001E4658"/>
    <w:rsid w:val="001E467D"/>
    <w:rsid w:val="001E4BBF"/>
    <w:rsid w:val="001E4CA3"/>
    <w:rsid w:val="001E4D2B"/>
    <w:rsid w:val="001E4F0F"/>
    <w:rsid w:val="001E4F8F"/>
    <w:rsid w:val="001E5161"/>
    <w:rsid w:val="001E5396"/>
    <w:rsid w:val="001E5443"/>
    <w:rsid w:val="001E54B4"/>
    <w:rsid w:val="001E5646"/>
    <w:rsid w:val="001E573E"/>
    <w:rsid w:val="001E5743"/>
    <w:rsid w:val="001E57CC"/>
    <w:rsid w:val="001E5E1F"/>
    <w:rsid w:val="001E5F44"/>
    <w:rsid w:val="001E6092"/>
    <w:rsid w:val="001E61D3"/>
    <w:rsid w:val="001E669C"/>
    <w:rsid w:val="001E68BD"/>
    <w:rsid w:val="001E6910"/>
    <w:rsid w:val="001E6934"/>
    <w:rsid w:val="001E6945"/>
    <w:rsid w:val="001E6FF7"/>
    <w:rsid w:val="001E7094"/>
    <w:rsid w:val="001E7123"/>
    <w:rsid w:val="001E71F6"/>
    <w:rsid w:val="001E731D"/>
    <w:rsid w:val="001E7419"/>
    <w:rsid w:val="001E7922"/>
    <w:rsid w:val="001E7938"/>
    <w:rsid w:val="001E7A05"/>
    <w:rsid w:val="001E7B39"/>
    <w:rsid w:val="001E7B76"/>
    <w:rsid w:val="001E7BFE"/>
    <w:rsid w:val="001E7E0E"/>
    <w:rsid w:val="001E7F0B"/>
    <w:rsid w:val="001F0016"/>
    <w:rsid w:val="001F0115"/>
    <w:rsid w:val="001F0142"/>
    <w:rsid w:val="001F01EF"/>
    <w:rsid w:val="001F03F5"/>
    <w:rsid w:val="001F043E"/>
    <w:rsid w:val="001F0446"/>
    <w:rsid w:val="001F04DD"/>
    <w:rsid w:val="001F066F"/>
    <w:rsid w:val="001F0770"/>
    <w:rsid w:val="001F0861"/>
    <w:rsid w:val="001F088E"/>
    <w:rsid w:val="001F0902"/>
    <w:rsid w:val="001F0B14"/>
    <w:rsid w:val="001F0C3B"/>
    <w:rsid w:val="001F0C51"/>
    <w:rsid w:val="001F0CE7"/>
    <w:rsid w:val="001F0E0B"/>
    <w:rsid w:val="001F0E69"/>
    <w:rsid w:val="001F0FC5"/>
    <w:rsid w:val="001F107E"/>
    <w:rsid w:val="001F15D6"/>
    <w:rsid w:val="001F15EA"/>
    <w:rsid w:val="001F16D6"/>
    <w:rsid w:val="001F1781"/>
    <w:rsid w:val="001F17E6"/>
    <w:rsid w:val="001F17F1"/>
    <w:rsid w:val="001F192C"/>
    <w:rsid w:val="001F1A3C"/>
    <w:rsid w:val="001F1C82"/>
    <w:rsid w:val="001F1CAB"/>
    <w:rsid w:val="001F1E90"/>
    <w:rsid w:val="001F1E94"/>
    <w:rsid w:val="001F1FE5"/>
    <w:rsid w:val="001F2073"/>
    <w:rsid w:val="001F226C"/>
    <w:rsid w:val="001F25FB"/>
    <w:rsid w:val="001F265E"/>
    <w:rsid w:val="001F278E"/>
    <w:rsid w:val="001F28D0"/>
    <w:rsid w:val="001F29AF"/>
    <w:rsid w:val="001F2C99"/>
    <w:rsid w:val="001F2D33"/>
    <w:rsid w:val="001F2EF9"/>
    <w:rsid w:val="001F2F28"/>
    <w:rsid w:val="001F3028"/>
    <w:rsid w:val="001F31C8"/>
    <w:rsid w:val="001F324E"/>
    <w:rsid w:val="001F347F"/>
    <w:rsid w:val="001F34CC"/>
    <w:rsid w:val="001F3650"/>
    <w:rsid w:val="001F3720"/>
    <w:rsid w:val="001F373B"/>
    <w:rsid w:val="001F38AD"/>
    <w:rsid w:val="001F3974"/>
    <w:rsid w:val="001F3A71"/>
    <w:rsid w:val="001F3A7E"/>
    <w:rsid w:val="001F3CF1"/>
    <w:rsid w:val="001F3E4D"/>
    <w:rsid w:val="001F4084"/>
    <w:rsid w:val="001F428F"/>
    <w:rsid w:val="001F45C2"/>
    <w:rsid w:val="001F4696"/>
    <w:rsid w:val="001F4724"/>
    <w:rsid w:val="001F4FFF"/>
    <w:rsid w:val="001F5037"/>
    <w:rsid w:val="001F5064"/>
    <w:rsid w:val="001F5088"/>
    <w:rsid w:val="001F51A2"/>
    <w:rsid w:val="001F529D"/>
    <w:rsid w:val="001F53A3"/>
    <w:rsid w:val="001F5591"/>
    <w:rsid w:val="001F5690"/>
    <w:rsid w:val="001F56B8"/>
    <w:rsid w:val="001F59E1"/>
    <w:rsid w:val="001F5A40"/>
    <w:rsid w:val="001F5AE9"/>
    <w:rsid w:val="001F5CCE"/>
    <w:rsid w:val="001F5D2F"/>
    <w:rsid w:val="001F5EEE"/>
    <w:rsid w:val="001F610F"/>
    <w:rsid w:val="001F6338"/>
    <w:rsid w:val="001F6469"/>
    <w:rsid w:val="001F65E4"/>
    <w:rsid w:val="001F683F"/>
    <w:rsid w:val="001F6868"/>
    <w:rsid w:val="001F6B29"/>
    <w:rsid w:val="001F6E48"/>
    <w:rsid w:val="001F6EC2"/>
    <w:rsid w:val="001F746D"/>
    <w:rsid w:val="001F75F4"/>
    <w:rsid w:val="001F7749"/>
    <w:rsid w:val="001F790A"/>
    <w:rsid w:val="001F7A87"/>
    <w:rsid w:val="001F7AF1"/>
    <w:rsid w:val="001F7EB2"/>
    <w:rsid w:val="002002B8"/>
    <w:rsid w:val="00200385"/>
    <w:rsid w:val="002003D9"/>
    <w:rsid w:val="002004B6"/>
    <w:rsid w:val="002004C8"/>
    <w:rsid w:val="00200665"/>
    <w:rsid w:val="00200670"/>
    <w:rsid w:val="00200705"/>
    <w:rsid w:val="0020070E"/>
    <w:rsid w:val="00200A10"/>
    <w:rsid w:val="00200A2B"/>
    <w:rsid w:val="00201096"/>
    <w:rsid w:val="002010EB"/>
    <w:rsid w:val="002013CD"/>
    <w:rsid w:val="002013E7"/>
    <w:rsid w:val="002014DA"/>
    <w:rsid w:val="002014F3"/>
    <w:rsid w:val="00201615"/>
    <w:rsid w:val="002017A0"/>
    <w:rsid w:val="00201895"/>
    <w:rsid w:val="00201961"/>
    <w:rsid w:val="00201965"/>
    <w:rsid w:val="002019B2"/>
    <w:rsid w:val="00201AAE"/>
    <w:rsid w:val="00201AB2"/>
    <w:rsid w:val="00201C4F"/>
    <w:rsid w:val="00201D39"/>
    <w:rsid w:val="00201EC2"/>
    <w:rsid w:val="00201F62"/>
    <w:rsid w:val="00202021"/>
    <w:rsid w:val="0020216F"/>
    <w:rsid w:val="0020237E"/>
    <w:rsid w:val="002025C3"/>
    <w:rsid w:val="002026D8"/>
    <w:rsid w:val="00202765"/>
    <w:rsid w:val="0020289A"/>
    <w:rsid w:val="00202AC7"/>
    <w:rsid w:val="00202B62"/>
    <w:rsid w:val="00202BA4"/>
    <w:rsid w:val="00202C89"/>
    <w:rsid w:val="00202DB4"/>
    <w:rsid w:val="00202E2B"/>
    <w:rsid w:val="00202EDC"/>
    <w:rsid w:val="00202F17"/>
    <w:rsid w:val="00202F53"/>
    <w:rsid w:val="0020325A"/>
    <w:rsid w:val="002032EB"/>
    <w:rsid w:val="00203458"/>
    <w:rsid w:val="00203775"/>
    <w:rsid w:val="0020378B"/>
    <w:rsid w:val="002037B5"/>
    <w:rsid w:val="00203863"/>
    <w:rsid w:val="00203CC0"/>
    <w:rsid w:val="00203D06"/>
    <w:rsid w:val="00203E33"/>
    <w:rsid w:val="00203F19"/>
    <w:rsid w:val="0020408C"/>
    <w:rsid w:val="0020418C"/>
    <w:rsid w:val="002041DF"/>
    <w:rsid w:val="00204342"/>
    <w:rsid w:val="0020466D"/>
    <w:rsid w:val="002046B0"/>
    <w:rsid w:val="002046E8"/>
    <w:rsid w:val="00204746"/>
    <w:rsid w:val="00204822"/>
    <w:rsid w:val="00204921"/>
    <w:rsid w:val="00204972"/>
    <w:rsid w:val="00204A13"/>
    <w:rsid w:val="00204B08"/>
    <w:rsid w:val="00204B84"/>
    <w:rsid w:val="00204C5B"/>
    <w:rsid w:val="00204CF3"/>
    <w:rsid w:val="00204DFD"/>
    <w:rsid w:val="00204EC4"/>
    <w:rsid w:val="00205045"/>
    <w:rsid w:val="0020507D"/>
    <w:rsid w:val="00205118"/>
    <w:rsid w:val="0020528A"/>
    <w:rsid w:val="00205A7C"/>
    <w:rsid w:val="00205B36"/>
    <w:rsid w:val="00205B8E"/>
    <w:rsid w:val="00205C3B"/>
    <w:rsid w:val="00205D8F"/>
    <w:rsid w:val="00205DE6"/>
    <w:rsid w:val="00205ECA"/>
    <w:rsid w:val="00205F45"/>
    <w:rsid w:val="00206050"/>
    <w:rsid w:val="00206524"/>
    <w:rsid w:val="002066E0"/>
    <w:rsid w:val="00206823"/>
    <w:rsid w:val="00206A7D"/>
    <w:rsid w:val="00206C5D"/>
    <w:rsid w:val="0020700E"/>
    <w:rsid w:val="002071F3"/>
    <w:rsid w:val="002073E6"/>
    <w:rsid w:val="002076F1"/>
    <w:rsid w:val="00207703"/>
    <w:rsid w:val="002077DE"/>
    <w:rsid w:val="002078BE"/>
    <w:rsid w:val="00207994"/>
    <w:rsid w:val="00207AB6"/>
    <w:rsid w:val="00207C12"/>
    <w:rsid w:val="00207C54"/>
    <w:rsid w:val="00207CD2"/>
    <w:rsid w:val="00207F1F"/>
    <w:rsid w:val="002103F2"/>
    <w:rsid w:val="0021042B"/>
    <w:rsid w:val="00210432"/>
    <w:rsid w:val="0021065D"/>
    <w:rsid w:val="00210726"/>
    <w:rsid w:val="00210973"/>
    <w:rsid w:val="00210A55"/>
    <w:rsid w:val="00210A5F"/>
    <w:rsid w:val="00210CBE"/>
    <w:rsid w:val="00210CC9"/>
    <w:rsid w:val="00210E57"/>
    <w:rsid w:val="00210E87"/>
    <w:rsid w:val="00210F1B"/>
    <w:rsid w:val="00210F3D"/>
    <w:rsid w:val="00210F7F"/>
    <w:rsid w:val="00210FBA"/>
    <w:rsid w:val="002110A2"/>
    <w:rsid w:val="00211360"/>
    <w:rsid w:val="00211497"/>
    <w:rsid w:val="002114D9"/>
    <w:rsid w:val="0021156E"/>
    <w:rsid w:val="002117E5"/>
    <w:rsid w:val="0021188A"/>
    <w:rsid w:val="00211994"/>
    <w:rsid w:val="00211A62"/>
    <w:rsid w:val="00211BD3"/>
    <w:rsid w:val="00211DE3"/>
    <w:rsid w:val="00211F48"/>
    <w:rsid w:val="00211F6B"/>
    <w:rsid w:val="0021223D"/>
    <w:rsid w:val="002122F5"/>
    <w:rsid w:val="00212420"/>
    <w:rsid w:val="00212679"/>
    <w:rsid w:val="002127B2"/>
    <w:rsid w:val="002127D9"/>
    <w:rsid w:val="00212894"/>
    <w:rsid w:val="00212A04"/>
    <w:rsid w:val="00212A9E"/>
    <w:rsid w:val="00212B6B"/>
    <w:rsid w:val="00212D02"/>
    <w:rsid w:val="00212D2E"/>
    <w:rsid w:val="00212E41"/>
    <w:rsid w:val="00212E8C"/>
    <w:rsid w:val="00213010"/>
    <w:rsid w:val="0021302C"/>
    <w:rsid w:val="002133A1"/>
    <w:rsid w:val="00213544"/>
    <w:rsid w:val="00213901"/>
    <w:rsid w:val="00213A4F"/>
    <w:rsid w:val="00213B5A"/>
    <w:rsid w:val="00213B7E"/>
    <w:rsid w:val="00213DD4"/>
    <w:rsid w:val="00213DDB"/>
    <w:rsid w:val="00213ECF"/>
    <w:rsid w:val="0021409C"/>
    <w:rsid w:val="0021416D"/>
    <w:rsid w:val="002141C3"/>
    <w:rsid w:val="002141DD"/>
    <w:rsid w:val="00214255"/>
    <w:rsid w:val="0021443F"/>
    <w:rsid w:val="002145D3"/>
    <w:rsid w:val="00214618"/>
    <w:rsid w:val="00214A4E"/>
    <w:rsid w:val="00214BEA"/>
    <w:rsid w:val="00214F5D"/>
    <w:rsid w:val="00215444"/>
    <w:rsid w:val="002154A8"/>
    <w:rsid w:val="002154D9"/>
    <w:rsid w:val="00215506"/>
    <w:rsid w:val="0021552E"/>
    <w:rsid w:val="002155B8"/>
    <w:rsid w:val="002156E4"/>
    <w:rsid w:val="00215748"/>
    <w:rsid w:val="002158C1"/>
    <w:rsid w:val="00215917"/>
    <w:rsid w:val="00215A87"/>
    <w:rsid w:val="00215D1C"/>
    <w:rsid w:val="00215EED"/>
    <w:rsid w:val="00215F2A"/>
    <w:rsid w:val="00215FEF"/>
    <w:rsid w:val="00216268"/>
    <w:rsid w:val="00216389"/>
    <w:rsid w:val="002163E4"/>
    <w:rsid w:val="002163F4"/>
    <w:rsid w:val="00216661"/>
    <w:rsid w:val="002166B2"/>
    <w:rsid w:val="00216895"/>
    <w:rsid w:val="002168BC"/>
    <w:rsid w:val="00216B21"/>
    <w:rsid w:val="00216BD8"/>
    <w:rsid w:val="00216DBA"/>
    <w:rsid w:val="00216ED6"/>
    <w:rsid w:val="00216FA5"/>
    <w:rsid w:val="00217053"/>
    <w:rsid w:val="0021727B"/>
    <w:rsid w:val="002175D5"/>
    <w:rsid w:val="002177BE"/>
    <w:rsid w:val="002178A2"/>
    <w:rsid w:val="0021792A"/>
    <w:rsid w:val="0021796F"/>
    <w:rsid w:val="00217A03"/>
    <w:rsid w:val="00217A7E"/>
    <w:rsid w:val="00217A88"/>
    <w:rsid w:val="00217B27"/>
    <w:rsid w:val="00217BCE"/>
    <w:rsid w:val="00217BF2"/>
    <w:rsid w:val="00217C65"/>
    <w:rsid w:val="00217D33"/>
    <w:rsid w:val="00217EBE"/>
    <w:rsid w:val="00217EDA"/>
    <w:rsid w:val="00217F23"/>
    <w:rsid w:val="00217FD9"/>
    <w:rsid w:val="00220066"/>
    <w:rsid w:val="002200A0"/>
    <w:rsid w:val="002200C4"/>
    <w:rsid w:val="00220451"/>
    <w:rsid w:val="0022049D"/>
    <w:rsid w:val="0022057F"/>
    <w:rsid w:val="002205DA"/>
    <w:rsid w:val="0022077D"/>
    <w:rsid w:val="002209A6"/>
    <w:rsid w:val="002209CD"/>
    <w:rsid w:val="00220B25"/>
    <w:rsid w:val="00220BFB"/>
    <w:rsid w:val="00220CF3"/>
    <w:rsid w:val="00220F0D"/>
    <w:rsid w:val="00220FB9"/>
    <w:rsid w:val="00221035"/>
    <w:rsid w:val="0022115C"/>
    <w:rsid w:val="00221258"/>
    <w:rsid w:val="002212E7"/>
    <w:rsid w:val="00221375"/>
    <w:rsid w:val="002213D5"/>
    <w:rsid w:val="00221516"/>
    <w:rsid w:val="0022163C"/>
    <w:rsid w:val="00221AE7"/>
    <w:rsid w:val="00221AE9"/>
    <w:rsid w:val="00221BB1"/>
    <w:rsid w:val="00221BE2"/>
    <w:rsid w:val="00221CB6"/>
    <w:rsid w:val="00221EF2"/>
    <w:rsid w:val="002224C3"/>
    <w:rsid w:val="0022268A"/>
    <w:rsid w:val="0022270A"/>
    <w:rsid w:val="002227E3"/>
    <w:rsid w:val="0022281E"/>
    <w:rsid w:val="00222939"/>
    <w:rsid w:val="00222961"/>
    <w:rsid w:val="002229DA"/>
    <w:rsid w:val="00222A2A"/>
    <w:rsid w:val="00222AFC"/>
    <w:rsid w:val="00222C58"/>
    <w:rsid w:val="00222D10"/>
    <w:rsid w:val="00222F74"/>
    <w:rsid w:val="002231AC"/>
    <w:rsid w:val="002231DB"/>
    <w:rsid w:val="002231F5"/>
    <w:rsid w:val="00223313"/>
    <w:rsid w:val="002234D0"/>
    <w:rsid w:val="002234F9"/>
    <w:rsid w:val="002235C4"/>
    <w:rsid w:val="00223831"/>
    <w:rsid w:val="00223916"/>
    <w:rsid w:val="00223956"/>
    <w:rsid w:val="00223980"/>
    <w:rsid w:val="0022398C"/>
    <w:rsid w:val="00223A83"/>
    <w:rsid w:val="00223CAF"/>
    <w:rsid w:val="00223D42"/>
    <w:rsid w:val="00223E39"/>
    <w:rsid w:val="00223EBA"/>
    <w:rsid w:val="00223FA1"/>
    <w:rsid w:val="002240B7"/>
    <w:rsid w:val="0022423C"/>
    <w:rsid w:val="0022428E"/>
    <w:rsid w:val="002242A4"/>
    <w:rsid w:val="002243B5"/>
    <w:rsid w:val="002244CE"/>
    <w:rsid w:val="0022451A"/>
    <w:rsid w:val="00224548"/>
    <w:rsid w:val="002248AE"/>
    <w:rsid w:val="002250AB"/>
    <w:rsid w:val="00225106"/>
    <w:rsid w:val="00225259"/>
    <w:rsid w:val="0022526D"/>
    <w:rsid w:val="002252D7"/>
    <w:rsid w:val="0022537F"/>
    <w:rsid w:val="00225448"/>
    <w:rsid w:val="00225452"/>
    <w:rsid w:val="0022546C"/>
    <w:rsid w:val="00225575"/>
    <w:rsid w:val="00225619"/>
    <w:rsid w:val="00225792"/>
    <w:rsid w:val="002257D7"/>
    <w:rsid w:val="0022583F"/>
    <w:rsid w:val="0022598C"/>
    <w:rsid w:val="00225EAE"/>
    <w:rsid w:val="00226194"/>
    <w:rsid w:val="0022620E"/>
    <w:rsid w:val="00226414"/>
    <w:rsid w:val="002264F9"/>
    <w:rsid w:val="0022664A"/>
    <w:rsid w:val="00226660"/>
    <w:rsid w:val="00226866"/>
    <w:rsid w:val="00226911"/>
    <w:rsid w:val="00226979"/>
    <w:rsid w:val="00226A19"/>
    <w:rsid w:val="00226C71"/>
    <w:rsid w:val="00226D21"/>
    <w:rsid w:val="00226DE9"/>
    <w:rsid w:val="00226E08"/>
    <w:rsid w:val="00226F67"/>
    <w:rsid w:val="00227116"/>
    <w:rsid w:val="00227423"/>
    <w:rsid w:val="00227531"/>
    <w:rsid w:val="002275BC"/>
    <w:rsid w:val="002275ED"/>
    <w:rsid w:val="00227629"/>
    <w:rsid w:val="00227705"/>
    <w:rsid w:val="00227A2D"/>
    <w:rsid w:val="00227C9F"/>
    <w:rsid w:val="00227FEA"/>
    <w:rsid w:val="002300DB"/>
    <w:rsid w:val="002301C3"/>
    <w:rsid w:val="00230244"/>
    <w:rsid w:val="00230371"/>
    <w:rsid w:val="002304DF"/>
    <w:rsid w:val="002306FE"/>
    <w:rsid w:val="00230A5C"/>
    <w:rsid w:val="00230D27"/>
    <w:rsid w:val="00230D4F"/>
    <w:rsid w:val="00230ED4"/>
    <w:rsid w:val="00230EE6"/>
    <w:rsid w:val="00230EEC"/>
    <w:rsid w:val="00231008"/>
    <w:rsid w:val="0023107F"/>
    <w:rsid w:val="00231110"/>
    <w:rsid w:val="002312C0"/>
    <w:rsid w:val="00231369"/>
    <w:rsid w:val="002314D7"/>
    <w:rsid w:val="0023152A"/>
    <w:rsid w:val="002316BF"/>
    <w:rsid w:val="00231BE3"/>
    <w:rsid w:val="00231D05"/>
    <w:rsid w:val="00231D61"/>
    <w:rsid w:val="00231DB1"/>
    <w:rsid w:val="0023224E"/>
    <w:rsid w:val="00232445"/>
    <w:rsid w:val="002327CC"/>
    <w:rsid w:val="00232905"/>
    <w:rsid w:val="0023295D"/>
    <w:rsid w:val="00232961"/>
    <w:rsid w:val="00232A21"/>
    <w:rsid w:val="00232D4A"/>
    <w:rsid w:val="00232E5E"/>
    <w:rsid w:val="00232ED9"/>
    <w:rsid w:val="0023305E"/>
    <w:rsid w:val="00233248"/>
    <w:rsid w:val="00233463"/>
    <w:rsid w:val="00233519"/>
    <w:rsid w:val="00233667"/>
    <w:rsid w:val="002336AC"/>
    <w:rsid w:val="00233902"/>
    <w:rsid w:val="0023391F"/>
    <w:rsid w:val="00233944"/>
    <w:rsid w:val="002339C3"/>
    <w:rsid w:val="00233B81"/>
    <w:rsid w:val="00233F12"/>
    <w:rsid w:val="00233FA1"/>
    <w:rsid w:val="0023420D"/>
    <w:rsid w:val="00234248"/>
    <w:rsid w:val="00234614"/>
    <w:rsid w:val="00234798"/>
    <w:rsid w:val="002347A9"/>
    <w:rsid w:val="00234816"/>
    <w:rsid w:val="00234902"/>
    <w:rsid w:val="002349BE"/>
    <w:rsid w:val="00234C58"/>
    <w:rsid w:val="00234C9F"/>
    <w:rsid w:val="00234D88"/>
    <w:rsid w:val="00234EA8"/>
    <w:rsid w:val="0023528F"/>
    <w:rsid w:val="002352B7"/>
    <w:rsid w:val="0023584F"/>
    <w:rsid w:val="00235C0F"/>
    <w:rsid w:val="00235E63"/>
    <w:rsid w:val="00235EDC"/>
    <w:rsid w:val="00235EE9"/>
    <w:rsid w:val="00236069"/>
    <w:rsid w:val="002360FF"/>
    <w:rsid w:val="0023613F"/>
    <w:rsid w:val="00236141"/>
    <w:rsid w:val="00236290"/>
    <w:rsid w:val="0023632F"/>
    <w:rsid w:val="002363A6"/>
    <w:rsid w:val="00236400"/>
    <w:rsid w:val="00236589"/>
    <w:rsid w:val="00236643"/>
    <w:rsid w:val="002366F4"/>
    <w:rsid w:val="00236823"/>
    <w:rsid w:val="00236857"/>
    <w:rsid w:val="00236A9A"/>
    <w:rsid w:val="00236CBB"/>
    <w:rsid w:val="00236E9B"/>
    <w:rsid w:val="00236FB9"/>
    <w:rsid w:val="00237025"/>
    <w:rsid w:val="00237105"/>
    <w:rsid w:val="0023731E"/>
    <w:rsid w:val="00237545"/>
    <w:rsid w:val="002377EF"/>
    <w:rsid w:val="0023787D"/>
    <w:rsid w:val="002379A3"/>
    <w:rsid w:val="00237C84"/>
    <w:rsid w:val="00237C90"/>
    <w:rsid w:val="00237CD6"/>
    <w:rsid w:val="00237D44"/>
    <w:rsid w:val="00237E7B"/>
    <w:rsid w:val="00237FC6"/>
    <w:rsid w:val="0024003D"/>
    <w:rsid w:val="00240176"/>
    <w:rsid w:val="00240194"/>
    <w:rsid w:val="0024023E"/>
    <w:rsid w:val="00240275"/>
    <w:rsid w:val="0024028D"/>
    <w:rsid w:val="002402F0"/>
    <w:rsid w:val="0024041E"/>
    <w:rsid w:val="00240429"/>
    <w:rsid w:val="002404C2"/>
    <w:rsid w:val="0024061B"/>
    <w:rsid w:val="002406EC"/>
    <w:rsid w:val="00240792"/>
    <w:rsid w:val="00240793"/>
    <w:rsid w:val="00240848"/>
    <w:rsid w:val="00240A3A"/>
    <w:rsid w:val="002412C2"/>
    <w:rsid w:val="002414B8"/>
    <w:rsid w:val="002416C3"/>
    <w:rsid w:val="002418A4"/>
    <w:rsid w:val="00241A11"/>
    <w:rsid w:val="00241D17"/>
    <w:rsid w:val="00241DA9"/>
    <w:rsid w:val="00241DE6"/>
    <w:rsid w:val="00241E06"/>
    <w:rsid w:val="00241E81"/>
    <w:rsid w:val="00242115"/>
    <w:rsid w:val="002422FC"/>
    <w:rsid w:val="00242455"/>
    <w:rsid w:val="002424EB"/>
    <w:rsid w:val="00242835"/>
    <w:rsid w:val="002428DC"/>
    <w:rsid w:val="00242A22"/>
    <w:rsid w:val="00242A41"/>
    <w:rsid w:val="00242AA6"/>
    <w:rsid w:val="00242ABD"/>
    <w:rsid w:val="00242AD0"/>
    <w:rsid w:val="00242B3E"/>
    <w:rsid w:val="00242DC5"/>
    <w:rsid w:val="00242E00"/>
    <w:rsid w:val="00242F5A"/>
    <w:rsid w:val="00242F70"/>
    <w:rsid w:val="00242FC0"/>
    <w:rsid w:val="00243110"/>
    <w:rsid w:val="00243159"/>
    <w:rsid w:val="00243176"/>
    <w:rsid w:val="0024326E"/>
    <w:rsid w:val="0024331A"/>
    <w:rsid w:val="00243381"/>
    <w:rsid w:val="002433B8"/>
    <w:rsid w:val="002433D2"/>
    <w:rsid w:val="002433F6"/>
    <w:rsid w:val="00243679"/>
    <w:rsid w:val="0024368C"/>
    <w:rsid w:val="002436F5"/>
    <w:rsid w:val="0024381B"/>
    <w:rsid w:val="002438B6"/>
    <w:rsid w:val="002439C5"/>
    <w:rsid w:val="002439DB"/>
    <w:rsid w:val="00243B83"/>
    <w:rsid w:val="00243BF9"/>
    <w:rsid w:val="00243CAA"/>
    <w:rsid w:val="00243D0B"/>
    <w:rsid w:val="00243E11"/>
    <w:rsid w:val="00243F7D"/>
    <w:rsid w:val="00243FAB"/>
    <w:rsid w:val="00244258"/>
    <w:rsid w:val="002442FC"/>
    <w:rsid w:val="00244333"/>
    <w:rsid w:val="002446CB"/>
    <w:rsid w:val="002447A2"/>
    <w:rsid w:val="00244883"/>
    <w:rsid w:val="00244B0A"/>
    <w:rsid w:val="00244B81"/>
    <w:rsid w:val="00244C14"/>
    <w:rsid w:val="00244C30"/>
    <w:rsid w:val="00244D89"/>
    <w:rsid w:val="00245032"/>
    <w:rsid w:val="002451BA"/>
    <w:rsid w:val="002451EC"/>
    <w:rsid w:val="002453E4"/>
    <w:rsid w:val="002453FE"/>
    <w:rsid w:val="00245673"/>
    <w:rsid w:val="002456D2"/>
    <w:rsid w:val="0024578E"/>
    <w:rsid w:val="002459AF"/>
    <w:rsid w:val="00245A09"/>
    <w:rsid w:val="00245C0D"/>
    <w:rsid w:val="00245D25"/>
    <w:rsid w:val="00245D69"/>
    <w:rsid w:val="00245D6F"/>
    <w:rsid w:val="00245E0F"/>
    <w:rsid w:val="00245EE4"/>
    <w:rsid w:val="0024623B"/>
    <w:rsid w:val="002464DC"/>
    <w:rsid w:val="00246514"/>
    <w:rsid w:val="00246515"/>
    <w:rsid w:val="0024699F"/>
    <w:rsid w:val="00246ADE"/>
    <w:rsid w:val="002470BE"/>
    <w:rsid w:val="002470C8"/>
    <w:rsid w:val="0024747F"/>
    <w:rsid w:val="0024777F"/>
    <w:rsid w:val="00247AE8"/>
    <w:rsid w:val="00247B6C"/>
    <w:rsid w:val="00247CA1"/>
    <w:rsid w:val="00247F5A"/>
    <w:rsid w:val="002500B3"/>
    <w:rsid w:val="00250122"/>
    <w:rsid w:val="00250205"/>
    <w:rsid w:val="00250386"/>
    <w:rsid w:val="0025043E"/>
    <w:rsid w:val="002505C7"/>
    <w:rsid w:val="0025063B"/>
    <w:rsid w:val="002508A0"/>
    <w:rsid w:val="00250969"/>
    <w:rsid w:val="002509A3"/>
    <w:rsid w:val="00250AE0"/>
    <w:rsid w:val="00250B8C"/>
    <w:rsid w:val="00250BF1"/>
    <w:rsid w:val="00250D72"/>
    <w:rsid w:val="00250EE6"/>
    <w:rsid w:val="00250FB8"/>
    <w:rsid w:val="00251058"/>
    <w:rsid w:val="002510BD"/>
    <w:rsid w:val="002510E0"/>
    <w:rsid w:val="0025129C"/>
    <w:rsid w:val="002512DB"/>
    <w:rsid w:val="00251505"/>
    <w:rsid w:val="002515AE"/>
    <w:rsid w:val="00251626"/>
    <w:rsid w:val="002517D5"/>
    <w:rsid w:val="002519D9"/>
    <w:rsid w:val="00251D1A"/>
    <w:rsid w:val="00251D51"/>
    <w:rsid w:val="00251D54"/>
    <w:rsid w:val="00251D72"/>
    <w:rsid w:val="00251EAD"/>
    <w:rsid w:val="00251EF2"/>
    <w:rsid w:val="00251F49"/>
    <w:rsid w:val="00251F74"/>
    <w:rsid w:val="00251FFF"/>
    <w:rsid w:val="00252303"/>
    <w:rsid w:val="00252340"/>
    <w:rsid w:val="00252369"/>
    <w:rsid w:val="002523BA"/>
    <w:rsid w:val="00252415"/>
    <w:rsid w:val="0025250D"/>
    <w:rsid w:val="0025262D"/>
    <w:rsid w:val="002527CD"/>
    <w:rsid w:val="00252A01"/>
    <w:rsid w:val="00252A0E"/>
    <w:rsid w:val="00252D3B"/>
    <w:rsid w:val="00252D61"/>
    <w:rsid w:val="00252EDC"/>
    <w:rsid w:val="00252FD7"/>
    <w:rsid w:val="00253504"/>
    <w:rsid w:val="0025350F"/>
    <w:rsid w:val="0025363D"/>
    <w:rsid w:val="002536FB"/>
    <w:rsid w:val="00253857"/>
    <w:rsid w:val="002538F8"/>
    <w:rsid w:val="0025393D"/>
    <w:rsid w:val="00253A2F"/>
    <w:rsid w:val="00253B48"/>
    <w:rsid w:val="00253C6B"/>
    <w:rsid w:val="00253F63"/>
    <w:rsid w:val="00254160"/>
    <w:rsid w:val="002541BD"/>
    <w:rsid w:val="00254267"/>
    <w:rsid w:val="00254393"/>
    <w:rsid w:val="0025441F"/>
    <w:rsid w:val="00254538"/>
    <w:rsid w:val="00254540"/>
    <w:rsid w:val="002545D3"/>
    <w:rsid w:val="00254719"/>
    <w:rsid w:val="00254771"/>
    <w:rsid w:val="0025477F"/>
    <w:rsid w:val="00254947"/>
    <w:rsid w:val="002549DA"/>
    <w:rsid w:val="00254A13"/>
    <w:rsid w:val="00254B11"/>
    <w:rsid w:val="00254C95"/>
    <w:rsid w:val="00254D5C"/>
    <w:rsid w:val="00254F9C"/>
    <w:rsid w:val="00255118"/>
    <w:rsid w:val="0025512E"/>
    <w:rsid w:val="00255263"/>
    <w:rsid w:val="0025529D"/>
    <w:rsid w:val="002552F6"/>
    <w:rsid w:val="00255421"/>
    <w:rsid w:val="0025573B"/>
    <w:rsid w:val="002557BA"/>
    <w:rsid w:val="00255A3A"/>
    <w:rsid w:val="00255B38"/>
    <w:rsid w:val="00255C4F"/>
    <w:rsid w:val="00255CC8"/>
    <w:rsid w:val="00255CD1"/>
    <w:rsid w:val="00255DDA"/>
    <w:rsid w:val="00255E60"/>
    <w:rsid w:val="0025607A"/>
    <w:rsid w:val="002560EC"/>
    <w:rsid w:val="002562AB"/>
    <w:rsid w:val="0025636F"/>
    <w:rsid w:val="002564ED"/>
    <w:rsid w:val="002565D6"/>
    <w:rsid w:val="00256628"/>
    <w:rsid w:val="0025664A"/>
    <w:rsid w:val="002566FB"/>
    <w:rsid w:val="00256A9B"/>
    <w:rsid w:val="00256C06"/>
    <w:rsid w:val="00256CF4"/>
    <w:rsid w:val="0025716B"/>
    <w:rsid w:val="00257224"/>
    <w:rsid w:val="002574A1"/>
    <w:rsid w:val="002575AE"/>
    <w:rsid w:val="002575D9"/>
    <w:rsid w:val="002575FB"/>
    <w:rsid w:val="00257640"/>
    <w:rsid w:val="0025768A"/>
    <w:rsid w:val="002579C6"/>
    <w:rsid w:val="00257A27"/>
    <w:rsid w:val="00257C79"/>
    <w:rsid w:val="00257C83"/>
    <w:rsid w:val="00257DF0"/>
    <w:rsid w:val="00257EDB"/>
    <w:rsid w:val="00257F62"/>
    <w:rsid w:val="002600A2"/>
    <w:rsid w:val="00260137"/>
    <w:rsid w:val="0026017E"/>
    <w:rsid w:val="00260525"/>
    <w:rsid w:val="0026066C"/>
    <w:rsid w:val="002606EC"/>
    <w:rsid w:val="00260793"/>
    <w:rsid w:val="002608F8"/>
    <w:rsid w:val="002609E4"/>
    <w:rsid w:val="00260D71"/>
    <w:rsid w:val="0026113C"/>
    <w:rsid w:val="0026152C"/>
    <w:rsid w:val="0026156B"/>
    <w:rsid w:val="00261577"/>
    <w:rsid w:val="002616C2"/>
    <w:rsid w:val="00261719"/>
    <w:rsid w:val="002618F4"/>
    <w:rsid w:val="00261908"/>
    <w:rsid w:val="00261924"/>
    <w:rsid w:val="00261935"/>
    <w:rsid w:val="00261BF1"/>
    <w:rsid w:val="00261C3D"/>
    <w:rsid w:val="0026216B"/>
    <w:rsid w:val="002621CC"/>
    <w:rsid w:val="00262239"/>
    <w:rsid w:val="00262242"/>
    <w:rsid w:val="0026247E"/>
    <w:rsid w:val="002624C3"/>
    <w:rsid w:val="0026254F"/>
    <w:rsid w:val="00262631"/>
    <w:rsid w:val="002626DD"/>
    <w:rsid w:val="0026270E"/>
    <w:rsid w:val="002628A1"/>
    <w:rsid w:val="00262A77"/>
    <w:rsid w:val="00262ADF"/>
    <w:rsid w:val="00262BE9"/>
    <w:rsid w:val="00262C4E"/>
    <w:rsid w:val="00262CD5"/>
    <w:rsid w:val="00262D46"/>
    <w:rsid w:val="00262EC1"/>
    <w:rsid w:val="00262F7D"/>
    <w:rsid w:val="00263048"/>
    <w:rsid w:val="002631F0"/>
    <w:rsid w:val="002632D7"/>
    <w:rsid w:val="002633B9"/>
    <w:rsid w:val="0026343D"/>
    <w:rsid w:val="002635CD"/>
    <w:rsid w:val="002637CD"/>
    <w:rsid w:val="0026399B"/>
    <w:rsid w:val="00263AAA"/>
    <w:rsid w:val="0026407D"/>
    <w:rsid w:val="002640A4"/>
    <w:rsid w:val="0026414E"/>
    <w:rsid w:val="002642E9"/>
    <w:rsid w:val="002643DC"/>
    <w:rsid w:val="00264593"/>
    <w:rsid w:val="00264652"/>
    <w:rsid w:val="002647BD"/>
    <w:rsid w:val="00264821"/>
    <w:rsid w:val="002648AF"/>
    <w:rsid w:val="0026498F"/>
    <w:rsid w:val="002649BD"/>
    <w:rsid w:val="00264B8F"/>
    <w:rsid w:val="00264BA0"/>
    <w:rsid w:val="00264C6E"/>
    <w:rsid w:val="00264D50"/>
    <w:rsid w:val="00264EE2"/>
    <w:rsid w:val="00265339"/>
    <w:rsid w:val="002655A3"/>
    <w:rsid w:val="0026580E"/>
    <w:rsid w:val="0026588C"/>
    <w:rsid w:val="00265B5E"/>
    <w:rsid w:val="00265C5A"/>
    <w:rsid w:val="00265D1E"/>
    <w:rsid w:val="00265E32"/>
    <w:rsid w:val="00266387"/>
    <w:rsid w:val="0026638D"/>
    <w:rsid w:val="00266624"/>
    <w:rsid w:val="002666E9"/>
    <w:rsid w:val="0026673E"/>
    <w:rsid w:val="00266755"/>
    <w:rsid w:val="00266899"/>
    <w:rsid w:val="00266B61"/>
    <w:rsid w:val="00266E3C"/>
    <w:rsid w:val="002670E3"/>
    <w:rsid w:val="0026710C"/>
    <w:rsid w:val="00267133"/>
    <w:rsid w:val="00267141"/>
    <w:rsid w:val="002673F8"/>
    <w:rsid w:val="00267535"/>
    <w:rsid w:val="00267643"/>
    <w:rsid w:val="00267704"/>
    <w:rsid w:val="002677A9"/>
    <w:rsid w:val="002677E7"/>
    <w:rsid w:val="00267856"/>
    <w:rsid w:val="00267934"/>
    <w:rsid w:val="00267D08"/>
    <w:rsid w:val="00267D51"/>
    <w:rsid w:val="00267F62"/>
    <w:rsid w:val="00267FED"/>
    <w:rsid w:val="0027005B"/>
    <w:rsid w:val="00270401"/>
    <w:rsid w:val="002707FC"/>
    <w:rsid w:val="002709F1"/>
    <w:rsid w:val="00270B96"/>
    <w:rsid w:val="00270C8C"/>
    <w:rsid w:val="00270DA0"/>
    <w:rsid w:val="00270E99"/>
    <w:rsid w:val="0027100E"/>
    <w:rsid w:val="002711B1"/>
    <w:rsid w:val="00271306"/>
    <w:rsid w:val="0027131A"/>
    <w:rsid w:val="00271443"/>
    <w:rsid w:val="002717EE"/>
    <w:rsid w:val="00271B8B"/>
    <w:rsid w:val="00271CAC"/>
    <w:rsid w:val="00271CB7"/>
    <w:rsid w:val="00271D79"/>
    <w:rsid w:val="00271DC0"/>
    <w:rsid w:val="00271E0F"/>
    <w:rsid w:val="002721A1"/>
    <w:rsid w:val="002721A6"/>
    <w:rsid w:val="00272246"/>
    <w:rsid w:val="002723E8"/>
    <w:rsid w:val="002725CD"/>
    <w:rsid w:val="0027263C"/>
    <w:rsid w:val="00272760"/>
    <w:rsid w:val="002728B1"/>
    <w:rsid w:val="002728E5"/>
    <w:rsid w:val="00272B49"/>
    <w:rsid w:val="00272B59"/>
    <w:rsid w:val="00272C36"/>
    <w:rsid w:val="00272E50"/>
    <w:rsid w:val="00272E6E"/>
    <w:rsid w:val="00273045"/>
    <w:rsid w:val="00273075"/>
    <w:rsid w:val="002731C3"/>
    <w:rsid w:val="0027330D"/>
    <w:rsid w:val="00273356"/>
    <w:rsid w:val="002733FF"/>
    <w:rsid w:val="0027378D"/>
    <w:rsid w:val="002738F4"/>
    <w:rsid w:val="00273A25"/>
    <w:rsid w:val="00273B91"/>
    <w:rsid w:val="00273E1A"/>
    <w:rsid w:val="00273FAB"/>
    <w:rsid w:val="00273FF7"/>
    <w:rsid w:val="00274075"/>
    <w:rsid w:val="002741DD"/>
    <w:rsid w:val="00274207"/>
    <w:rsid w:val="0027420F"/>
    <w:rsid w:val="00274218"/>
    <w:rsid w:val="00274348"/>
    <w:rsid w:val="00274364"/>
    <w:rsid w:val="002743F2"/>
    <w:rsid w:val="0027444D"/>
    <w:rsid w:val="0027444F"/>
    <w:rsid w:val="00274484"/>
    <w:rsid w:val="0027485B"/>
    <w:rsid w:val="002748C2"/>
    <w:rsid w:val="002748D4"/>
    <w:rsid w:val="0027495E"/>
    <w:rsid w:val="00274BB5"/>
    <w:rsid w:val="00274C16"/>
    <w:rsid w:val="00274C7F"/>
    <w:rsid w:val="00274CA6"/>
    <w:rsid w:val="00274CE8"/>
    <w:rsid w:val="00274CEA"/>
    <w:rsid w:val="00274F88"/>
    <w:rsid w:val="0027516A"/>
    <w:rsid w:val="0027524C"/>
    <w:rsid w:val="002753B5"/>
    <w:rsid w:val="0027550D"/>
    <w:rsid w:val="00275584"/>
    <w:rsid w:val="002755B0"/>
    <w:rsid w:val="0027571A"/>
    <w:rsid w:val="002757A0"/>
    <w:rsid w:val="002758F4"/>
    <w:rsid w:val="00275EEF"/>
    <w:rsid w:val="00275FA6"/>
    <w:rsid w:val="0027606F"/>
    <w:rsid w:val="0027608B"/>
    <w:rsid w:val="00276091"/>
    <w:rsid w:val="002760E5"/>
    <w:rsid w:val="002761FF"/>
    <w:rsid w:val="0027628E"/>
    <w:rsid w:val="002762AC"/>
    <w:rsid w:val="00276307"/>
    <w:rsid w:val="002763D4"/>
    <w:rsid w:val="002763EB"/>
    <w:rsid w:val="0027643F"/>
    <w:rsid w:val="002766C8"/>
    <w:rsid w:val="00276714"/>
    <w:rsid w:val="0027683A"/>
    <w:rsid w:val="002768C7"/>
    <w:rsid w:val="002769D9"/>
    <w:rsid w:val="00276A91"/>
    <w:rsid w:val="00276B66"/>
    <w:rsid w:val="00276BB7"/>
    <w:rsid w:val="00276C57"/>
    <w:rsid w:val="00276D0A"/>
    <w:rsid w:val="00276D9E"/>
    <w:rsid w:val="00276DA9"/>
    <w:rsid w:val="00277102"/>
    <w:rsid w:val="002773FF"/>
    <w:rsid w:val="00277570"/>
    <w:rsid w:val="0027763C"/>
    <w:rsid w:val="0027764F"/>
    <w:rsid w:val="00277668"/>
    <w:rsid w:val="002779B7"/>
    <w:rsid w:val="00277A98"/>
    <w:rsid w:val="00277A9A"/>
    <w:rsid w:val="00277AEF"/>
    <w:rsid w:val="00277CDC"/>
    <w:rsid w:val="00277DA5"/>
    <w:rsid w:val="00277F1B"/>
    <w:rsid w:val="00277FD7"/>
    <w:rsid w:val="00280063"/>
    <w:rsid w:val="0028006F"/>
    <w:rsid w:val="00280304"/>
    <w:rsid w:val="002803B5"/>
    <w:rsid w:val="002803BE"/>
    <w:rsid w:val="002804FC"/>
    <w:rsid w:val="002805C5"/>
    <w:rsid w:val="002806D1"/>
    <w:rsid w:val="0028079F"/>
    <w:rsid w:val="00280CAE"/>
    <w:rsid w:val="00280D1E"/>
    <w:rsid w:val="00280D3A"/>
    <w:rsid w:val="00280D56"/>
    <w:rsid w:val="00280F3E"/>
    <w:rsid w:val="0028109A"/>
    <w:rsid w:val="0028121E"/>
    <w:rsid w:val="002812E7"/>
    <w:rsid w:val="00281387"/>
    <w:rsid w:val="00281504"/>
    <w:rsid w:val="00281728"/>
    <w:rsid w:val="0028174F"/>
    <w:rsid w:val="0028182B"/>
    <w:rsid w:val="002818C7"/>
    <w:rsid w:val="00281944"/>
    <w:rsid w:val="00281B1C"/>
    <w:rsid w:val="00281CF2"/>
    <w:rsid w:val="00281D11"/>
    <w:rsid w:val="00281D3F"/>
    <w:rsid w:val="00281F1D"/>
    <w:rsid w:val="0028228F"/>
    <w:rsid w:val="00282481"/>
    <w:rsid w:val="00282498"/>
    <w:rsid w:val="002824F5"/>
    <w:rsid w:val="00282544"/>
    <w:rsid w:val="00282555"/>
    <w:rsid w:val="00282706"/>
    <w:rsid w:val="00282734"/>
    <w:rsid w:val="00282756"/>
    <w:rsid w:val="00282B05"/>
    <w:rsid w:val="00282C66"/>
    <w:rsid w:val="00282CE6"/>
    <w:rsid w:val="00282D34"/>
    <w:rsid w:val="00282E40"/>
    <w:rsid w:val="00282E71"/>
    <w:rsid w:val="00282E8E"/>
    <w:rsid w:val="002832BA"/>
    <w:rsid w:val="00283559"/>
    <w:rsid w:val="0028368A"/>
    <w:rsid w:val="00283AA5"/>
    <w:rsid w:val="00283B19"/>
    <w:rsid w:val="00283D66"/>
    <w:rsid w:val="00283E0F"/>
    <w:rsid w:val="00283FE8"/>
    <w:rsid w:val="00284009"/>
    <w:rsid w:val="00284167"/>
    <w:rsid w:val="002843B6"/>
    <w:rsid w:val="002843D8"/>
    <w:rsid w:val="0028474F"/>
    <w:rsid w:val="0028475E"/>
    <w:rsid w:val="00284765"/>
    <w:rsid w:val="00284773"/>
    <w:rsid w:val="002847C0"/>
    <w:rsid w:val="002848DD"/>
    <w:rsid w:val="00284B95"/>
    <w:rsid w:val="00284BB6"/>
    <w:rsid w:val="00284CC2"/>
    <w:rsid w:val="00284E16"/>
    <w:rsid w:val="00284F04"/>
    <w:rsid w:val="00284F28"/>
    <w:rsid w:val="00285065"/>
    <w:rsid w:val="00285258"/>
    <w:rsid w:val="00285371"/>
    <w:rsid w:val="002853F2"/>
    <w:rsid w:val="00285499"/>
    <w:rsid w:val="00285508"/>
    <w:rsid w:val="00285582"/>
    <w:rsid w:val="00285720"/>
    <w:rsid w:val="002858E3"/>
    <w:rsid w:val="00285B6F"/>
    <w:rsid w:val="00285BE6"/>
    <w:rsid w:val="00285CDD"/>
    <w:rsid w:val="00285DB3"/>
    <w:rsid w:val="00286023"/>
    <w:rsid w:val="00286061"/>
    <w:rsid w:val="002861A0"/>
    <w:rsid w:val="0028628B"/>
    <w:rsid w:val="0028658D"/>
    <w:rsid w:val="002866B7"/>
    <w:rsid w:val="00286972"/>
    <w:rsid w:val="002869AF"/>
    <w:rsid w:val="00286A4D"/>
    <w:rsid w:val="00286AC4"/>
    <w:rsid w:val="00286ACB"/>
    <w:rsid w:val="00286B01"/>
    <w:rsid w:val="00286CBF"/>
    <w:rsid w:val="00286DBC"/>
    <w:rsid w:val="00286DEE"/>
    <w:rsid w:val="00286DF2"/>
    <w:rsid w:val="002873E0"/>
    <w:rsid w:val="002875D4"/>
    <w:rsid w:val="00287720"/>
    <w:rsid w:val="002877CD"/>
    <w:rsid w:val="00287991"/>
    <w:rsid w:val="002879E8"/>
    <w:rsid w:val="00287A92"/>
    <w:rsid w:val="00287AA4"/>
    <w:rsid w:val="00287BB6"/>
    <w:rsid w:val="00287CE1"/>
    <w:rsid w:val="00287EC4"/>
    <w:rsid w:val="00287EE8"/>
    <w:rsid w:val="00290191"/>
    <w:rsid w:val="0029032D"/>
    <w:rsid w:val="00290366"/>
    <w:rsid w:val="002904E5"/>
    <w:rsid w:val="00290531"/>
    <w:rsid w:val="00290649"/>
    <w:rsid w:val="00290728"/>
    <w:rsid w:val="00290774"/>
    <w:rsid w:val="002908E5"/>
    <w:rsid w:val="00290B6C"/>
    <w:rsid w:val="00290FA1"/>
    <w:rsid w:val="00291036"/>
    <w:rsid w:val="0029119F"/>
    <w:rsid w:val="002911E4"/>
    <w:rsid w:val="002912D0"/>
    <w:rsid w:val="00291327"/>
    <w:rsid w:val="0029132C"/>
    <w:rsid w:val="002913D8"/>
    <w:rsid w:val="00291721"/>
    <w:rsid w:val="002917AD"/>
    <w:rsid w:val="002917BA"/>
    <w:rsid w:val="00291885"/>
    <w:rsid w:val="00291C4F"/>
    <w:rsid w:val="00291DBE"/>
    <w:rsid w:val="00291E7C"/>
    <w:rsid w:val="00291FBA"/>
    <w:rsid w:val="002920A7"/>
    <w:rsid w:val="0029215F"/>
    <w:rsid w:val="00292197"/>
    <w:rsid w:val="0029253C"/>
    <w:rsid w:val="00292559"/>
    <w:rsid w:val="002925B4"/>
    <w:rsid w:val="00292690"/>
    <w:rsid w:val="002926A1"/>
    <w:rsid w:val="002926D5"/>
    <w:rsid w:val="00292722"/>
    <w:rsid w:val="00292834"/>
    <w:rsid w:val="00292913"/>
    <w:rsid w:val="00292958"/>
    <w:rsid w:val="00292AD8"/>
    <w:rsid w:val="00292B44"/>
    <w:rsid w:val="00292C21"/>
    <w:rsid w:val="002930F7"/>
    <w:rsid w:val="0029314F"/>
    <w:rsid w:val="0029338C"/>
    <w:rsid w:val="00293470"/>
    <w:rsid w:val="00293762"/>
    <w:rsid w:val="0029380B"/>
    <w:rsid w:val="0029382C"/>
    <w:rsid w:val="00293852"/>
    <w:rsid w:val="00293987"/>
    <w:rsid w:val="00293A46"/>
    <w:rsid w:val="00293AE0"/>
    <w:rsid w:val="00293B52"/>
    <w:rsid w:val="00293B98"/>
    <w:rsid w:val="00293D00"/>
    <w:rsid w:val="00293D96"/>
    <w:rsid w:val="00293DD0"/>
    <w:rsid w:val="00293F57"/>
    <w:rsid w:val="00293F78"/>
    <w:rsid w:val="0029404E"/>
    <w:rsid w:val="002940FD"/>
    <w:rsid w:val="00294164"/>
    <w:rsid w:val="00294188"/>
    <w:rsid w:val="00294237"/>
    <w:rsid w:val="0029429F"/>
    <w:rsid w:val="00294396"/>
    <w:rsid w:val="002944FE"/>
    <w:rsid w:val="002945D9"/>
    <w:rsid w:val="002949CC"/>
    <w:rsid w:val="002949EB"/>
    <w:rsid w:val="00294A53"/>
    <w:rsid w:val="00294E38"/>
    <w:rsid w:val="00294E57"/>
    <w:rsid w:val="00294E96"/>
    <w:rsid w:val="00294EF5"/>
    <w:rsid w:val="00294F0B"/>
    <w:rsid w:val="00295018"/>
    <w:rsid w:val="00295058"/>
    <w:rsid w:val="0029521E"/>
    <w:rsid w:val="0029530B"/>
    <w:rsid w:val="00295465"/>
    <w:rsid w:val="002954F0"/>
    <w:rsid w:val="00295554"/>
    <w:rsid w:val="00295628"/>
    <w:rsid w:val="002956A0"/>
    <w:rsid w:val="002957DC"/>
    <w:rsid w:val="002957DF"/>
    <w:rsid w:val="002957E1"/>
    <w:rsid w:val="00295C9A"/>
    <w:rsid w:val="00295D6B"/>
    <w:rsid w:val="00295E28"/>
    <w:rsid w:val="002961DE"/>
    <w:rsid w:val="002961E1"/>
    <w:rsid w:val="00296282"/>
    <w:rsid w:val="00296300"/>
    <w:rsid w:val="0029661B"/>
    <w:rsid w:val="002968E6"/>
    <w:rsid w:val="00296A4D"/>
    <w:rsid w:val="00296BF7"/>
    <w:rsid w:val="00296DE1"/>
    <w:rsid w:val="00296E5D"/>
    <w:rsid w:val="00296EB4"/>
    <w:rsid w:val="00296F80"/>
    <w:rsid w:val="0029729D"/>
    <w:rsid w:val="0029753E"/>
    <w:rsid w:val="0029759C"/>
    <w:rsid w:val="00297956"/>
    <w:rsid w:val="00297A3C"/>
    <w:rsid w:val="00297C47"/>
    <w:rsid w:val="00297D51"/>
    <w:rsid w:val="00297D7F"/>
    <w:rsid w:val="00297E0D"/>
    <w:rsid w:val="00297E96"/>
    <w:rsid w:val="00297E9E"/>
    <w:rsid w:val="00297EC9"/>
    <w:rsid w:val="00297F02"/>
    <w:rsid w:val="00297F72"/>
    <w:rsid w:val="002A00C5"/>
    <w:rsid w:val="002A02DF"/>
    <w:rsid w:val="002A0338"/>
    <w:rsid w:val="002A06A5"/>
    <w:rsid w:val="002A075F"/>
    <w:rsid w:val="002A076D"/>
    <w:rsid w:val="002A0B5B"/>
    <w:rsid w:val="002A0BD5"/>
    <w:rsid w:val="002A0C0E"/>
    <w:rsid w:val="002A0C2F"/>
    <w:rsid w:val="002A0F05"/>
    <w:rsid w:val="002A0F55"/>
    <w:rsid w:val="002A1475"/>
    <w:rsid w:val="002A156F"/>
    <w:rsid w:val="002A183E"/>
    <w:rsid w:val="002A1A8A"/>
    <w:rsid w:val="002A1CCD"/>
    <w:rsid w:val="002A1E15"/>
    <w:rsid w:val="002A203B"/>
    <w:rsid w:val="002A2153"/>
    <w:rsid w:val="002A226D"/>
    <w:rsid w:val="002A22F9"/>
    <w:rsid w:val="002A233A"/>
    <w:rsid w:val="002A25D6"/>
    <w:rsid w:val="002A265E"/>
    <w:rsid w:val="002A2683"/>
    <w:rsid w:val="002A2685"/>
    <w:rsid w:val="002A274A"/>
    <w:rsid w:val="002A2751"/>
    <w:rsid w:val="002A2874"/>
    <w:rsid w:val="002A28CC"/>
    <w:rsid w:val="002A2B42"/>
    <w:rsid w:val="002A2B70"/>
    <w:rsid w:val="002A2C17"/>
    <w:rsid w:val="002A2EAB"/>
    <w:rsid w:val="002A2F77"/>
    <w:rsid w:val="002A2FD1"/>
    <w:rsid w:val="002A31EB"/>
    <w:rsid w:val="002A3482"/>
    <w:rsid w:val="002A3616"/>
    <w:rsid w:val="002A362B"/>
    <w:rsid w:val="002A3682"/>
    <w:rsid w:val="002A392C"/>
    <w:rsid w:val="002A3AE7"/>
    <w:rsid w:val="002A3C46"/>
    <w:rsid w:val="002A3DB6"/>
    <w:rsid w:val="002A3E2D"/>
    <w:rsid w:val="002A3E35"/>
    <w:rsid w:val="002A3E72"/>
    <w:rsid w:val="002A3E9D"/>
    <w:rsid w:val="002A4014"/>
    <w:rsid w:val="002A40B9"/>
    <w:rsid w:val="002A4138"/>
    <w:rsid w:val="002A4139"/>
    <w:rsid w:val="002A437E"/>
    <w:rsid w:val="002A43F6"/>
    <w:rsid w:val="002A46ED"/>
    <w:rsid w:val="002A4734"/>
    <w:rsid w:val="002A4878"/>
    <w:rsid w:val="002A4B06"/>
    <w:rsid w:val="002A4B92"/>
    <w:rsid w:val="002A4C53"/>
    <w:rsid w:val="002A4CC6"/>
    <w:rsid w:val="002A4D22"/>
    <w:rsid w:val="002A4DEA"/>
    <w:rsid w:val="002A4EEC"/>
    <w:rsid w:val="002A500C"/>
    <w:rsid w:val="002A500F"/>
    <w:rsid w:val="002A5092"/>
    <w:rsid w:val="002A5268"/>
    <w:rsid w:val="002A5291"/>
    <w:rsid w:val="002A5386"/>
    <w:rsid w:val="002A53BA"/>
    <w:rsid w:val="002A53EC"/>
    <w:rsid w:val="002A545F"/>
    <w:rsid w:val="002A5479"/>
    <w:rsid w:val="002A54AB"/>
    <w:rsid w:val="002A5764"/>
    <w:rsid w:val="002A5A04"/>
    <w:rsid w:val="002A5A0D"/>
    <w:rsid w:val="002A5C2F"/>
    <w:rsid w:val="002A5CC0"/>
    <w:rsid w:val="002A5F9D"/>
    <w:rsid w:val="002A62C5"/>
    <w:rsid w:val="002A63FF"/>
    <w:rsid w:val="002A64F8"/>
    <w:rsid w:val="002A6583"/>
    <w:rsid w:val="002A6622"/>
    <w:rsid w:val="002A6685"/>
    <w:rsid w:val="002A678F"/>
    <w:rsid w:val="002A67A1"/>
    <w:rsid w:val="002A686C"/>
    <w:rsid w:val="002A6A0E"/>
    <w:rsid w:val="002A6B6E"/>
    <w:rsid w:val="002A6C75"/>
    <w:rsid w:val="002A6DFA"/>
    <w:rsid w:val="002A6E97"/>
    <w:rsid w:val="002A6F8F"/>
    <w:rsid w:val="002A6FC6"/>
    <w:rsid w:val="002A6FDC"/>
    <w:rsid w:val="002A7152"/>
    <w:rsid w:val="002A7767"/>
    <w:rsid w:val="002A7C97"/>
    <w:rsid w:val="002A7E87"/>
    <w:rsid w:val="002A7EE2"/>
    <w:rsid w:val="002B003E"/>
    <w:rsid w:val="002B006C"/>
    <w:rsid w:val="002B0101"/>
    <w:rsid w:val="002B0163"/>
    <w:rsid w:val="002B01C7"/>
    <w:rsid w:val="002B036F"/>
    <w:rsid w:val="002B037F"/>
    <w:rsid w:val="002B03A8"/>
    <w:rsid w:val="002B06CA"/>
    <w:rsid w:val="002B0767"/>
    <w:rsid w:val="002B07C0"/>
    <w:rsid w:val="002B0930"/>
    <w:rsid w:val="002B0A83"/>
    <w:rsid w:val="002B0E44"/>
    <w:rsid w:val="002B1011"/>
    <w:rsid w:val="002B1239"/>
    <w:rsid w:val="002B143D"/>
    <w:rsid w:val="002B1660"/>
    <w:rsid w:val="002B16B8"/>
    <w:rsid w:val="002B18B0"/>
    <w:rsid w:val="002B199E"/>
    <w:rsid w:val="002B1B08"/>
    <w:rsid w:val="002B1B15"/>
    <w:rsid w:val="002B1DD6"/>
    <w:rsid w:val="002B1F49"/>
    <w:rsid w:val="002B20C5"/>
    <w:rsid w:val="002B213E"/>
    <w:rsid w:val="002B22C4"/>
    <w:rsid w:val="002B2478"/>
    <w:rsid w:val="002B2602"/>
    <w:rsid w:val="002B2956"/>
    <w:rsid w:val="002B2A22"/>
    <w:rsid w:val="002B2AC0"/>
    <w:rsid w:val="002B2DA6"/>
    <w:rsid w:val="002B2FFC"/>
    <w:rsid w:val="002B30B1"/>
    <w:rsid w:val="002B312B"/>
    <w:rsid w:val="002B32D5"/>
    <w:rsid w:val="002B331D"/>
    <w:rsid w:val="002B3398"/>
    <w:rsid w:val="002B3479"/>
    <w:rsid w:val="002B35FC"/>
    <w:rsid w:val="002B3677"/>
    <w:rsid w:val="002B382F"/>
    <w:rsid w:val="002B38F6"/>
    <w:rsid w:val="002B395C"/>
    <w:rsid w:val="002B3A09"/>
    <w:rsid w:val="002B3B2B"/>
    <w:rsid w:val="002B3B34"/>
    <w:rsid w:val="002B3BB1"/>
    <w:rsid w:val="002B3BD7"/>
    <w:rsid w:val="002B3C43"/>
    <w:rsid w:val="002B3F10"/>
    <w:rsid w:val="002B418D"/>
    <w:rsid w:val="002B41A1"/>
    <w:rsid w:val="002B4226"/>
    <w:rsid w:val="002B42D3"/>
    <w:rsid w:val="002B4391"/>
    <w:rsid w:val="002B44FC"/>
    <w:rsid w:val="002B45B3"/>
    <w:rsid w:val="002B467D"/>
    <w:rsid w:val="002B4744"/>
    <w:rsid w:val="002B47B8"/>
    <w:rsid w:val="002B47DF"/>
    <w:rsid w:val="002B4C53"/>
    <w:rsid w:val="002B4C57"/>
    <w:rsid w:val="002B4CBB"/>
    <w:rsid w:val="002B4E41"/>
    <w:rsid w:val="002B4F03"/>
    <w:rsid w:val="002B5087"/>
    <w:rsid w:val="002B5296"/>
    <w:rsid w:val="002B5A8B"/>
    <w:rsid w:val="002B5ADE"/>
    <w:rsid w:val="002B5AF8"/>
    <w:rsid w:val="002B5C55"/>
    <w:rsid w:val="002B5D1E"/>
    <w:rsid w:val="002B5D26"/>
    <w:rsid w:val="002B5D4D"/>
    <w:rsid w:val="002B5DDD"/>
    <w:rsid w:val="002B5F33"/>
    <w:rsid w:val="002B5FF8"/>
    <w:rsid w:val="002B6076"/>
    <w:rsid w:val="002B6213"/>
    <w:rsid w:val="002B6221"/>
    <w:rsid w:val="002B63FF"/>
    <w:rsid w:val="002B64D8"/>
    <w:rsid w:val="002B673F"/>
    <w:rsid w:val="002B6A70"/>
    <w:rsid w:val="002B6B00"/>
    <w:rsid w:val="002B6CDC"/>
    <w:rsid w:val="002B6D00"/>
    <w:rsid w:val="002B6F3F"/>
    <w:rsid w:val="002B7151"/>
    <w:rsid w:val="002B7309"/>
    <w:rsid w:val="002B73AC"/>
    <w:rsid w:val="002B7446"/>
    <w:rsid w:val="002B7742"/>
    <w:rsid w:val="002B77BB"/>
    <w:rsid w:val="002B77D7"/>
    <w:rsid w:val="002B7872"/>
    <w:rsid w:val="002B78A4"/>
    <w:rsid w:val="002B7A8E"/>
    <w:rsid w:val="002B7B5F"/>
    <w:rsid w:val="002B7D3A"/>
    <w:rsid w:val="002B7D94"/>
    <w:rsid w:val="002B7D98"/>
    <w:rsid w:val="002B7DAD"/>
    <w:rsid w:val="002B7DAE"/>
    <w:rsid w:val="002B7EF8"/>
    <w:rsid w:val="002C003A"/>
    <w:rsid w:val="002C0063"/>
    <w:rsid w:val="002C00EB"/>
    <w:rsid w:val="002C011B"/>
    <w:rsid w:val="002C01B1"/>
    <w:rsid w:val="002C03B7"/>
    <w:rsid w:val="002C03CD"/>
    <w:rsid w:val="002C0409"/>
    <w:rsid w:val="002C04CF"/>
    <w:rsid w:val="002C078C"/>
    <w:rsid w:val="002C08EF"/>
    <w:rsid w:val="002C0930"/>
    <w:rsid w:val="002C0963"/>
    <w:rsid w:val="002C0980"/>
    <w:rsid w:val="002C099E"/>
    <w:rsid w:val="002C09E6"/>
    <w:rsid w:val="002C0AC2"/>
    <w:rsid w:val="002C0B58"/>
    <w:rsid w:val="002C0F34"/>
    <w:rsid w:val="002C110D"/>
    <w:rsid w:val="002C113A"/>
    <w:rsid w:val="002C13AD"/>
    <w:rsid w:val="002C15BD"/>
    <w:rsid w:val="002C1A20"/>
    <w:rsid w:val="002C1AA4"/>
    <w:rsid w:val="002C1AD2"/>
    <w:rsid w:val="002C1AEA"/>
    <w:rsid w:val="002C1B29"/>
    <w:rsid w:val="002C1E71"/>
    <w:rsid w:val="002C1E97"/>
    <w:rsid w:val="002C1EC4"/>
    <w:rsid w:val="002C1FB7"/>
    <w:rsid w:val="002C1FEB"/>
    <w:rsid w:val="002C2230"/>
    <w:rsid w:val="002C246E"/>
    <w:rsid w:val="002C24DF"/>
    <w:rsid w:val="002C255C"/>
    <w:rsid w:val="002C29ED"/>
    <w:rsid w:val="002C2A6C"/>
    <w:rsid w:val="002C2A77"/>
    <w:rsid w:val="002C2B29"/>
    <w:rsid w:val="002C2B3B"/>
    <w:rsid w:val="002C2C5E"/>
    <w:rsid w:val="002C2C8E"/>
    <w:rsid w:val="002C2D0B"/>
    <w:rsid w:val="002C2EC8"/>
    <w:rsid w:val="002C30E0"/>
    <w:rsid w:val="002C3455"/>
    <w:rsid w:val="002C34CA"/>
    <w:rsid w:val="002C357D"/>
    <w:rsid w:val="002C358B"/>
    <w:rsid w:val="002C3723"/>
    <w:rsid w:val="002C3882"/>
    <w:rsid w:val="002C391C"/>
    <w:rsid w:val="002C3996"/>
    <w:rsid w:val="002C3A92"/>
    <w:rsid w:val="002C3B39"/>
    <w:rsid w:val="002C3BDA"/>
    <w:rsid w:val="002C3BF8"/>
    <w:rsid w:val="002C3C28"/>
    <w:rsid w:val="002C3D07"/>
    <w:rsid w:val="002C3D96"/>
    <w:rsid w:val="002C3E8D"/>
    <w:rsid w:val="002C3F3C"/>
    <w:rsid w:val="002C4098"/>
    <w:rsid w:val="002C4286"/>
    <w:rsid w:val="002C4562"/>
    <w:rsid w:val="002C45A9"/>
    <w:rsid w:val="002C45D3"/>
    <w:rsid w:val="002C4697"/>
    <w:rsid w:val="002C472B"/>
    <w:rsid w:val="002C4A5E"/>
    <w:rsid w:val="002C4CE3"/>
    <w:rsid w:val="002C5388"/>
    <w:rsid w:val="002C53DA"/>
    <w:rsid w:val="002C548E"/>
    <w:rsid w:val="002C5502"/>
    <w:rsid w:val="002C564D"/>
    <w:rsid w:val="002C5850"/>
    <w:rsid w:val="002C5940"/>
    <w:rsid w:val="002C598D"/>
    <w:rsid w:val="002C5A66"/>
    <w:rsid w:val="002C5AA3"/>
    <w:rsid w:val="002C5D08"/>
    <w:rsid w:val="002C5DD0"/>
    <w:rsid w:val="002C5FEE"/>
    <w:rsid w:val="002C600F"/>
    <w:rsid w:val="002C61B4"/>
    <w:rsid w:val="002C6209"/>
    <w:rsid w:val="002C62D5"/>
    <w:rsid w:val="002C62E8"/>
    <w:rsid w:val="002C6300"/>
    <w:rsid w:val="002C6C21"/>
    <w:rsid w:val="002C6F18"/>
    <w:rsid w:val="002C6F78"/>
    <w:rsid w:val="002C6FCA"/>
    <w:rsid w:val="002C76CF"/>
    <w:rsid w:val="002C7982"/>
    <w:rsid w:val="002C7A4D"/>
    <w:rsid w:val="002C7AD9"/>
    <w:rsid w:val="002C7CDB"/>
    <w:rsid w:val="002C7F68"/>
    <w:rsid w:val="002C7FE5"/>
    <w:rsid w:val="002D0017"/>
    <w:rsid w:val="002D0063"/>
    <w:rsid w:val="002D00DC"/>
    <w:rsid w:val="002D014E"/>
    <w:rsid w:val="002D0156"/>
    <w:rsid w:val="002D0382"/>
    <w:rsid w:val="002D08C9"/>
    <w:rsid w:val="002D0A0E"/>
    <w:rsid w:val="002D0A6F"/>
    <w:rsid w:val="002D0BCB"/>
    <w:rsid w:val="002D0D5B"/>
    <w:rsid w:val="002D0DAD"/>
    <w:rsid w:val="002D125D"/>
    <w:rsid w:val="002D1269"/>
    <w:rsid w:val="002D129C"/>
    <w:rsid w:val="002D12CA"/>
    <w:rsid w:val="002D12D7"/>
    <w:rsid w:val="002D12D9"/>
    <w:rsid w:val="002D140C"/>
    <w:rsid w:val="002D144C"/>
    <w:rsid w:val="002D146D"/>
    <w:rsid w:val="002D14BE"/>
    <w:rsid w:val="002D14C9"/>
    <w:rsid w:val="002D155C"/>
    <w:rsid w:val="002D15F7"/>
    <w:rsid w:val="002D17AF"/>
    <w:rsid w:val="002D182B"/>
    <w:rsid w:val="002D1A9E"/>
    <w:rsid w:val="002D1AA2"/>
    <w:rsid w:val="002D1AD9"/>
    <w:rsid w:val="002D1BD6"/>
    <w:rsid w:val="002D1D7F"/>
    <w:rsid w:val="002D1F36"/>
    <w:rsid w:val="002D209B"/>
    <w:rsid w:val="002D21F4"/>
    <w:rsid w:val="002D2220"/>
    <w:rsid w:val="002D2949"/>
    <w:rsid w:val="002D29A2"/>
    <w:rsid w:val="002D29CF"/>
    <w:rsid w:val="002D2A57"/>
    <w:rsid w:val="002D2AD3"/>
    <w:rsid w:val="002D2D02"/>
    <w:rsid w:val="002D2DA3"/>
    <w:rsid w:val="002D2E4C"/>
    <w:rsid w:val="002D327E"/>
    <w:rsid w:val="002D327F"/>
    <w:rsid w:val="002D3368"/>
    <w:rsid w:val="002D34C7"/>
    <w:rsid w:val="002D3592"/>
    <w:rsid w:val="002D37AD"/>
    <w:rsid w:val="002D3906"/>
    <w:rsid w:val="002D3A18"/>
    <w:rsid w:val="002D3A5A"/>
    <w:rsid w:val="002D3C71"/>
    <w:rsid w:val="002D3CB2"/>
    <w:rsid w:val="002D3F61"/>
    <w:rsid w:val="002D40AF"/>
    <w:rsid w:val="002D4107"/>
    <w:rsid w:val="002D414B"/>
    <w:rsid w:val="002D4167"/>
    <w:rsid w:val="002D42BF"/>
    <w:rsid w:val="002D437C"/>
    <w:rsid w:val="002D43C8"/>
    <w:rsid w:val="002D44AF"/>
    <w:rsid w:val="002D44BA"/>
    <w:rsid w:val="002D4500"/>
    <w:rsid w:val="002D45F6"/>
    <w:rsid w:val="002D4604"/>
    <w:rsid w:val="002D460A"/>
    <w:rsid w:val="002D4878"/>
    <w:rsid w:val="002D49E7"/>
    <w:rsid w:val="002D4BE9"/>
    <w:rsid w:val="002D4FC8"/>
    <w:rsid w:val="002D5015"/>
    <w:rsid w:val="002D512A"/>
    <w:rsid w:val="002D53FF"/>
    <w:rsid w:val="002D5588"/>
    <w:rsid w:val="002D55A0"/>
    <w:rsid w:val="002D5847"/>
    <w:rsid w:val="002D5861"/>
    <w:rsid w:val="002D5986"/>
    <w:rsid w:val="002D5E20"/>
    <w:rsid w:val="002D5E8D"/>
    <w:rsid w:val="002D5EAF"/>
    <w:rsid w:val="002D5EC6"/>
    <w:rsid w:val="002D6009"/>
    <w:rsid w:val="002D6044"/>
    <w:rsid w:val="002D60AB"/>
    <w:rsid w:val="002D617C"/>
    <w:rsid w:val="002D6680"/>
    <w:rsid w:val="002D66A0"/>
    <w:rsid w:val="002D672B"/>
    <w:rsid w:val="002D688C"/>
    <w:rsid w:val="002D68EB"/>
    <w:rsid w:val="002D6924"/>
    <w:rsid w:val="002D6E52"/>
    <w:rsid w:val="002D7129"/>
    <w:rsid w:val="002D72D0"/>
    <w:rsid w:val="002D72E4"/>
    <w:rsid w:val="002D7383"/>
    <w:rsid w:val="002D7650"/>
    <w:rsid w:val="002D7881"/>
    <w:rsid w:val="002D7D02"/>
    <w:rsid w:val="002D7EB6"/>
    <w:rsid w:val="002E0112"/>
    <w:rsid w:val="002E01E8"/>
    <w:rsid w:val="002E02DD"/>
    <w:rsid w:val="002E0326"/>
    <w:rsid w:val="002E067B"/>
    <w:rsid w:val="002E08AE"/>
    <w:rsid w:val="002E08CF"/>
    <w:rsid w:val="002E094C"/>
    <w:rsid w:val="002E098D"/>
    <w:rsid w:val="002E0A3F"/>
    <w:rsid w:val="002E0A64"/>
    <w:rsid w:val="002E0ADB"/>
    <w:rsid w:val="002E0AFD"/>
    <w:rsid w:val="002E0C7D"/>
    <w:rsid w:val="002E0EE9"/>
    <w:rsid w:val="002E11BE"/>
    <w:rsid w:val="002E1228"/>
    <w:rsid w:val="002E126C"/>
    <w:rsid w:val="002E13B4"/>
    <w:rsid w:val="002E16D5"/>
    <w:rsid w:val="002E1B42"/>
    <w:rsid w:val="002E1B80"/>
    <w:rsid w:val="002E1C65"/>
    <w:rsid w:val="002E2176"/>
    <w:rsid w:val="002E2211"/>
    <w:rsid w:val="002E231E"/>
    <w:rsid w:val="002E23EF"/>
    <w:rsid w:val="002E246C"/>
    <w:rsid w:val="002E2498"/>
    <w:rsid w:val="002E2579"/>
    <w:rsid w:val="002E2717"/>
    <w:rsid w:val="002E2756"/>
    <w:rsid w:val="002E2776"/>
    <w:rsid w:val="002E28D9"/>
    <w:rsid w:val="002E29C4"/>
    <w:rsid w:val="002E2AD5"/>
    <w:rsid w:val="002E2B14"/>
    <w:rsid w:val="002E2B66"/>
    <w:rsid w:val="002E2B73"/>
    <w:rsid w:val="002E2BA4"/>
    <w:rsid w:val="002E2CAB"/>
    <w:rsid w:val="002E2E43"/>
    <w:rsid w:val="002E2E64"/>
    <w:rsid w:val="002E311E"/>
    <w:rsid w:val="002E329B"/>
    <w:rsid w:val="002E3330"/>
    <w:rsid w:val="002E33C6"/>
    <w:rsid w:val="002E362B"/>
    <w:rsid w:val="002E3880"/>
    <w:rsid w:val="002E3B4A"/>
    <w:rsid w:val="002E3BA7"/>
    <w:rsid w:val="002E3BE4"/>
    <w:rsid w:val="002E3C4D"/>
    <w:rsid w:val="002E3D56"/>
    <w:rsid w:val="002E3DE7"/>
    <w:rsid w:val="002E3EDB"/>
    <w:rsid w:val="002E3F9E"/>
    <w:rsid w:val="002E442F"/>
    <w:rsid w:val="002E4467"/>
    <w:rsid w:val="002E4568"/>
    <w:rsid w:val="002E46E0"/>
    <w:rsid w:val="002E477F"/>
    <w:rsid w:val="002E48AC"/>
    <w:rsid w:val="002E491D"/>
    <w:rsid w:val="002E492A"/>
    <w:rsid w:val="002E4995"/>
    <w:rsid w:val="002E49B2"/>
    <w:rsid w:val="002E4A60"/>
    <w:rsid w:val="002E4BAD"/>
    <w:rsid w:val="002E4CA9"/>
    <w:rsid w:val="002E4D65"/>
    <w:rsid w:val="002E4EFD"/>
    <w:rsid w:val="002E505C"/>
    <w:rsid w:val="002E51C5"/>
    <w:rsid w:val="002E5217"/>
    <w:rsid w:val="002E5267"/>
    <w:rsid w:val="002E55AC"/>
    <w:rsid w:val="002E5605"/>
    <w:rsid w:val="002E582C"/>
    <w:rsid w:val="002E59B6"/>
    <w:rsid w:val="002E5B29"/>
    <w:rsid w:val="002E5BE3"/>
    <w:rsid w:val="002E5C66"/>
    <w:rsid w:val="002E5E95"/>
    <w:rsid w:val="002E5FA2"/>
    <w:rsid w:val="002E6269"/>
    <w:rsid w:val="002E62E4"/>
    <w:rsid w:val="002E63B3"/>
    <w:rsid w:val="002E67EE"/>
    <w:rsid w:val="002E68F8"/>
    <w:rsid w:val="002E6913"/>
    <w:rsid w:val="002E6960"/>
    <w:rsid w:val="002E6A5C"/>
    <w:rsid w:val="002E6BE6"/>
    <w:rsid w:val="002E6E7B"/>
    <w:rsid w:val="002E6F02"/>
    <w:rsid w:val="002E735B"/>
    <w:rsid w:val="002E777F"/>
    <w:rsid w:val="002E77E1"/>
    <w:rsid w:val="002E77F2"/>
    <w:rsid w:val="002E783F"/>
    <w:rsid w:val="002E7AEA"/>
    <w:rsid w:val="002E7B18"/>
    <w:rsid w:val="002E7B26"/>
    <w:rsid w:val="002E7D1B"/>
    <w:rsid w:val="002E7EAE"/>
    <w:rsid w:val="002E7ED9"/>
    <w:rsid w:val="002F0086"/>
    <w:rsid w:val="002F00C7"/>
    <w:rsid w:val="002F02CA"/>
    <w:rsid w:val="002F0329"/>
    <w:rsid w:val="002F03ED"/>
    <w:rsid w:val="002F041C"/>
    <w:rsid w:val="002F0490"/>
    <w:rsid w:val="002F0610"/>
    <w:rsid w:val="002F08DD"/>
    <w:rsid w:val="002F0BFD"/>
    <w:rsid w:val="002F0C6F"/>
    <w:rsid w:val="002F0CBA"/>
    <w:rsid w:val="002F0DFB"/>
    <w:rsid w:val="002F0EA9"/>
    <w:rsid w:val="002F0FA0"/>
    <w:rsid w:val="002F1057"/>
    <w:rsid w:val="002F11EF"/>
    <w:rsid w:val="002F1252"/>
    <w:rsid w:val="002F125F"/>
    <w:rsid w:val="002F126F"/>
    <w:rsid w:val="002F1365"/>
    <w:rsid w:val="002F1398"/>
    <w:rsid w:val="002F1492"/>
    <w:rsid w:val="002F16DA"/>
    <w:rsid w:val="002F1919"/>
    <w:rsid w:val="002F1B3B"/>
    <w:rsid w:val="002F1DA6"/>
    <w:rsid w:val="002F204E"/>
    <w:rsid w:val="002F2169"/>
    <w:rsid w:val="002F21B7"/>
    <w:rsid w:val="002F2209"/>
    <w:rsid w:val="002F2344"/>
    <w:rsid w:val="002F23C6"/>
    <w:rsid w:val="002F259C"/>
    <w:rsid w:val="002F260F"/>
    <w:rsid w:val="002F2702"/>
    <w:rsid w:val="002F282E"/>
    <w:rsid w:val="002F2839"/>
    <w:rsid w:val="002F2D04"/>
    <w:rsid w:val="002F2D36"/>
    <w:rsid w:val="002F2F8D"/>
    <w:rsid w:val="002F316E"/>
    <w:rsid w:val="002F317C"/>
    <w:rsid w:val="002F31B6"/>
    <w:rsid w:val="002F3249"/>
    <w:rsid w:val="002F34BC"/>
    <w:rsid w:val="002F3529"/>
    <w:rsid w:val="002F35E1"/>
    <w:rsid w:val="002F36D4"/>
    <w:rsid w:val="002F383A"/>
    <w:rsid w:val="002F38B4"/>
    <w:rsid w:val="002F392B"/>
    <w:rsid w:val="002F393C"/>
    <w:rsid w:val="002F3EBB"/>
    <w:rsid w:val="002F3F6E"/>
    <w:rsid w:val="002F40D6"/>
    <w:rsid w:val="002F4114"/>
    <w:rsid w:val="002F440B"/>
    <w:rsid w:val="002F460C"/>
    <w:rsid w:val="002F46A1"/>
    <w:rsid w:val="002F483D"/>
    <w:rsid w:val="002F4AE9"/>
    <w:rsid w:val="002F4BA8"/>
    <w:rsid w:val="002F4BEF"/>
    <w:rsid w:val="002F4CE3"/>
    <w:rsid w:val="002F4D19"/>
    <w:rsid w:val="002F4D1E"/>
    <w:rsid w:val="002F4DB8"/>
    <w:rsid w:val="002F4F3B"/>
    <w:rsid w:val="002F5007"/>
    <w:rsid w:val="002F5046"/>
    <w:rsid w:val="002F50E4"/>
    <w:rsid w:val="002F521A"/>
    <w:rsid w:val="002F527A"/>
    <w:rsid w:val="002F52B1"/>
    <w:rsid w:val="002F56EA"/>
    <w:rsid w:val="002F5865"/>
    <w:rsid w:val="002F5A79"/>
    <w:rsid w:val="002F5AD1"/>
    <w:rsid w:val="002F5E34"/>
    <w:rsid w:val="002F6298"/>
    <w:rsid w:val="002F62D9"/>
    <w:rsid w:val="002F64E4"/>
    <w:rsid w:val="002F656F"/>
    <w:rsid w:val="002F6588"/>
    <w:rsid w:val="002F6879"/>
    <w:rsid w:val="002F6A5D"/>
    <w:rsid w:val="002F6B56"/>
    <w:rsid w:val="002F6CA7"/>
    <w:rsid w:val="002F7277"/>
    <w:rsid w:val="002F73CB"/>
    <w:rsid w:val="002F7432"/>
    <w:rsid w:val="002F7555"/>
    <w:rsid w:val="002F760B"/>
    <w:rsid w:val="002F763A"/>
    <w:rsid w:val="002F7772"/>
    <w:rsid w:val="002F7A52"/>
    <w:rsid w:val="002F7B7B"/>
    <w:rsid w:val="002F7BE8"/>
    <w:rsid w:val="002F7E0F"/>
    <w:rsid w:val="002F7F84"/>
    <w:rsid w:val="003001F8"/>
    <w:rsid w:val="003002CD"/>
    <w:rsid w:val="00300472"/>
    <w:rsid w:val="00300752"/>
    <w:rsid w:val="003009E2"/>
    <w:rsid w:val="00300C43"/>
    <w:rsid w:val="00300C5F"/>
    <w:rsid w:val="00300EE6"/>
    <w:rsid w:val="00301116"/>
    <w:rsid w:val="003012EC"/>
    <w:rsid w:val="003012F3"/>
    <w:rsid w:val="0030134D"/>
    <w:rsid w:val="00301351"/>
    <w:rsid w:val="00301444"/>
    <w:rsid w:val="0030156F"/>
    <w:rsid w:val="003015CF"/>
    <w:rsid w:val="003017F0"/>
    <w:rsid w:val="00301B00"/>
    <w:rsid w:val="00301D8D"/>
    <w:rsid w:val="00301F63"/>
    <w:rsid w:val="00302057"/>
    <w:rsid w:val="00302113"/>
    <w:rsid w:val="003023B6"/>
    <w:rsid w:val="00302406"/>
    <w:rsid w:val="00302697"/>
    <w:rsid w:val="00302735"/>
    <w:rsid w:val="00302763"/>
    <w:rsid w:val="00302786"/>
    <w:rsid w:val="003028DB"/>
    <w:rsid w:val="0030298B"/>
    <w:rsid w:val="003029AF"/>
    <w:rsid w:val="00302ACC"/>
    <w:rsid w:val="00302BBE"/>
    <w:rsid w:val="00302E4E"/>
    <w:rsid w:val="00302F9A"/>
    <w:rsid w:val="003038ED"/>
    <w:rsid w:val="00303D7A"/>
    <w:rsid w:val="00304097"/>
    <w:rsid w:val="0030419D"/>
    <w:rsid w:val="00304375"/>
    <w:rsid w:val="00304468"/>
    <w:rsid w:val="003045E1"/>
    <w:rsid w:val="00304698"/>
    <w:rsid w:val="00304864"/>
    <w:rsid w:val="003049D6"/>
    <w:rsid w:val="00304ACB"/>
    <w:rsid w:val="00304ACC"/>
    <w:rsid w:val="00304D7E"/>
    <w:rsid w:val="00304DA6"/>
    <w:rsid w:val="00304DAE"/>
    <w:rsid w:val="00304EAF"/>
    <w:rsid w:val="00304EB2"/>
    <w:rsid w:val="00304F67"/>
    <w:rsid w:val="00305006"/>
    <w:rsid w:val="0030511E"/>
    <w:rsid w:val="00305161"/>
    <w:rsid w:val="003053B3"/>
    <w:rsid w:val="00305636"/>
    <w:rsid w:val="0030571A"/>
    <w:rsid w:val="003059CF"/>
    <w:rsid w:val="00305AF1"/>
    <w:rsid w:val="00305D3A"/>
    <w:rsid w:val="00305E9F"/>
    <w:rsid w:val="00305F1D"/>
    <w:rsid w:val="00305F85"/>
    <w:rsid w:val="00305F89"/>
    <w:rsid w:val="0030615A"/>
    <w:rsid w:val="00306178"/>
    <w:rsid w:val="0030622C"/>
    <w:rsid w:val="003063F8"/>
    <w:rsid w:val="003064A3"/>
    <w:rsid w:val="0030666E"/>
    <w:rsid w:val="0030667C"/>
    <w:rsid w:val="00306926"/>
    <w:rsid w:val="0030693A"/>
    <w:rsid w:val="00306942"/>
    <w:rsid w:val="00306B38"/>
    <w:rsid w:val="00306CB1"/>
    <w:rsid w:val="00306FCD"/>
    <w:rsid w:val="00307015"/>
    <w:rsid w:val="0030739A"/>
    <w:rsid w:val="003076C6"/>
    <w:rsid w:val="003076C8"/>
    <w:rsid w:val="003078FA"/>
    <w:rsid w:val="00307952"/>
    <w:rsid w:val="00307990"/>
    <w:rsid w:val="00307A0A"/>
    <w:rsid w:val="00307B6C"/>
    <w:rsid w:val="00307C33"/>
    <w:rsid w:val="00307CBB"/>
    <w:rsid w:val="00307E32"/>
    <w:rsid w:val="00307E48"/>
    <w:rsid w:val="00307E64"/>
    <w:rsid w:val="00307F4F"/>
    <w:rsid w:val="00307F98"/>
    <w:rsid w:val="00310007"/>
    <w:rsid w:val="0031001A"/>
    <w:rsid w:val="0031013F"/>
    <w:rsid w:val="003102D6"/>
    <w:rsid w:val="003103F6"/>
    <w:rsid w:val="00310663"/>
    <w:rsid w:val="003106FB"/>
    <w:rsid w:val="003107DA"/>
    <w:rsid w:val="003108CF"/>
    <w:rsid w:val="00310B83"/>
    <w:rsid w:val="00310BAD"/>
    <w:rsid w:val="00310D37"/>
    <w:rsid w:val="00310D67"/>
    <w:rsid w:val="00310DE9"/>
    <w:rsid w:val="00310F82"/>
    <w:rsid w:val="0031132F"/>
    <w:rsid w:val="00311681"/>
    <w:rsid w:val="00311697"/>
    <w:rsid w:val="0031171E"/>
    <w:rsid w:val="0031186B"/>
    <w:rsid w:val="003118BB"/>
    <w:rsid w:val="00311C0F"/>
    <w:rsid w:val="00311D12"/>
    <w:rsid w:val="00311E4F"/>
    <w:rsid w:val="00311EE5"/>
    <w:rsid w:val="003121F5"/>
    <w:rsid w:val="00312226"/>
    <w:rsid w:val="003125B3"/>
    <w:rsid w:val="003125B4"/>
    <w:rsid w:val="003128D1"/>
    <w:rsid w:val="0031298D"/>
    <w:rsid w:val="00312999"/>
    <w:rsid w:val="00312A78"/>
    <w:rsid w:val="00312BC9"/>
    <w:rsid w:val="00312C89"/>
    <w:rsid w:val="00312CE4"/>
    <w:rsid w:val="00313033"/>
    <w:rsid w:val="0031340D"/>
    <w:rsid w:val="00313578"/>
    <w:rsid w:val="00313816"/>
    <w:rsid w:val="00313818"/>
    <w:rsid w:val="00313856"/>
    <w:rsid w:val="00313C20"/>
    <w:rsid w:val="00313D4A"/>
    <w:rsid w:val="00313E2D"/>
    <w:rsid w:val="0031418C"/>
    <w:rsid w:val="003142CA"/>
    <w:rsid w:val="00314357"/>
    <w:rsid w:val="003145E5"/>
    <w:rsid w:val="003146F7"/>
    <w:rsid w:val="003146FA"/>
    <w:rsid w:val="0031497F"/>
    <w:rsid w:val="00314CC6"/>
    <w:rsid w:val="00314E42"/>
    <w:rsid w:val="00314FEB"/>
    <w:rsid w:val="00315069"/>
    <w:rsid w:val="003152A3"/>
    <w:rsid w:val="0031549F"/>
    <w:rsid w:val="00315541"/>
    <w:rsid w:val="00315602"/>
    <w:rsid w:val="00315751"/>
    <w:rsid w:val="0031584A"/>
    <w:rsid w:val="00315A24"/>
    <w:rsid w:val="00315C1F"/>
    <w:rsid w:val="00315CCB"/>
    <w:rsid w:val="00315D30"/>
    <w:rsid w:val="00315D4E"/>
    <w:rsid w:val="00315DE9"/>
    <w:rsid w:val="00315DF3"/>
    <w:rsid w:val="00315F8A"/>
    <w:rsid w:val="00315FBB"/>
    <w:rsid w:val="00315FC9"/>
    <w:rsid w:val="003161A4"/>
    <w:rsid w:val="0031621A"/>
    <w:rsid w:val="00316437"/>
    <w:rsid w:val="00316558"/>
    <w:rsid w:val="003165AB"/>
    <w:rsid w:val="0031665E"/>
    <w:rsid w:val="00316769"/>
    <w:rsid w:val="00316870"/>
    <w:rsid w:val="0031692D"/>
    <w:rsid w:val="00316992"/>
    <w:rsid w:val="00316A60"/>
    <w:rsid w:val="00316C0F"/>
    <w:rsid w:val="00316CC6"/>
    <w:rsid w:val="00316DFB"/>
    <w:rsid w:val="00316F49"/>
    <w:rsid w:val="00317049"/>
    <w:rsid w:val="003172BC"/>
    <w:rsid w:val="0031755F"/>
    <w:rsid w:val="0031757C"/>
    <w:rsid w:val="00317AA3"/>
    <w:rsid w:val="00317B25"/>
    <w:rsid w:val="00317CBE"/>
    <w:rsid w:val="00317DB2"/>
    <w:rsid w:val="00317DD8"/>
    <w:rsid w:val="00317F5E"/>
    <w:rsid w:val="00320179"/>
    <w:rsid w:val="003201BF"/>
    <w:rsid w:val="003202C5"/>
    <w:rsid w:val="0032033D"/>
    <w:rsid w:val="00320506"/>
    <w:rsid w:val="00320611"/>
    <w:rsid w:val="00320791"/>
    <w:rsid w:val="00320A94"/>
    <w:rsid w:val="00320C17"/>
    <w:rsid w:val="00320C52"/>
    <w:rsid w:val="00320E3B"/>
    <w:rsid w:val="00320E6F"/>
    <w:rsid w:val="00320F24"/>
    <w:rsid w:val="0032108F"/>
    <w:rsid w:val="003211CA"/>
    <w:rsid w:val="0032134C"/>
    <w:rsid w:val="00321351"/>
    <w:rsid w:val="003213AA"/>
    <w:rsid w:val="003216D5"/>
    <w:rsid w:val="0032184B"/>
    <w:rsid w:val="003218E7"/>
    <w:rsid w:val="0032198B"/>
    <w:rsid w:val="003219E0"/>
    <w:rsid w:val="00321B23"/>
    <w:rsid w:val="00321BC9"/>
    <w:rsid w:val="00321C09"/>
    <w:rsid w:val="00321DDA"/>
    <w:rsid w:val="00321E18"/>
    <w:rsid w:val="00321E25"/>
    <w:rsid w:val="00322153"/>
    <w:rsid w:val="003221C3"/>
    <w:rsid w:val="00322487"/>
    <w:rsid w:val="003224FC"/>
    <w:rsid w:val="003225D9"/>
    <w:rsid w:val="00322643"/>
    <w:rsid w:val="00322B00"/>
    <w:rsid w:val="00322B32"/>
    <w:rsid w:val="00322D2B"/>
    <w:rsid w:val="00322E9E"/>
    <w:rsid w:val="00322F1B"/>
    <w:rsid w:val="00322FF1"/>
    <w:rsid w:val="00323100"/>
    <w:rsid w:val="00323312"/>
    <w:rsid w:val="00323613"/>
    <w:rsid w:val="00323719"/>
    <w:rsid w:val="003238AB"/>
    <w:rsid w:val="00323911"/>
    <w:rsid w:val="00323ACA"/>
    <w:rsid w:val="00323C83"/>
    <w:rsid w:val="00323C8F"/>
    <w:rsid w:val="00323CE7"/>
    <w:rsid w:val="00323DD7"/>
    <w:rsid w:val="00323F3E"/>
    <w:rsid w:val="00324301"/>
    <w:rsid w:val="0032435C"/>
    <w:rsid w:val="003247E0"/>
    <w:rsid w:val="003247F1"/>
    <w:rsid w:val="00324896"/>
    <w:rsid w:val="00324BC2"/>
    <w:rsid w:val="00324BDB"/>
    <w:rsid w:val="00324BEF"/>
    <w:rsid w:val="00324D7F"/>
    <w:rsid w:val="00324DEE"/>
    <w:rsid w:val="003251EA"/>
    <w:rsid w:val="003253C1"/>
    <w:rsid w:val="003255C5"/>
    <w:rsid w:val="003255F2"/>
    <w:rsid w:val="003256A0"/>
    <w:rsid w:val="00325B35"/>
    <w:rsid w:val="00325D01"/>
    <w:rsid w:val="00325D0E"/>
    <w:rsid w:val="00325DE9"/>
    <w:rsid w:val="00325EA5"/>
    <w:rsid w:val="00326678"/>
    <w:rsid w:val="0032667D"/>
    <w:rsid w:val="00326964"/>
    <w:rsid w:val="00326C7A"/>
    <w:rsid w:val="00326CA9"/>
    <w:rsid w:val="00326D13"/>
    <w:rsid w:val="00326D54"/>
    <w:rsid w:val="00326DCF"/>
    <w:rsid w:val="00326EF7"/>
    <w:rsid w:val="0032739D"/>
    <w:rsid w:val="00327437"/>
    <w:rsid w:val="003274FF"/>
    <w:rsid w:val="00327510"/>
    <w:rsid w:val="00327518"/>
    <w:rsid w:val="00327772"/>
    <w:rsid w:val="0032798A"/>
    <w:rsid w:val="00327D4D"/>
    <w:rsid w:val="00327EF3"/>
    <w:rsid w:val="003280C7"/>
    <w:rsid w:val="0033003A"/>
    <w:rsid w:val="0033010C"/>
    <w:rsid w:val="003301C4"/>
    <w:rsid w:val="003301C5"/>
    <w:rsid w:val="00330241"/>
    <w:rsid w:val="0033024B"/>
    <w:rsid w:val="003303AF"/>
    <w:rsid w:val="0033044C"/>
    <w:rsid w:val="00330483"/>
    <w:rsid w:val="00330582"/>
    <w:rsid w:val="0033059E"/>
    <w:rsid w:val="003305E9"/>
    <w:rsid w:val="0033072C"/>
    <w:rsid w:val="00330938"/>
    <w:rsid w:val="00330B80"/>
    <w:rsid w:val="00330C05"/>
    <w:rsid w:val="00330C3F"/>
    <w:rsid w:val="00330CBF"/>
    <w:rsid w:val="00330CE2"/>
    <w:rsid w:val="00330E45"/>
    <w:rsid w:val="00330FBC"/>
    <w:rsid w:val="00331216"/>
    <w:rsid w:val="00331280"/>
    <w:rsid w:val="00331315"/>
    <w:rsid w:val="0033144F"/>
    <w:rsid w:val="003315FD"/>
    <w:rsid w:val="003316C1"/>
    <w:rsid w:val="00331742"/>
    <w:rsid w:val="003317B5"/>
    <w:rsid w:val="0033184A"/>
    <w:rsid w:val="00331925"/>
    <w:rsid w:val="00331A9D"/>
    <w:rsid w:val="00331B51"/>
    <w:rsid w:val="00331B91"/>
    <w:rsid w:val="00331E55"/>
    <w:rsid w:val="00331EFE"/>
    <w:rsid w:val="00331F84"/>
    <w:rsid w:val="0033214D"/>
    <w:rsid w:val="00332191"/>
    <w:rsid w:val="00332261"/>
    <w:rsid w:val="0033235D"/>
    <w:rsid w:val="003324B9"/>
    <w:rsid w:val="00332513"/>
    <w:rsid w:val="003325F4"/>
    <w:rsid w:val="003327F6"/>
    <w:rsid w:val="0033293C"/>
    <w:rsid w:val="00332956"/>
    <w:rsid w:val="00332E87"/>
    <w:rsid w:val="00332F72"/>
    <w:rsid w:val="00332F9B"/>
    <w:rsid w:val="00332FD4"/>
    <w:rsid w:val="0033300D"/>
    <w:rsid w:val="003330AB"/>
    <w:rsid w:val="00333119"/>
    <w:rsid w:val="0033321C"/>
    <w:rsid w:val="003333DD"/>
    <w:rsid w:val="00333563"/>
    <w:rsid w:val="00333685"/>
    <w:rsid w:val="003336D1"/>
    <w:rsid w:val="003336E4"/>
    <w:rsid w:val="00333707"/>
    <w:rsid w:val="0033370D"/>
    <w:rsid w:val="00333940"/>
    <w:rsid w:val="00333964"/>
    <w:rsid w:val="003339DD"/>
    <w:rsid w:val="00333B3E"/>
    <w:rsid w:val="00333DA6"/>
    <w:rsid w:val="00333DAA"/>
    <w:rsid w:val="00333E9B"/>
    <w:rsid w:val="00334091"/>
    <w:rsid w:val="0033414C"/>
    <w:rsid w:val="00334191"/>
    <w:rsid w:val="003341C3"/>
    <w:rsid w:val="003342AB"/>
    <w:rsid w:val="0033437B"/>
    <w:rsid w:val="00334428"/>
    <w:rsid w:val="0033448B"/>
    <w:rsid w:val="003344AA"/>
    <w:rsid w:val="0033454F"/>
    <w:rsid w:val="003345A9"/>
    <w:rsid w:val="003348FB"/>
    <w:rsid w:val="00334929"/>
    <w:rsid w:val="00334A29"/>
    <w:rsid w:val="00334BE0"/>
    <w:rsid w:val="00334CF4"/>
    <w:rsid w:val="00334F0A"/>
    <w:rsid w:val="00334FBF"/>
    <w:rsid w:val="00335083"/>
    <w:rsid w:val="0033517F"/>
    <w:rsid w:val="00335415"/>
    <w:rsid w:val="00335450"/>
    <w:rsid w:val="0033550A"/>
    <w:rsid w:val="003356CC"/>
    <w:rsid w:val="003356DA"/>
    <w:rsid w:val="00335743"/>
    <w:rsid w:val="003357B6"/>
    <w:rsid w:val="00335BEC"/>
    <w:rsid w:val="00335CF6"/>
    <w:rsid w:val="00335D74"/>
    <w:rsid w:val="00335DDB"/>
    <w:rsid w:val="00335E8A"/>
    <w:rsid w:val="003360FB"/>
    <w:rsid w:val="003361DE"/>
    <w:rsid w:val="00336237"/>
    <w:rsid w:val="00336282"/>
    <w:rsid w:val="003362FC"/>
    <w:rsid w:val="00336332"/>
    <w:rsid w:val="003363F1"/>
    <w:rsid w:val="003366B9"/>
    <w:rsid w:val="0033679A"/>
    <w:rsid w:val="00336832"/>
    <w:rsid w:val="003368B6"/>
    <w:rsid w:val="00336AC5"/>
    <w:rsid w:val="00336BD6"/>
    <w:rsid w:val="00336BDC"/>
    <w:rsid w:val="00336D30"/>
    <w:rsid w:val="00336E9B"/>
    <w:rsid w:val="00336EE9"/>
    <w:rsid w:val="00336FFB"/>
    <w:rsid w:val="0033701E"/>
    <w:rsid w:val="00337028"/>
    <w:rsid w:val="00337214"/>
    <w:rsid w:val="00337310"/>
    <w:rsid w:val="00337497"/>
    <w:rsid w:val="003377A7"/>
    <w:rsid w:val="003378DA"/>
    <w:rsid w:val="003379B5"/>
    <w:rsid w:val="00337C23"/>
    <w:rsid w:val="00337C2B"/>
    <w:rsid w:val="00337C81"/>
    <w:rsid w:val="00337DEA"/>
    <w:rsid w:val="00337FBA"/>
    <w:rsid w:val="003400A1"/>
    <w:rsid w:val="00340213"/>
    <w:rsid w:val="0034027B"/>
    <w:rsid w:val="003405FE"/>
    <w:rsid w:val="003406F8"/>
    <w:rsid w:val="0034077F"/>
    <w:rsid w:val="00340AF4"/>
    <w:rsid w:val="00340C96"/>
    <w:rsid w:val="00340E28"/>
    <w:rsid w:val="00340F81"/>
    <w:rsid w:val="0034104E"/>
    <w:rsid w:val="003410A4"/>
    <w:rsid w:val="00341128"/>
    <w:rsid w:val="00341237"/>
    <w:rsid w:val="0034154A"/>
    <w:rsid w:val="00341B62"/>
    <w:rsid w:val="00341BF3"/>
    <w:rsid w:val="00341C20"/>
    <w:rsid w:val="00341C22"/>
    <w:rsid w:val="00341CDE"/>
    <w:rsid w:val="00341DA6"/>
    <w:rsid w:val="00341E84"/>
    <w:rsid w:val="00341F0C"/>
    <w:rsid w:val="00341FB2"/>
    <w:rsid w:val="00342131"/>
    <w:rsid w:val="003422DC"/>
    <w:rsid w:val="003422FD"/>
    <w:rsid w:val="00342636"/>
    <w:rsid w:val="003426B1"/>
    <w:rsid w:val="00342954"/>
    <w:rsid w:val="0034297A"/>
    <w:rsid w:val="00342B42"/>
    <w:rsid w:val="00342BDE"/>
    <w:rsid w:val="00342C22"/>
    <w:rsid w:val="00342C36"/>
    <w:rsid w:val="00342E62"/>
    <w:rsid w:val="00342ECA"/>
    <w:rsid w:val="00342EEF"/>
    <w:rsid w:val="00342F94"/>
    <w:rsid w:val="00342FBF"/>
    <w:rsid w:val="0034320A"/>
    <w:rsid w:val="0034355A"/>
    <w:rsid w:val="003436DC"/>
    <w:rsid w:val="00343723"/>
    <w:rsid w:val="003437FC"/>
    <w:rsid w:val="00343896"/>
    <w:rsid w:val="003438A7"/>
    <w:rsid w:val="003438F4"/>
    <w:rsid w:val="0034396F"/>
    <w:rsid w:val="00343A43"/>
    <w:rsid w:val="00343C73"/>
    <w:rsid w:val="00343E7F"/>
    <w:rsid w:val="00343F3F"/>
    <w:rsid w:val="00343F4B"/>
    <w:rsid w:val="003440FB"/>
    <w:rsid w:val="003442C3"/>
    <w:rsid w:val="00344348"/>
    <w:rsid w:val="003444DF"/>
    <w:rsid w:val="003444E3"/>
    <w:rsid w:val="00344770"/>
    <w:rsid w:val="00344773"/>
    <w:rsid w:val="0034478F"/>
    <w:rsid w:val="003448CC"/>
    <w:rsid w:val="00344A73"/>
    <w:rsid w:val="00344B47"/>
    <w:rsid w:val="00344B4F"/>
    <w:rsid w:val="00344B69"/>
    <w:rsid w:val="00344C94"/>
    <w:rsid w:val="00344DD5"/>
    <w:rsid w:val="00344E38"/>
    <w:rsid w:val="00344EF1"/>
    <w:rsid w:val="00344EF5"/>
    <w:rsid w:val="00344FB8"/>
    <w:rsid w:val="0034525D"/>
    <w:rsid w:val="00345654"/>
    <w:rsid w:val="00345656"/>
    <w:rsid w:val="00345715"/>
    <w:rsid w:val="0034588B"/>
    <w:rsid w:val="003459D3"/>
    <w:rsid w:val="00345C4B"/>
    <w:rsid w:val="00345DA9"/>
    <w:rsid w:val="00345FD3"/>
    <w:rsid w:val="00346034"/>
    <w:rsid w:val="00346102"/>
    <w:rsid w:val="00346124"/>
    <w:rsid w:val="00346164"/>
    <w:rsid w:val="003461C9"/>
    <w:rsid w:val="00346276"/>
    <w:rsid w:val="00346381"/>
    <w:rsid w:val="0034647E"/>
    <w:rsid w:val="003464A4"/>
    <w:rsid w:val="0034656C"/>
    <w:rsid w:val="0034671E"/>
    <w:rsid w:val="0034678F"/>
    <w:rsid w:val="00346853"/>
    <w:rsid w:val="00346A72"/>
    <w:rsid w:val="00346A8A"/>
    <w:rsid w:val="00346B69"/>
    <w:rsid w:val="00346D71"/>
    <w:rsid w:val="00346DFD"/>
    <w:rsid w:val="00346F74"/>
    <w:rsid w:val="0034700A"/>
    <w:rsid w:val="00347127"/>
    <w:rsid w:val="0034752F"/>
    <w:rsid w:val="003475E8"/>
    <w:rsid w:val="0034766B"/>
    <w:rsid w:val="0034766D"/>
    <w:rsid w:val="003478C2"/>
    <w:rsid w:val="00347A9C"/>
    <w:rsid w:val="00347AB4"/>
    <w:rsid w:val="00347BE6"/>
    <w:rsid w:val="00347C50"/>
    <w:rsid w:val="00347CC9"/>
    <w:rsid w:val="00347D25"/>
    <w:rsid w:val="00347D5F"/>
    <w:rsid w:val="00347DA9"/>
    <w:rsid w:val="00347E31"/>
    <w:rsid w:val="00350079"/>
    <w:rsid w:val="0035010A"/>
    <w:rsid w:val="0035014D"/>
    <w:rsid w:val="003503B5"/>
    <w:rsid w:val="003503E1"/>
    <w:rsid w:val="00350556"/>
    <w:rsid w:val="003505B1"/>
    <w:rsid w:val="00350633"/>
    <w:rsid w:val="0035089F"/>
    <w:rsid w:val="00350AC6"/>
    <w:rsid w:val="00350BD1"/>
    <w:rsid w:val="00350C8B"/>
    <w:rsid w:val="00350FA9"/>
    <w:rsid w:val="003511C9"/>
    <w:rsid w:val="00351328"/>
    <w:rsid w:val="0035161C"/>
    <w:rsid w:val="0035163E"/>
    <w:rsid w:val="0035184A"/>
    <w:rsid w:val="003518DB"/>
    <w:rsid w:val="0035190B"/>
    <w:rsid w:val="00351979"/>
    <w:rsid w:val="00351B4D"/>
    <w:rsid w:val="00351B7C"/>
    <w:rsid w:val="00351BB9"/>
    <w:rsid w:val="00351C0A"/>
    <w:rsid w:val="00351D3B"/>
    <w:rsid w:val="00351D7A"/>
    <w:rsid w:val="00352188"/>
    <w:rsid w:val="0035256F"/>
    <w:rsid w:val="003525CE"/>
    <w:rsid w:val="00352702"/>
    <w:rsid w:val="0035281B"/>
    <w:rsid w:val="00352823"/>
    <w:rsid w:val="00352978"/>
    <w:rsid w:val="00352985"/>
    <w:rsid w:val="00352B2F"/>
    <w:rsid w:val="00352C75"/>
    <w:rsid w:val="00352E8E"/>
    <w:rsid w:val="00352F1D"/>
    <w:rsid w:val="00352F4A"/>
    <w:rsid w:val="00352F70"/>
    <w:rsid w:val="00353118"/>
    <w:rsid w:val="0035314D"/>
    <w:rsid w:val="003531F8"/>
    <w:rsid w:val="00353234"/>
    <w:rsid w:val="0035326E"/>
    <w:rsid w:val="00353296"/>
    <w:rsid w:val="003533D6"/>
    <w:rsid w:val="00353547"/>
    <w:rsid w:val="00353857"/>
    <w:rsid w:val="0035385D"/>
    <w:rsid w:val="0035387A"/>
    <w:rsid w:val="00353976"/>
    <w:rsid w:val="00353B4C"/>
    <w:rsid w:val="00353D7D"/>
    <w:rsid w:val="00353E7B"/>
    <w:rsid w:val="00353E90"/>
    <w:rsid w:val="00353F8A"/>
    <w:rsid w:val="00354215"/>
    <w:rsid w:val="0035422B"/>
    <w:rsid w:val="003542B9"/>
    <w:rsid w:val="003542E6"/>
    <w:rsid w:val="00354631"/>
    <w:rsid w:val="003546CB"/>
    <w:rsid w:val="0035477D"/>
    <w:rsid w:val="00354870"/>
    <w:rsid w:val="003548C3"/>
    <w:rsid w:val="00354900"/>
    <w:rsid w:val="00354A7C"/>
    <w:rsid w:val="00354B19"/>
    <w:rsid w:val="00354C34"/>
    <w:rsid w:val="00354C54"/>
    <w:rsid w:val="00354D0E"/>
    <w:rsid w:val="00354E65"/>
    <w:rsid w:val="00354F2A"/>
    <w:rsid w:val="003550BE"/>
    <w:rsid w:val="0035512F"/>
    <w:rsid w:val="003551C6"/>
    <w:rsid w:val="003551F0"/>
    <w:rsid w:val="0035581E"/>
    <w:rsid w:val="0035586D"/>
    <w:rsid w:val="00355A06"/>
    <w:rsid w:val="00355A48"/>
    <w:rsid w:val="00355AC4"/>
    <w:rsid w:val="00355CF4"/>
    <w:rsid w:val="00355F64"/>
    <w:rsid w:val="00355F67"/>
    <w:rsid w:val="00355FE6"/>
    <w:rsid w:val="0035657A"/>
    <w:rsid w:val="003565F4"/>
    <w:rsid w:val="00356804"/>
    <w:rsid w:val="003568B0"/>
    <w:rsid w:val="00356D75"/>
    <w:rsid w:val="00356DF9"/>
    <w:rsid w:val="00356E4F"/>
    <w:rsid w:val="00356F7E"/>
    <w:rsid w:val="003570FE"/>
    <w:rsid w:val="0035741F"/>
    <w:rsid w:val="0035747B"/>
    <w:rsid w:val="0035747F"/>
    <w:rsid w:val="0035770C"/>
    <w:rsid w:val="00357AC1"/>
    <w:rsid w:val="00357C73"/>
    <w:rsid w:val="00357EA7"/>
    <w:rsid w:val="00360007"/>
    <w:rsid w:val="00360050"/>
    <w:rsid w:val="00360122"/>
    <w:rsid w:val="00360232"/>
    <w:rsid w:val="003604E6"/>
    <w:rsid w:val="003604EC"/>
    <w:rsid w:val="00360579"/>
    <w:rsid w:val="003606D9"/>
    <w:rsid w:val="003607C2"/>
    <w:rsid w:val="0036080C"/>
    <w:rsid w:val="00360854"/>
    <w:rsid w:val="00360A09"/>
    <w:rsid w:val="00360A7B"/>
    <w:rsid w:val="00360C97"/>
    <w:rsid w:val="00360D0C"/>
    <w:rsid w:val="00360EBC"/>
    <w:rsid w:val="003614F8"/>
    <w:rsid w:val="003615C7"/>
    <w:rsid w:val="00361623"/>
    <w:rsid w:val="00361A32"/>
    <w:rsid w:val="00361AB2"/>
    <w:rsid w:val="00361C3F"/>
    <w:rsid w:val="00361CEC"/>
    <w:rsid w:val="00361E90"/>
    <w:rsid w:val="00361FE2"/>
    <w:rsid w:val="00362135"/>
    <w:rsid w:val="00362367"/>
    <w:rsid w:val="003623C8"/>
    <w:rsid w:val="003625A6"/>
    <w:rsid w:val="003625B9"/>
    <w:rsid w:val="003625EB"/>
    <w:rsid w:val="00362616"/>
    <w:rsid w:val="00362774"/>
    <w:rsid w:val="003627C3"/>
    <w:rsid w:val="003627F8"/>
    <w:rsid w:val="00362B61"/>
    <w:rsid w:val="00362DB4"/>
    <w:rsid w:val="00362E0F"/>
    <w:rsid w:val="00362F56"/>
    <w:rsid w:val="00362F99"/>
    <w:rsid w:val="0036355F"/>
    <w:rsid w:val="00363613"/>
    <w:rsid w:val="00363B53"/>
    <w:rsid w:val="00364141"/>
    <w:rsid w:val="003641E0"/>
    <w:rsid w:val="003642A4"/>
    <w:rsid w:val="00364483"/>
    <w:rsid w:val="00364592"/>
    <w:rsid w:val="0036459A"/>
    <w:rsid w:val="0036459E"/>
    <w:rsid w:val="003645C2"/>
    <w:rsid w:val="003646A0"/>
    <w:rsid w:val="00364793"/>
    <w:rsid w:val="003647FC"/>
    <w:rsid w:val="00364AE8"/>
    <w:rsid w:val="00364BD8"/>
    <w:rsid w:val="00364D50"/>
    <w:rsid w:val="00364D85"/>
    <w:rsid w:val="00364E7E"/>
    <w:rsid w:val="00364F2A"/>
    <w:rsid w:val="00364FAF"/>
    <w:rsid w:val="003650B8"/>
    <w:rsid w:val="00365182"/>
    <w:rsid w:val="003652A6"/>
    <w:rsid w:val="0036538C"/>
    <w:rsid w:val="003654A6"/>
    <w:rsid w:val="00365599"/>
    <w:rsid w:val="00365BA8"/>
    <w:rsid w:val="00365CDC"/>
    <w:rsid w:val="00366050"/>
    <w:rsid w:val="0036610A"/>
    <w:rsid w:val="003661C7"/>
    <w:rsid w:val="00366338"/>
    <w:rsid w:val="00366377"/>
    <w:rsid w:val="00366385"/>
    <w:rsid w:val="003664BB"/>
    <w:rsid w:val="003665B0"/>
    <w:rsid w:val="003666F3"/>
    <w:rsid w:val="00366730"/>
    <w:rsid w:val="003667EF"/>
    <w:rsid w:val="003668AD"/>
    <w:rsid w:val="00366933"/>
    <w:rsid w:val="0036693C"/>
    <w:rsid w:val="003669A6"/>
    <w:rsid w:val="00366A21"/>
    <w:rsid w:val="00366D9E"/>
    <w:rsid w:val="00366F11"/>
    <w:rsid w:val="00366F6A"/>
    <w:rsid w:val="00367156"/>
    <w:rsid w:val="00367322"/>
    <w:rsid w:val="003677B3"/>
    <w:rsid w:val="003678D8"/>
    <w:rsid w:val="00367935"/>
    <w:rsid w:val="00367A9E"/>
    <w:rsid w:val="00367F6F"/>
    <w:rsid w:val="00367FA1"/>
    <w:rsid w:val="0037017E"/>
    <w:rsid w:val="00370185"/>
    <w:rsid w:val="003701BC"/>
    <w:rsid w:val="003701FC"/>
    <w:rsid w:val="003702BB"/>
    <w:rsid w:val="003704A2"/>
    <w:rsid w:val="003704B7"/>
    <w:rsid w:val="0037056C"/>
    <w:rsid w:val="003706EC"/>
    <w:rsid w:val="003707E4"/>
    <w:rsid w:val="003708CF"/>
    <w:rsid w:val="003708EF"/>
    <w:rsid w:val="003709CF"/>
    <w:rsid w:val="00370B64"/>
    <w:rsid w:val="00370F9C"/>
    <w:rsid w:val="003710C2"/>
    <w:rsid w:val="003710DF"/>
    <w:rsid w:val="00371107"/>
    <w:rsid w:val="00371166"/>
    <w:rsid w:val="003713DA"/>
    <w:rsid w:val="00371485"/>
    <w:rsid w:val="00371494"/>
    <w:rsid w:val="00371558"/>
    <w:rsid w:val="0037195F"/>
    <w:rsid w:val="00371AC9"/>
    <w:rsid w:val="00371D40"/>
    <w:rsid w:val="00371D71"/>
    <w:rsid w:val="00371EA9"/>
    <w:rsid w:val="00371F47"/>
    <w:rsid w:val="00371F8F"/>
    <w:rsid w:val="00372282"/>
    <w:rsid w:val="00372296"/>
    <w:rsid w:val="003722B0"/>
    <w:rsid w:val="00372426"/>
    <w:rsid w:val="00372441"/>
    <w:rsid w:val="003726E9"/>
    <w:rsid w:val="00372811"/>
    <w:rsid w:val="00372828"/>
    <w:rsid w:val="003729CB"/>
    <w:rsid w:val="00372E25"/>
    <w:rsid w:val="00372E62"/>
    <w:rsid w:val="00372EB8"/>
    <w:rsid w:val="00372F08"/>
    <w:rsid w:val="003730B9"/>
    <w:rsid w:val="003732ED"/>
    <w:rsid w:val="003734C2"/>
    <w:rsid w:val="00373782"/>
    <w:rsid w:val="00373819"/>
    <w:rsid w:val="00373917"/>
    <w:rsid w:val="0037394A"/>
    <w:rsid w:val="00373C0E"/>
    <w:rsid w:val="00373D6C"/>
    <w:rsid w:val="00373DC6"/>
    <w:rsid w:val="003741B9"/>
    <w:rsid w:val="00374205"/>
    <w:rsid w:val="003742CF"/>
    <w:rsid w:val="0037444D"/>
    <w:rsid w:val="003745EE"/>
    <w:rsid w:val="00374681"/>
    <w:rsid w:val="00374743"/>
    <w:rsid w:val="003748C6"/>
    <w:rsid w:val="00374920"/>
    <w:rsid w:val="00374978"/>
    <w:rsid w:val="00374991"/>
    <w:rsid w:val="003749E6"/>
    <w:rsid w:val="00374B30"/>
    <w:rsid w:val="00374B4C"/>
    <w:rsid w:val="003750DA"/>
    <w:rsid w:val="003751E4"/>
    <w:rsid w:val="00375277"/>
    <w:rsid w:val="00375351"/>
    <w:rsid w:val="003754E4"/>
    <w:rsid w:val="0037557F"/>
    <w:rsid w:val="00375C5D"/>
    <w:rsid w:val="00375D68"/>
    <w:rsid w:val="00375E54"/>
    <w:rsid w:val="00375F2C"/>
    <w:rsid w:val="00376184"/>
    <w:rsid w:val="00376627"/>
    <w:rsid w:val="00376727"/>
    <w:rsid w:val="00376738"/>
    <w:rsid w:val="0037673C"/>
    <w:rsid w:val="003767A6"/>
    <w:rsid w:val="003767FB"/>
    <w:rsid w:val="00376896"/>
    <w:rsid w:val="00376964"/>
    <w:rsid w:val="00376968"/>
    <w:rsid w:val="0037699F"/>
    <w:rsid w:val="00376AC7"/>
    <w:rsid w:val="00376B05"/>
    <w:rsid w:val="00376B50"/>
    <w:rsid w:val="00376EA9"/>
    <w:rsid w:val="00377028"/>
    <w:rsid w:val="003770CB"/>
    <w:rsid w:val="00377351"/>
    <w:rsid w:val="003774B5"/>
    <w:rsid w:val="003774C6"/>
    <w:rsid w:val="00377902"/>
    <w:rsid w:val="00377912"/>
    <w:rsid w:val="00377A17"/>
    <w:rsid w:val="00377A94"/>
    <w:rsid w:val="00377D76"/>
    <w:rsid w:val="00377DFD"/>
    <w:rsid w:val="00377E0F"/>
    <w:rsid w:val="003800AE"/>
    <w:rsid w:val="00380393"/>
    <w:rsid w:val="00380706"/>
    <w:rsid w:val="003807F9"/>
    <w:rsid w:val="003808C9"/>
    <w:rsid w:val="003808D4"/>
    <w:rsid w:val="00380971"/>
    <w:rsid w:val="00380987"/>
    <w:rsid w:val="00380B0B"/>
    <w:rsid w:val="00380C42"/>
    <w:rsid w:val="00380CC5"/>
    <w:rsid w:val="00380E02"/>
    <w:rsid w:val="0038102F"/>
    <w:rsid w:val="0038105D"/>
    <w:rsid w:val="003810F6"/>
    <w:rsid w:val="003813B6"/>
    <w:rsid w:val="003815BD"/>
    <w:rsid w:val="003815E9"/>
    <w:rsid w:val="0038170C"/>
    <w:rsid w:val="003817A6"/>
    <w:rsid w:val="003818F6"/>
    <w:rsid w:val="0038195E"/>
    <w:rsid w:val="00381B99"/>
    <w:rsid w:val="00381C3F"/>
    <w:rsid w:val="00381D13"/>
    <w:rsid w:val="00381D64"/>
    <w:rsid w:val="00381DF6"/>
    <w:rsid w:val="00381EE9"/>
    <w:rsid w:val="00381F01"/>
    <w:rsid w:val="00381FBF"/>
    <w:rsid w:val="00382152"/>
    <w:rsid w:val="00382291"/>
    <w:rsid w:val="003822DA"/>
    <w:rsid w:val="003823C9"/>
    <w:rsid w:val="003824D3"/>
    <w:rsid w:val="003827AC"/>
    <w:rsid w:val="003828B3"/>
    <w:rsid w:val="0038292D"/>
    <w:rsid w:val="003829AE"/>
    <w:rsid w:val="00382F72"/>
    <w:rsid w:val="00382FD3"/>
    <w:rsid w:val="003831D6"/>
    <w:rsid w:val="00383200"/>
    <w:rsid w:val="0038322F"/>
    <w:rsid w:val="00383330"/>
    <w:rsid w:val="003834F0"/>
    <w:rsid w:val="0038391F"/>
    <w:rsid w:val="00383928"/>
    <w:rsid w:val="0038399D"/>
    <w:rsid w:val="00383BF1"/>
    <w:rsid w:val="00383C5F"/>
    <w:rsid w:val="00383CD8"/>
    <w:rsid w:val="00383CF2"/>
    <w:rsid w:val="00383D8C"/>
    <w:rsid w:val="00383DDD"/>
    <w:rsid w:val="00383E05"/>
    <w:rsid w:val="00383E8C"/>
    <w:rsid w:val="00383F6E"/>
    <w:rsid w:val="003840EB"/>
    <w:rsid w:val="00384117"/>
    <w:rsid w:val="00384184"/>
    <w:rsid w:val="00384188"/>
    <w:rsid w:val="0038446D"/>
    <w:rsid w:val="003844A2"/>
    <w:rsid w:val="003844D8"/>
    <w:rsid w:val="00384606"/>
    <w:rsid w:val="0038468A"/>
    <w:rsid w:val="0038478B"/>
    <w:rsid w:val="003847B7"/>
    <w:rsid w:val="00384BC4"/>
    <w:rsid w:val="00384D37"/>
    <w:rsid w:val="00384F8B"/>
    <w:rsid w:val="003851F9"/>
    <w:rsid w:val="00385482"/>
    <w:rsid w:val="0038567C"/>
    <w:rsid w:val="00385A54"/>
    <w:rsid w:val="00385BA2"/>
    <w:rsid w:val="00385BDE"/>
    <w:rsid w:val="00385D52"/>
    <w:rsid w:val="00385DFC"/>
    <w:rsid w:val="00385F31"/>
    <w:rsid w:val="00386284"/>
    <w:rsid w:val="003862F5"/>
    <w:rsid w:val="00386328"/>
    <w:rsid w:val="00386569"/>
    <w:rsid w:val="00386619"/>
    <w:rsid w:val="00386888"/>
    <w:rsid w:val="00386F21"/>
    <w:rsid w:val="00387062"/>
    <w:rsid w:val="00387312"/>
    <w:rsid w:val="00387318"/>
    <w:rsid w:val="003873C8"/>
    <w:rsid w:val="003874D7"/>
    <w:rsid w:val="00387751"/>
    <w:rsid w:val="003878FB"/>
    <w:rsid w:val="0038790F"/>
    <w:rsid w:val="00387C81"/>
    <w:rsid w:val="00387D5B"/>
    <w:rsid w:val="00387E78"/>
    <w:rsid w:val="00387EE0"/>
    <w:rsid w:val="00387F6F"/>
    <w:rsid w:val="00390099"/>
    <w:rsid w:val="00390143"/>
    <w:rsid w:val="003901E5"/>
    <w:rsid w:val="00390265"/>
    <w:rsid w:val="00390275"/>
    <w:rsid w:val="003902B1"/>
    <w:rsid w:val="00390639"/>
    <w:rsid w:val="003907F8"/>
    <w:rsid w:val="003909E4"/>
    <w:rsid w:val="00390AA7"/>
    <w:rsid w:val="00390AB8"/>
    <w:rsid w:val="00390AD2"/>
    <w:rsid w:val="00390AE8"/>
    <w:rsid w:val="00390B10"/>
    <w:rsid w:val="00390BBB"/>
    <w:rsid w:val="00390BDD"/>
    <w:rsid w:val="00390E45"/>
    <w:rsid w:val="00390FD0"/>
    <w:rsid w:val="00391269"/>
    <w:rsid w:val="003915B1"/>
    <w:rsid w:val="00391B62"/>
    <w:rsid w:val="00391D2E"/>
    <w:rsid w:val="00391DB0"/>
    <w:rsid w:val="00391DB7"/>
    <w:rsid w:val="0039204D"/>
    <w:rsid w:val="003920D2"/>
    <w:rsid w:val="0039210A"/>
    <w:rsid w:val="0039225D"/>
    <w:rsid w:val="00392326"/>
    <w:rsid w:val="00392359"/>
    <w:rsid w:val="003925AF"/>
    <w:rsid w:val="0039264A"/>
    <w:rsid w:val="003926E9"/>
    <w:rsid w:val="00392866"/>
    <w:rsid w:val="003928A0"/>
    <w:rsid w:val="00392B71"/>
    <w:rsid w:val="00392CD6"/>
    <w:rsid w:val="00392CE3"/>
    <w:rsid w:val="00392F58"/>
    <w:rsid w:val="00392F66"/>
    <w:rsid w:val="0039310E"/>
    <w:rsid w:val="00393186"/>
    <w:rsid w:val="00393283"/>
    <w:rsid w:val="003932AA"/>
    <w:rsid w:val="003934F5"/>
    <w:rsid w:val="0039360F"/>
    <w:rsid w:val="00393683"/>
    <w:rsid w:val="00393834"/>
    <w:rsid w:val="00393AFF"/>
    <w:rsid w:val="00393C30"/>
    <w:rsid w:val="00393CDE"/>
    <w:rsid w:val="00393DED"/>
    <w:rsid w:val="00393E15"/>
    <w:rsid w:val="00393E81"/>
    <w:rsid w:val="003940DE"/>
    <w:rsid w:val="003940E2"/>
    <w:rsid w:val="00394181"/>
    <w:rsid w:val="0039421E"/>
    <w:rsid w:val="0039422A"/>
    <w:rsid w:val="00394274"/>
    <w:rsid w:val="003942D4"/>
    <w:rsid w:val="003942F5"/>
    <w:rsid w:val="00394317"/>
    <w:rsid w:val="003943BD"/>
    <w:rsid w:val="00394702"/>
    <w:rsid w:val="00394795"/>
    <w:rsid w:val="003947D4"/>
    <w:rsid w:val="003948E7"/>
    <w:rsid w:val="00394C9D"/>
    <w:rsid w:val="00394CE2"/>
    <w:rsid w:val="00394D02"/>
    <w:rsid w:val="00394E63"/>
    <w:rsid w:val="00394F1B"/>
    <w:rsid w:val="00395398"/>
    <w:rsid w:val="0039546B"/>
    <w:rsid w:val="00395524"/>
    <w:rsid w:val="00395560"/>
    <w:rsid w:val="003955A7"/>
    <w:rsid w:val="00395747"/>
    <w:rsid w:val="003957BE"/>
    <w:rsid w:val="003957C2"/>
    <w:rsid w:val="00395A25"/>
    <w:rsid w:val="00395A94"/>
    <w:rsid w:val="00395B28"/>
    <w:rsid w:val="00395C9D"/>
    <w:rsid w:val="00395D02"/>
    <w:rsid w:val="00395D41"/>
    <w:rsid w:val="00395FD1"/>
    <w:rsid w:val="00395FED"/>
    <w:rsid w:val="0039609C"/>
    <w:rsid w:val="003960B8"/>
    <w:rsid w:val="00396269"/>
    <w:rsid w:val="00396441"/>
    <w:rsid w:val="00396781"/>
    <w:rsid w:val="003968A3"/>
    <w:rsid w:val="00396A6B"/>
    <w:rsid w:val="00396CF1"/>
    <w:rsid w:val="00396F19"/>
    <w:rsid w:val="003970F1"/>
    <w:rsid w:val="003971D1"/>
    <w:rsid w:val="0039721B"/>
    <w:rsid w:val="003972A3"/>
    <w:rsid w:val="0039777D"/>
    <w:rsid w:val="00397837"/>
    <w:rsid w:val="00397867"/>
    <w:rsid w:val="003978F9"/>
    <w:rsid w:val="0039796B"/>
    <w:rsid w:val="0039798C"/>
    <w:rsid w:val="00397B08"/>
    <w:rsid w:val="00397B1A"/>
    <w:rsid w:val="00397BE0"/>
    <w:rsid w:val="00397C25"/>
    <w:rsid w:val="00397D7A"/>
    <w:rsid w:val="003A002F"/>
    <w:rsid w:val="003A00F5"/>
    <w:rsid w:val="003A01B1"/>
    <w:rsid w:val="003A03A0"/>
    <w:rsid w:val="003A0408"/>
    <w:rsid w:val="003A046C"/>
    <w:rsid w:val="003A0598"/>
    <w:rsid w:val="003A05BA"/>
    <w:rsid w:val="003A05E4"/>
    <w:rsid w:val="003A0914"/>
    <w:rsid w:val="003A0A1F"/>
    <w:rsid w:val="003A0A25"/>
    <w:rsid w:val="003A0A67"/>
    <w:rsid w:val="003A0B1B"/>
    <w:rsid w:val="003A0BA6"/>
    <w:rsid w:val="003A0BCB"/>
    <w:rsid w:val="003A0E72"/>
    <w:rsid w:val="003A0E73"/>
    <w:rsid w:val="003A0ECF"/>
    <w:rsid w:val="003A1165"/>
    <w:rsid w:val="003A119F"/>
    <w:rsid w:val="003A1215"/>
    <w:rsid w:val="003A1320"/>
    <w:rsid w:val="003A1338"/>
    <w:rsid w:val="003A15E4"/>
    <w:rsid w:val="003A1666"/>
    <w:rsid w:val="003A1726"/>
    <w:rsid w:val="003A18F4"/>
    <w:rsid w:val="003A1921"/>
    <w:rsid w:val="003A1982"/>
    <w:rsid w:val="003A1BAB"/>
    <w:rsid w:val="003A1D1F"/>
    <w:rsid w:val="003A1D4F"/>
    <w:rsid w:val="003A1FD8"/>
    <w:rsid w:val="003A2036"/>
    <w:rsid w:val="003A2116"/>
    <w:rsid w:val="003A2159"/>
    <w:rsid w:val="003A23FB"/>
    <w:rsid w:val="003A2628"/>
    <w:rsid w:val="003A2707"/>
    <w:rsid w:val="003A2787"/>
    <w:rsid w:val="003A28BA"/>
    <w:rsid w:val="003A2B91"/>
    <w:rsid w:val="003A2C9E"/>
    <w:rsid w:val="003A2D9D"/>
    <w:rsid w:val="003A2F27"/>
    <w:rsid w:val="003A2F52"/>
    <w:rsid w:val="003A303B"/>
    <w:rsid w:val="003A3047"/>
    <w:rsid w:val="003A3231"/>
    <w:rsid w:val="003A32C7"/>
    <w:rsid w:val="003A37CF"/>
    <w:rsid w:val="003A3A1A"/>
    <w:rsid w:val="003A3C8E"/>
    <w:rsid w:val="003A3ED4"/>
    <w:rsid w:val="003A3FB5"/>
    <w:rsid w:val="003A3FEE"/>
    <w:rsid w:val="003A4011"/>
    <w:rsid w:val="003A4110"/>
    <w:rsid w:val="003A4134"/>
    <w:rsid w:val="003A44C4"/>
    <w:rsid w:val="003A4528"/>
    <w:rsid w:val="003A46D8"/>
    <w:rsid w:val="003A47F3"/>
    <w:rsid w:val="003A481B"/>
    <w:rsid w:val="003A4946"/>
    <w:rsid w:val="003A4A4C"/>
    <w:rsid w:val="003A4B13"/>
    <w:rsid w:val="003A4BAB"/>
    <w:rsid w:val="003A4E89"/>
    <w:rsid w:val="003A4ED4"/>
    <w:rsid w:val="003A4EDF"/>
    <w:rsid w:val="003A4F8F"/>
    <w:rsid w:val="003A511A"/>
    <w:rsid w:val="003A5316"/>
    <w:rsid w:val="003A5318"/>
    <w:rsid w:val="003A533B"/>
    <w:rsid w:val="003A57B5"/>
    <w:rsid w:val="003A57FC"/>
    <w:rsid w:val="003A5911"/>
    <w:rsid w:val="003A597A"/>
    <w:rsid w:val="003A5A65"/>
    <w:rsid w:val="003A5A89"/>
    <w:rsid w:val="003A5BAA"/>
    <w:rsid w:val="003A5D76"/>
    <w:rsid w:val="003A5D7D"/>
    <w:rsid w:val="003A5E1A"/>
    <w:rsid w:val="003A5E26"/>
    <w:rsid w:val="003A5E84"/>
    <w:rsid w:val="003A5EFA"/>
    <w:rsid w:val="003A6282"/>
    <w:rsid w:val="003A6316"/>
    <w:rsid w:val="003A637A"/>
    <w:rsid w:val="003A656A"/>
    <w:rsid w:val="003A66E3"/>
    <w:rsid w:val="003A66FD"/>
    <w:rsid w:val="003A69DE"/>
    <w:rsid w:val="003A6A7A"/>
    <w:rsid w:val="003A6A98"/>
    <w:rsid w:val="003A6BDD"/>
    <w:rsid w:val="003A6C13"/>
    <w:rsid w:val="003A6D20"/>
    <w:rsid w:val="003A6EC2"/>
    <w:rsid w:val="003A6F1C"/>
    <w:rsid w:val="003A705C"/>
    <w:rsid w:val="003A711E"/>
    <w:rsid w:val="003A712F"/>
    <w:rsid w:val="003A719D"/>
    <w:rsid w:val="003A72EF"/>
    <w:rsid w:val="003A7469"/>
    <w:rsid w:val="003A74BD"/>
    <w:rsid w:val="003A74E3"/>
    <w:rsid w:val="003A766B"/>
    <w:rsid w:val="003A7702"/>
    <w:rsid w:val="003A7AB4"/>
    <w:rsid w:val="003A7B64"/>
    <w:rsid w:val="003A7C67"/>
    <w:rsid w:val="003A7F38"/>
    <w:rsid w:val="003A7F49"/>
    <w:rsid w:val="003A7F71"/>
    <w:rsid w:val="003B0247"/>
    <w:rsid w:val="003B02D7"/>
    <w:rsid w:val="003B02F4"/>
    <w:rsid w:val="003B032F"/>
    <w:rsid w:val="003B0481"/>
    <w:rsid w:val="003B066C"/>
    <w:rsid w:val="003B0792"/>
    <w:rsid w:val="003B0794"/>
    <w:rsid w:val="003B084B"/>
    <w:rsid w:val="003B08D1"/>
    <w:rsid w:val="003B09AD"/>
    <w:rsid w:val="003B0A12"/>
    <w:rsid w:val="003B0BE9"/>
    <w:rsid w:val="003B0D23"/>
    <w:rsid w:val="003B0F35"/>
    <w:rsid w:val="003B10FD"/>
    <w:rsid w:val="003B112A"/>
    <w:rsid w:val="003B129A"/>
    <w:rsid w:val="003B129C"/>
    <w:rsid w:val="003B12EF"/>
    <w:rsid w:val="003B1322"/>
    <w:rsid w:val="003B14AD"/>
    <w:rsid w:val="003B14D3"/>
    <w:rsid w:val="003B1805"/>
    <w:rsid w:val="003B19D2"/>
    <w:rsid w:val="003B1ABD"/>
    <w:rsid w:val="003B1AF7"/>
    <w:rsid w:val="003B1C03"/>
    <w:rsid w:val="003B1CFC"/>
    <w:rsid w:val="003B1D05"/>
    <w:rsid w:val="003B1FD0"/>
    <w:rsid w:val="003B2172"/>
    <w:rsid w:val="003B21E4"/>
    <w:rsid w:val="003B220A"/>
    <w:rsid w:val="003B2256"/>
    <w:rsid w:val="003B23E2"/>
    <w:rsid w:val="003B2582"/>
    <w:rsid w:val="003B2675"/>
    <w:rsid w:val="003B2717"/>
    <w:rsid w:val="003B275B"/>
    <w:rsid w:val="003B2791"/>
    <w:rsid w:val="003B2903"/>
    <w:rsid w:val="003B2924"/>
    <w:rsid w:val="003B2BB9"/>
    <w:rsid w:val="003B2D15"/>
    <w:rsid w:val="003B2DF7"/>
    <w:rsid w:val="003B2E57"/>
    <w:rsid w:val="003B2E8C"/>
    <w:rsid w:val="003B2F03"/>
    <w:rsid w:val="003B302D"/>
    <w:rsid w:val="003B31E8"/>
    <w:rsid w:val="003B3240"/>
    <w:rsid w:val="003B32C6"/>
    <w:rsid w:val="003B32E3"/>
    <w:rsid w:val="003B3448"/>
    <w:rsid w:val="003B34D4"/>
    <w:rsid w:val="003B35BD"/>
    <w:rsid w:val="003B366F"/>
    <w:rsid w:val="003B367B"/>
    <w:rsid w:val="003B3879"/>
    <w:rsid w:val="003B39B2"/>
    <w:rsid w:val="003B39F8"/>
    <w:rsid w:val="003B3B16"/>
    <w:rsid w:val="003B3C28"/>
    <w:rsid w:val="003B3C37"/>
    <w:rsid w:val="003B3D88"/>
    <w:rsid w:val="003B3E57"/>
    <w:rsid w:val="003B3FAC"/>
    <w:rsid w:val="003B4162"/>
    <w:rsid w:val="003B421C"/>
    <w:rsid w:val="003B4230"/>
    <w:rsid w:val="003B42B5"/>
    <w:rsid w:val="003B4330"/>
    <w:rsid w:val="003B43C7"/>
    <w:rsid w:val="003B44D7"/>
    <w:rsid w:val="003B456E"/>
    <w:rsid w:val="003B45F3"/>
    <w:rsid w:val="003B4632"/>
    <w:rsid w:val="003B497B"/>
    <w:rsid w:val="003B4A54"/>
    <w:rsid w:val="003B4A9C"/>
    <w:rsid w:val="003B4B54"/>
    <w:rsid w:val="003B51E8"/>
    <w:rsid w:val="003B5309"/>
    <w:rsid w:val="003B53CE"/>
    <w:rsid w:val="003B546D"/>
    <w:rsid w:val="003B5A37"/>
    <w:rsid w:val="003B5D01"/>
    <w:rsid w:val="003B5D7B"/>
    <w:rsid w:val="003B5E32"/>
    <w:rsid w:val="003B5E6C"/>
    <w:rsid w:val="003B6297"/>
    <w:rsid w:val="003B65A1"/>
    <w:rsid w:val="003B6625"/>
    <w:rsid w:val="003B66AE"/>
    <w:rsid w:val="003B684D"/>
    <w:rsid w:val="003B68D2"/>
    <w:rsid w:val="003B6B8D"/>
    <w:rsid w:val="003B6DCF"/>
    <w:rsid w:val="003B6DFA"/>
    <w:rsid w:val="003B7037"/>
    <w:rsid w:val="003B729F"/>
    <w:rsid w:val="003B7531"/>
    <w:rsid w:val="003B77D7"/>
    <w:rsid w:val="003B7806"/>
    <w:rsid w:val="003B79A2"/>
    <w:rsid w:val="003B79DA"/>
    <w:rsid w:val="003B7A79"/>
    <w:rsid w:val="003B7A92"/>
    <w:rsid w:val="003B7B40"/>
    <w:rsid w:val="003B7C3A"/>
    <w:rsid w:val="003B7C9D"/>
    <w:rsid w:val="003B7D06"/>
    <w:rsid w:val="003C0196"/>
    <w:rsid w:val="003C01B3"/>
    <w:rsid w:val="003C01C2"/>
    <w:rsid w:val="003C06BC"/>
    <w:rsid w:val="003C0739"/>
    <w:rsid w:val="003C0A9C"/>
    <w:rsid w:val="003C0F2C"/>
    <w:rsid w:val="003C1208"/>
    <w:rsid w:val="003C1708"/>
    <w:rsid w:val="003C1786"/>
    <w:rsid w:val="003C185E"/>
    <w:rsid w:val="003C1A11"/>
    <w:rsid w:val="003C1B00"/>
    <w:rsid w:val="003C1B70"/>
    <w:rsid w:val="003C1B8A"/>
    <w:rsid w:val="003C1BF1"/>
    <w:rsid w:val="003C1D0B"/>
    <w:rsid w:val="003C1ED8"/>
    <w:rsid w:val="003C20B9"/>
    <w:rsid w:val="003C2370"/>
    <w:rsid w:val="003C237A"/>
    <w:rsid w:val="003C239E"/>
    <w:rsid w:val="003C23E7"/>
    <w:rsid w:val="003C2703"/>
    <w:rsid w:val="003C2814"/>
    <w:rsid w:val="003C285C"/>
    <w:rsid w:val="003C288F"/>
    <w:rsid w:val="003C28C6"/>
    <w:rsid w:val="003C28F6"/>
    <w:rsid w:val="003C29B4"/>
    <w:rsid w:val="003C2BF8"/>
    <w:rsid w:val="003C2CAB"/>
    <w:rsid w:val="003C30AA"/>
    <w:rsid w:val="003C3180"/>
    <w:rsid w:val="003C3310"/>
    <w:rsid w:val="003C3380"/>
    <w:rsid w:val="003C34C7"/>
    <w:rsid w:val="003C375D"/>
    <w:rsid w:val="003C3797"/>
    <w:rsid w:val="003C37C1"/>
    <w:rsid w:val="003C37E0"/>
    <w:rsid w:val="003C395B"/>
    <w:rsid w:val="003C3A42"/>
    <w:rsid w:val="003C3CB2"/>
    <w:rsid w:val="003C4274"/>
    <w:rsid w:val="003C4286"/>
    <w:rsid w:val="003C44F1"/>
    <w:rsid w:val="003C48A9"/>
    <w:rsid w:val="003C4ACF"/>
    <w:rsid w:val="003C4CB8"/>
    <w:rsid w:val="003C4CEE"/>
    <w:rsid w:val="003C4D94"/>
    <w:rsid w:val="003C5015"/>
    <w:rsid w:val="003C50C5"/>
    <w:rsid w:val="003C52CE"/>
    <w:rsid w:val="003C5910"/>
    <w:rsid w:val="003C5925"/>
    <w:rsid w:val="003C59F3"/>
    <w:rsid w:val="003C5ADB"/>
    <w:rsid w:val="003C5B76"/>
    <w:rsid w:val="003C5C01"/>
    <w:rsid w:val="003C5D55"/>
    <w:rsid w:val="003C5F39"/>
    <w:rsid w:val="003C5FAB"/>
    <w:rsid w:val="003C5FC6"/>
    <w:rsid w:val="003C6069"/>
    <w:rsid w:val="003C6099"/>
    <w:rsid w:val="003C617D"/>
    <w:rsid w:val="003C6375"/>
    <w:rsid w:val="003C6388"/>
    <w:rsid w:val="003C63A4"/>
    <w:rsid w:val="003C6674"/>
    <w:rsid w:val="003C678B"/>
    <w:rsid w:val="003C67DC"/>
    <w:rsid w:val="003C68E3"/>
    <w:rsid w:val="003C695F"/>
    <w:rsid w:val="003C6997"/>
    <w:rsid w:val="003C6999"/>
    <w:rsid w:val="003C6A54"/>
    <w:rsid w:val="003C6ACD"/>
    <w:rsid w:val="003C6C28"/>
    <w:rsid w:val="003C6D14"/>
    <w:rsid w:val="003C6E21"/>
    <w:rsid w:val="003C6E91"/>
    <w:rsid w:val="003C6F89"/>
    <w:rsid w:val="003C70BE"/>
    <w:rsid w:val="003C71CA"/>
    <w:rsid w:val="003C74B2"/>
    <w:rsid w:val="003C750E"/>
    <w:rsid w:val="003C758A"/>
    <w:rsid w:val="003C75A3"/>
    <w:rsid w:val="003C75AB"/>
    <w:rsid w:val="003C77DD"/>
    <w:rsid w:val="003C7C05"/>
    <w:rsid w:val="003C7C55"/>
    <w:rsid w:val="003C7EE5"/>
    <w:rsid w:val="003C7F05"/>
    <w:rsid w:val="003C7F0E"/>
    <w:rsid w:val="003D0357"/>
    <w:rsid w:val="003D04AD"/>
    <w:rsid w:val="003D05E6"/>
    <w:rsid w:val="003D0658"/>
    <w:rsid w:val="003D070B"/>
    <w:rsid w:val="003D07C8"/>
    <w:rsid w:val="003D0929"/>
    <w:rsid w:val="003D096C"/>
    <w:rsid w:val="003D09B2"/>
    <w:rsid w:val="003D0A17"/>
    <w:rsid w:val="003D0AE0"/>
    <w:rsid w:val="003D104F"/>
    <w:rsid w:val="003D1103"/>
    <w:rsid w:val="003D137F"/>
    <w:rsid w:val="003D138A"/>
    <w:rsid w:val="003D13AC"/>
    <w:rsid w:val="003D14C2"/>
    <w:rsid w:val="003D1553"/>
    <w:rsid w:val="003D17A9"/>
    <w:rsid w:val="003D18E5"/>
    <w:rsid w:val="003D1970"/>
    <w:rsid w:val="003D1AFF"/>
    <w:rsid w:val="003D1B97"/>
    <w:rsid w:val="003D1B9C"/>
    <w:rsid w:val="003D1C32"/>
    <w:rsid w:val="003D1D45"/>
    <w:rsid w:val="003D1DE3"/>
    <w:rsid w:val="003D1E31"/>
    <w:rsid w:val="003D1E94"/>
    <w:rsid w:val="003D1EC6"/>
    <w:rsid w:val="003D1FB1"/>
    <w:rsid w:val="003D247C"/>
    <w:rsid w:val="003D2597"/>
    <w:rsid w:val="003D2623"/>
    <w:rsid w:val="003D28E2"/>
    <w:rsid w:val="003D29E9"/>
    <w:rsid w:val="003D2A76"/>
    <w:rsid w:val="003D2C7A"/>
    <w:rsid w:val="003D2CD5"/>
    <w:rsid w:val="003D2D0D"/>
    <w:rsid w:val="003D2DA7"/>
    <w:rsid w:val="003D2E66"/>
    <w:rsid w:val="003D30A5"/>
    <w:rsid w:val="003D30F0"/>
    <w:rsid w:val="003D3155"/>
    <w:rsid w:val="003D34A6"/>
    <w:rsid w:val="003D34D8"/>
    <w:rsid w:val="003D3505"/>
    <w:rsid w:val="003D35F5"/>
    <w:rsid w:val="003D3783"/>
    <w:rsid w:val="003D3851"/>
    <w:rsid w:val="003D39E7"/>
    <w:rsid w:val="003D39F4"/>
    <w:rsid w:val="003D3C71"/>
    <w:rsid w:val="003D3D97"/>
    <w:rsid w:val="003D3DC4"/>
    <w:rsid w:val="003D3E07"/>
    <w:rsid w:val="003D3F14"/>
    <w:rsid w:val="003D404C"/>
    <w:rsid w:val="003D40CC"/>
    <w:rsid w:val="003D4105"/>
    <w:rsid w:val="003D41F0"/>
    <w:rsid w:val="003D43DF"/>
    <w:rsid w:val="003D440F"/>
    <w:rsid w:val="003D4670"/>
    <w:rsid w:val="003D46E1"/>
    <w:rsid w:val="003D4759"/>
    <w:rsid w:val="003D47A1"/>
    <w:rsid w:val="003D480D"/>
    <w:rsid w:val="003D486B"/>
    <w:rsid w:val="003D4C43"/>
    <w:rsid w:val="003D4CE4"/>
    <w:rsid w:val="003D4D4D"/>
    <w:rsid w:val="003D4DA2"/>
    <w:rsid w:val="003D4EBD"/>
    <w:rsid w:val="003D4FCE"/>
    <w:rsid w:val="003D5126"/>
    <w:rsid w:val="003D5132"/>
    <w:rsid w:val="003D5240"/>
    <w:rsid w:val="003D5311"/>
    <w:rsid w:val="003D53D1"/>
    <w:rsid w:val="003D549E"/>
    <w:rsid w:val="003D54EF"/>
    <w:rsid w:val="003D5520"/>
    <w:rsid w:val="003D56F3"/>
    <w:rsid w:val="003D57A8"/>
    <w:rsid w:val="003D57AD"/>
    <w:rsid w:val="003D5895"/>
    <w:rsid w:val="003D5A18"/>
    <w:rsid w:val="003D5A1E"/>
    <w:rsid w:val="003D5B04"/>
    <w:rsid w:val="003D5B80"/>
    <w:rsid w:val="003D5CD6"/>
    <w:rsid w:val="003D5D3F"/>
    <w:rsid w:val="003D5D63"/>
    <w:rsid w:val="003D5E5B"/>
    <w:rsid w:val="003D620E"/>
    <w:rsid w:val="003D63D2"/>
    <w:rsid w:val="003D651E"/>
    <w:rsid w:val="003D65F5"/>
    <w:rsid w:val="003D673C"/>
    <w:rsid w:val="003D6C9E"/>
    <w:rsid w:val="003D713D"/>
    <w:rsid w:val="003D720D"/>
    <w:rsid w:val="003D73A7"/>
    <w:rsid w:val="003D73CB"/>
    <w:rsid w:val="003D7457"/>
    <w:rsid w:val="003D7509"/>
    <w:rsid w:val="003D7735"/>
    <w:rsid w:val="003D7D3D"/>
    <w:rsid w:val="003D7FDA"/>
    <w:rsid w:val="003E0087"/>
    <w:rsid w:val="003E01C9"/>
    <w:rsid w:val="003E06B5"/>
    <w:rsid w:val="003E071D"/>
    <w:rsid w:val="003E0827"/>
    <w:rsid w:val="003E0A3C"/>
    <w:rsid w:val="003E0A41"/>
    <w:rsid w:val="003E0A4D"/>
    <w:rsid w:val="003E0B68"/>
    <w:rsid w:val="003E0CE3"/>
    <w:rsid w:val="003E0DD9"/>
    <w:rsid w:val="003E0E2D"/>
    <w:rsid w:val="003E0F42"/>
    <w:rsid w:val="003E10F0"/>
    <w:rsid w:val="003E1164"/>
    <w:rsid w:val="003E130D"/>
    <w:rsid w:val="003E155B"/>
    <w:rsid w:val="003E1692"/>
    <w:rsid w:val="003E177E"/>
    <w:rsid w:val="003E184E"/>
    <w:rsid w:val="003E1B3B"/>
    <w:rsid w:val="003E1CDF"/>
    <w:rsid w:val="003E1DB0"/>
    <w:rsid w:val="003E1E0B"/>
    <w:rsid w:val="003E1E39"/>
    <w:rsid w:val="003E1F93"/>
    <w:rsid w:val="003E2053"/>
    <w:rsid w:val="003E2205"/>
    <w:rsid w:val="003E220E"/>
    <w:rsid w:val="003E22A9"/>
    <w:rsid w:val="003E2325"/>
    <w:rsid w:val="003E233D"/>
    <w:rsid w:val="003E24D4"/>
    <w:rsid w:val="003E266B"/>
    <w:rsid w:val="003E2803"/>
    <w:rsid w:val="003E2B02"/>
    <w:rsid w:val="003E2B32"/>
    <w:rsid w:val="003E2C64"/>
    <w:rsid w:val="003E2DAC"/>
    <w:rsid w:val="003E2E03"/>
    <w:rsid w:val="003E2FB5"/>
    <w:rsid w:val="003E2FB9"/>
    <w:rsid w:val="003E309B"/>
    <w:rsid w:val="003E31F1"/>
    <w:rsid w:val="003E31FA"/>
    <w:rsid w:val="003E352A"/>
    <w:rsid w:val="003E3531"/>
    <w:rsid w:val="003E3573"/>
    <w:rsid w:val="003E3600"/>
    <w:rsid w:val="003E3685"/>
    <w:rsid w:val="003E3781"/>
    <w:rsid w:val="003E37F1"/>
    <w:rsid w:val="003E3801"/>
    <w:rsid w:val="003E383D"/>
    <w:rsid w:val="003E3A53"/>
    <w:rsid w:val="003E3A99"/>
    <w:rsid w:val="003E3BA5"/>
    <w:rsid w:val="003E3CDF"/>
    <w:rsid w:val="003E3D6F"/>
    <w:rsid w:val="003E41E2"/>
    <w:rsid w:val="003E425A"/>
    <w:rsid w:val="003E4292"/>
    <w:rsid w:val="003E44E9"/>
    <w:rsid w:val="003E4585"/>
    <w:rsid w:val="003E460E"/>
    <w:rsid w:val="003E46E5"/>
    <w:rsid w:val="003E48EE"/>
    <w:rsid w:val="003E49A9"/>
    <w:rsid w:val="003E49AB"/>
    <w:rsid w:val="003E4CD9"/>
    <w:rsid w:val="003E4EB1"/>
    <w:rsid w:val="003E5104"/>
    <w:rsid w:val="003E51D2"/>
    <w:rsid w:val="003E5433"/>
    <w:rsid w:val="003E5542"/>
    <w:rsid w:val="003E55BB"/>
    <w:rsid w:val="003E56E0"/>
    <w:rsid w:val="003E575B"/>
    <w:rsid w:val="003E5AAE"/>
    <w:rsid w:val="003E5B28"/>
    <w:rsid w:val="003E5B3B"/>
    <w:rsid w:val="003E5C5E"/>
    <w:rsid w:val="003E5CFB"/>
    <w:rsid w:val="003E5E07"/>
    <w:rsid w:val="003E5E7E"/>
    <w:rsid w:val="003E5FE1"/>
    <w:rsid w:val="003E6012"/>
    <w:rsid w:val="003E6028"/>
    <w:rsid w:val="003E60D4"/>
    <w:rsid w:val="003E61C1"/>
    <w:rsid w:val="003E63FC"/>
    <w:rsid w:val="003E6477"/>
    <w:rsid w:val="003E66E8"/>
    <w:rsid w:val="003E670F"/>
    <w:rsid w:val="003E678F"/>
    <w:rsid w:val="003E6966"/>
    <w:rsid w:val="003E69B7"/>
    <w:rsid w:val="003E6B2E"/>
    <w:rsid w:val="003E6B45"/>
    <w:rsid w:val="003E6CED"/>
    <w:rsid w:val="003E6DA8"/>
    <w:rsid w:val="003E7041"/>
    <w:rsid w:val="003E71D7"/>
    <w:rsid w:val="003E7439"/>
    <w:rsid w:val="003E761B"/>
    <w:rsid w:val="003E7651"/>
    <w:rsid w:val="003E76CC"/>
    <w:rsid w:val="003E7712"/>
    <w:rsid w:val="003E771C"/>
    <w:rsid w:val="003E7733"/>
    <w:rsid w:val="003E773C"/>
    <w:rsid w:val="003E7A4E"/>
    <w:rsid w:val="003E7A81"/>
    <w:rsid w:val="003E7AC1"/>
    <w:rsid w:val="003E7B75"/>
    <w:rsid w:val="003E7CE9"/>
    <w:rsid w:val="003E7D98"/>
    <w:rsid w:val="003E7D9A"/>
    <w:rsid w:val="003E7E9D"/>
    <w:rsid w:val="003F00CA"/>
    <w:rsid w:val="003F0168"/>
    <w:rsid w:val="003F03C6"/>
    <w:rsid w:val="003F06DB"/>
    <w:rsid w:val="003F0A87"/>
    <w:rsid w:val="003F0AC6"/>
    <w:rsid w:val="003F0C1E"/>
    <w:rsid w:val="003F0D3E"/>
    <w:rsid w:val="003F0DC9"/>
    <w:rsid w:val="003F0E54"/>
    <w:rsid w:val="003F0EB8"/>
    <w:rsid w:val="003F0FAD"/>
    <w:rsid w:val="003F10A8"/>
    <w:rsid w:val="003F1311"/>
    <w:rsid w:val="003F1482"/>
    <w:rsid w:val="003F14AB"/>
    <w:rsid w:val="003F1625"/>
    <w:rsid w:val="003F16FB"/>
    <w:rsid w:val="003F1895"/>
    <w:rsid w:val="003F18C3"/>
    <w:rsid w:val="003F1A00"/>
    <w:rsid w:val="003F1A98"/>
    <w:rsid w:val="003F1EA5"/>
    <w:rsid w:val="003F1EB7"/>
    <w:rsid w:val="003F1F82"/>
    <w:rsid w:val="003F20C5"/>
    <w:rsid w:val="003F21FA"/>
    <w:rsid w:val="003F240D"/>
    <w:rsid w:val="003F26AA"/>
    <w:rsid w:val="003F274A"/>
    <w:rsid w:val="003F275C"/>
    <w:rsid w:val="003F2A2E"/>
    <w:rsid w:val="003F2B79"/>
    <w:rsid w:val="003F3050"/>
    <w:rsid w:val="003F3085"/>
    <w:rsid w:val="003F30C2"/>
    <w:rsid w:val="003F3139"/>
    <w:rsid w:val="003F323C"/>
    <w:rsid w:val="003F348D"/>
    <w:rsid w:val="003F3538"/>
    <w:rsid w:val="003F35B0"/>
    <w:rsid w:val="003F35BA"/>
    <w:rsid w:val="003F39F2"/>
    <w:rsid w:val="003F3A14"/>
    <w:rsid w:val="003F3AB2"/>
    <w:rsid w:val="003F3BCB"/>
    <w:rsid w:val="003F3D1B"/>
    <w:rsid w:val="003F3F17"/>
    <w:rsid w:val="003F3FBF"/>
    <w:rsid w:val="003F4200"/>
    <w:rsid w:val="003F4222"/>
    <w:rsid w:val="003F4654"/>
    <w:rsid w:val="003F470E"/>
    <w:rsid w:val="003F47C5"/>
    <w:rsid w:val="003F47DF"/>
    <w:rsid w:val="003F4870"/>
    <w:rsid w:val="003F48FB"/>
    <w:rsid w:val="003F49AD"/>
    <w:rsid w:val="003F4AD6"/>
    <w:rsid w:val="003F4DE5"/>
    <w:rsid w:val="003F4FF9"/>
    <w:rsid w:val="003F5066"/>
    <w:rsid w:val="003F50B8"/>
    <w:rsid w:val="003F567A"/>
    <w:rsid w:val="003F56C0"/>
    <w:rsid w:val="003F57C5"/>
    <w:rsid w:val="003F587D"/>
    <w:rsid w:val="003F58B3"/>
    <w:rsid w:val="003F5B92"/>
    <w:rsid w:val="003F5E08"/>
    <w:rsid w:val="003F5F3D"/>
    <w:rsid w:val="003F5FF0"/>
    <w:rsid w:val="003F61F0"/>
    <w:rsid w:val="003F6304"/>
    <w:rsid w:val="003F6323"/>
    <w:rsid w:val="003F6535"/>
    <w:rsid w:val="003F6554"/>
    <w:rsid w:val="003F6667"/>
    <w:rsid w:val="003F6842"/>
    <w:rsid w:val="003F697A"/>
    <w:rsid w:val="003F6A39"/>
    <w:rsid w:val="003F6A52"/>
    <w:rsid w:val="003F6AD8"/>
    <w:rsid w:val="003F6DE8"/>
    <w:rsid w:val="003F6E21"/>
    <w:rsid w:val="003F71A5"/>
    <w:rsid w:val="003F73E4"/>
    <w:rsid w:val="003F73E7"/>
    <w:rsid w:val="003F74A8"/>
    <w:rsid w:val="003F74B7"/>
    <w:rsid w:val="003F74F7"/>
    <w:rsid w:val="003F7725"/>
    <w:rsid w:val="003F7749"/>
    <w:rsid w:val="003F77FA"/>
    <w:rsid w:val="003F780B"/>
    <w:rsid w:val="003F7B64"/>
    <w:rsid w:val="003F7C55"/>
    <w:rsid w:val="003F7CB2"/>
    <w:rsid w:val="003F7CDF"/>
    <w:rsid w:val="003F7D58"/>
    <w:rsid w:val="003F7EDD"/>
    <w:rsid w:val="003F7F8A"/>
    <w:rsid w:val="004001B6"/>
    <w:rsid w:val="00400344"/>
    <w:rsid w:val="00400428"/>
    <w:rsid w:val="004005C4"/>
    <w:rsid w:val="0040068A"/>
    <w:rsid w:val="0040080B"/>
    <w:rsid w:val="004008E0"/>
    <w:rsid w:val="00400991"/>
    <w:rsid w:val="004009C8"/>
    <w:rsid w:val="00400AA9"/>
    <w:rsid w:val="00400BF5"/>
    <w:rsid w:val="00400DBB"/>
    <w:rsid w:val="00400F98"/>
    <w:rsid w:val="0040115C"/>
    <w:rsid w:val="0040177E"/>
    <w:rsid w:val="004017B2"/>
    <w:rsid w:val="00401BD1"/>
    <w:rsid w:val="00401C48"/>
    <w:rsid w:val="00401C87"/>
    <w:rsid w:val="00401E8B"/>
    <w:rsid w:val="00401EE3"/>
    <w:rsid w:val="00402000"/>
    <w:rsid w:val="00402150"/>
    <w:rsid w:val="004021B0"/>
    <w:rsid w:val="004021C3"/>
    <w:rsid w:val="004024A2"/>
    <w:rsid w:val="004024F5"/>
    <w:rsid w:val="0040252A"/>
    <w:rsid w:val="00402587"/>
    <w:rsid w:val="0040270C"/>
    <w:rsid w:val="00402799"/>
    <w:rsid w:val="0040279C"/>
    <w:rsid w:val="0040292D"/>
    <w:rsid w:val="00402953"/>
    <w:rsid w:val="00402A35"/>
    <w:rsid w:val="00402A84"/>
    <w:rsid w:val="00402BCA"/>
    <w:rsid w:val="00402CD5"/>
    <w:rsid w:val="00402D10"/>
    <w:rsid w:val="00402F53"/>
    <w:rsid w:val="00402F56"/>
    <w:rsid w:val="0040308F"/>
    <w:rsid w:val="00403154"/>
    <w:rsid w:val="00403166"/>
    <w:rsid w:val="0040324D"/>
    <w:rsid w:val="0040338A"/>
    <w:rsid w:val="004033CE"/>
    <w:rsid w:val="0040345F"/>
    <w:rsid w:val="004034B1"/>
    <w:rsid w:val="0040383B"/>
    <w:rsid w:val="00403B6A"/>
    <w:rsid w:val="00403BF2"/>
    <w:rsid w:val="00403D75"/>
    <w:rsid w:val="00403DF1"/>
    <w:rsid w:val="00403E39"/>
    <w:rsid w:val="00404019"/>
    <w:rsid w:val="00404067"/>
    <w:rsid w:val="004041F7"/>
    <w:rsid w:val="0040439A"/>
    <w:rsid w:val="004043D5"/>
    <w:rsid w:val="004045F6"/>
    <w:rsid w:val="00404636"/>
    <w:rsid w:val="0040465D"/>
    <w:rsid w:val="00404707"/>
    <w:rsid w:val="00404A8D"/>
    <w:rsid w:val="00404AF7"/>
    <w:rsid w:val="00404BEA"/>
    <w:rsid w:val="00404C0D"/>
    <w:rsid w:val="00404E63"/>
    <w:rsid w:val="004050F0"/>
    <w:rsid w:val="004051C5"/>
    <w:rsid w:val="004053F5"/>
    <w:rsid w:val="00405459"/>
    <w:rsid w:val="0040557B"/>
    <w:rsid w:val="0040590B"/>
    <w:rsid w:val="0040598B"/>
    <w:rsid w:val="004059DF"/>
    <w:rsid w:val="00405AC0"/>
    <w:rsid w:val="00405B24"/>
    <w:rsid w:val="00405D38"/>
    <w:rsid w:val="00405DBD"/>
    <w:rsid w:val="00405E23"/>
    <w:rsid w:val="00405E8A"/>
    <w:rsid w:val="00405F52"/>
    <w:rsid w:val="00405F9F"/>
    <w:rsid w:val="0040647B"/>
    <w:rsid w:val="004065A6"/>
    <w:rsid w:val="00406704"/>
    <w:rsid w:val="004068A5"/>
    <w:rsid w:val="004068B1"/>
    <w:rsid w:val="00406929"/>
    <w:rsid w:val="00406960"/>
    <w:rsid w:val="0040699A"/>
    <w:rsid w:val="00406B50"/>
    <w:rsid w:val="00406D59"/>
    <w:rsid w:val="00406FF0"/>
    <w:rsid w:val="0040709F"/>
    <w:rsid w:val="004071E3"/>
    <w:rsid w:val="004071E7"/>
    <w:rsid w:val="0040746F"/>
    <w:rsid w:val="00407A41"/>
    <w:rsid w:val="00407BAE"/>
    <w:rsid w:val="00407BFA"/>
    <w:rsid w:val="00407DE7"/>
    <w:rsid w:val="00407E3B"/>
    <w:rsid w:val="004101E5"/>
    <w:rsid w:val="0041043F"/>
    <w:rsid w:val="00410551"/>
    <w:rsid w:val="00410644"/>
    <w:rsid w:val="004106FD"/>
    <w:rsid w:val="0041088C"/>
    <w:rsid w:val="0041093B"/>
    <w:rsid w:val="004109A7"/>
    <w:rsid w:val="00410A27"/>
    <w:rsid w:val="00410BE2"/>
    <w:rsid w:val="00410F54"/>
    <w:rsid w:val="0041124D"/>
    <w:rsid w:val="00411318"/>
    <w:rsid w:val="0041137F"/>
    <w:rsid w:val="00411406"/>
    <w:rsid w:val="004115DF"/>
    <w:rsid w:val="0041186D"/>
    <w:rsid w:val="00411A48"/>
    <w:rsid w:val="00411A6D"/>
    <w:rsid w:val="00411ADA"/>
    <w:rsid w:val="00411AE4"/>
    <w:rsid w:val="00411B89"/>
    <w:rsid w:val="00411C7F"/>
    <w:rsid w:val="00411D1D"/>
    <w:rsid w:val="0041205F"/>
    <w:rsid w:val="00412092"/>
    <w:rsid w:val="004121B6"/>
    <w:rsid w:val="004122E9"/>
    <w:rsid w:val="00412301"/>
    <w:rsid w:val="0041242F"/>
    <w:rsid w:val="00412452"/>
    <w:rsid w:val="00412599"/>
    <w:rsid w:val="00412689"/>
    <w:rsid w:val="0041278D"/>
    <w:rsid w:val="004128B7"/>
    <w:rsid w:val="00412BFB"/>
    <w:rsid w:val="00412FE9"/>
    <w:rsid w:val="00413099"/>
    <w:rsid w:val="0041327A"/>
    <w:rsid w:val="00413413"/>
    <w:rsid w:val="0041348C"/>
    <w:rsid w:val="00413598"/>
    <w:rsid w:val="0041360F"/>
    <w:rsid w:val="0041365E"/>
    <w:rsid w:val="00413847"/>
    <w:rsid w:val="004138F5"/>
    <w:rsid w:val="004140BF"/>
    <w:rsid w:val="004141CE"/>
    <w:rsid w:val="004141D0"/>
    <w:rsid w:val="0041430B"/>
    <w:rsid w:val="004144E3"/>
    <w:rsid w:val="004144EC"/>
    <w:rsid w:val="0041459A"/>
    <w:rsid w:val="00414739"/>
    <w:rsid w:val="0041483D"/>
    <w:rsid w:val="00414878"/>
    <w:rsid w:val="004149C3"/>
    <w:rsid w:val="00414A57"/>
    <w:rsid w:val="00414C1C"/>
    <w:rsid w:val="00414C55"/>
    <w:rsid w:val="00414CD3"/>
    <w:rsid w:val="00414E8A"/>
    <w:rsid w:val="00414EAD"/>
    <w:rsid w:val="00415050"/>
    <w:rsid w:val="004150B5"/>
    <w:rsid w:val="00415296"/>
    <w:rsid w:val="004152CC"/>
    <w:rsid w:val="00415499"/>
    <w:rsid w:val="00415576"/>
    <w:rsid w:val="0041575B"/>
    <w:rsid w:val="004160A1"/>
    <w:rsid w:val="00416184"/>
    <w:rsid w:val="004161DE"/>
    <w:rsid w:val="004162F1"/>
    <w:rsid w:val="004164FA"/>
    <w:rsid w:val="004165F7"/>
    <w:rsid w:val="004167D6"/>
    <w:rsid w:val="00416803"/>
    <w:rsid w:val="004168B0"/>
    <w:rsid w:val="00416934"/>
    <w:rsid w:val="00416993"/>
    <w:rsid w:val="00416C80"/>
    <w:rsid w:val="00416D2A"/>
    <w:rsid w:val="00416DE2"/>
    <w:rsid w:val="00416E0A"/>
    <w:rsid w:val="00416EBA"/>
    <w:rsid w:val="00416FF0"/>
    <w:rsid w:val="00417089"/>
    <w:rsid w:val="0041713A"/>
    <w:rsid w:val="00417193"/>
    <w:rsid w:val="004171A4"/>
    <w:rsid w:val="00417306"/>
    <w:rsid w:val="00417688"/>
    <w:rsid w:val="00417882"/>
    <w:rsid w:val="004178B2"/>
    <w:rsid w:val="00417A71"/>
    <w:rsid w:val="00417AC0"/>
    <w:rsid w:val="00417FB9"/>
    <w:rsid w:val="00420087"/>
    <w:rsid w:val="004200B3"/>
    <w:rsid w:val="004201A6"/>
    <w:rsid w:val="004203A8"/>
    <w:rsid w:val="00420512"/>
    <w:rsid w:val="0042055E"/>
    <w:rsid w:val="0042056C"/>
    <w:rsid w:val="004206DC"/>
    <w:rsid w:val="0042073A"/>
    <w:rsid w:val="004207D8"/>
    <w:rsid w:val="004208D2"/>
    <w:rsid w:val="00420BF3"/>
    <w:rsid w:val="00420C11"/>
    <w:rsid w:val="00420CFD"/>
    <w:rsid w:val="00420DF9"/>
    <w:rsid w:val="00420E3A"/>
    <w:rsid w:val="00421288"/>
    <w:rsid w:val="004212D0"/>
    <w:rsid w:val="00421393"/>
    <w:rsid w:val="004214EC"/>
    <w:rsid w:val="004214F0"/>
    <w:rsid w:val="00421597"/>
    <w:rsid w:val="0042173A"/>
    <w:rsid w:val="004217E1"/>
    <w:rsid w:val="00421874"/>
    <w:rsid w:val="00421A24"/>
    <w:rsid w:val="00421AC9"/>
    <w:rsid w:val="00421E81"/>
    <w:rsid w:val="00421EA6"/>
    <w:rsid w:val="00422076"/>
    <w:rsid w:val="00422167"/>
    <w:rsid w:val="00422224"/>
    <w:rsid w:val="0042224C"/>
    <w:rsid w:val="00422359"/>
    <w:rsid w:val="0042237C"/>
    <w:rsid w:val="004226F4"/>
    <w:rsid w:val="00422824"/>
    <w:rsid w:val="00422919"/>
    <w:rsid w:val="00422B30"/>
    <w:rsid w:val="00422DD5"/>
    <w:rsid w:val="00422E7F"/>
    <w:rsid w:val="00422F22"/>
    <w:rsid w:val="00422FBA"/>
    <w:rsid w:val="004231BC"/>
    <w:rsid w:val="004231DF"/>
    <w:rsid w:val="0042321E"/>
    <w:rsid w:val="0042325A"/>
    <w:rsid w:val="00423411"/>
    <w:rsid w:val="0042384D"/>
    <w:rsid w:val="00423B07"/>
    <w:rsid w:val="00423B1A"/>
    <w:rsid w:val="00423C4A"/>
    <w:rsid w:val="00423CC1"/>
    <w:rsid w:val="00423F6E"/>
    <w:rsid w:val="00423FD1"/>
    <w:rsid w:val="00424140"/>
    <w:rsid w:val="00424349"/>
    <w:rsid w:val="0042438D"/>
    <w:rsid w:val="004245D7"/>
    <w:rsid w:val="00424878"/>
    <w:rsid w:val="00424B33"/>
    <w:rsid w:val="00424ECA"/>
    <w:rsid w:val="00424F4E"/>
    <w:rsid w:val="004253F6"/>
    <w:rsid w:val="004256E4"/>
    <w:rsid w:val="0042571E"/>
    <w:rsid w:val="00425863"/>
    <w:rsid w:val="004259B6"/>
    <w:rsid w:val="00425B3A"/>
    <w:rsid w:val="00425B3C"/>
    <w:rsid w:val="00425BCF"/>
    <w:rsid w:val="00425C0F"/>
    <w:rsid w:val="00425D7A"/>
    <w:rsid w:val="00426070"/>
    <w:rsid w:val="00426084"/>
    <w:rsid w:val="00426184"/>
    <w:rsid w:val="0042640E"/>
    <w:rsid w:val="00426452"/>
    <w:rsid w:val="0042646C"/>
    <w:rsid w:val="0042648F"/>
    <w:rsid w:val="00426A76"/>
    <w:rsid w:val="00426B58"/>
    <w:rsid w:val="00426BE4"/>
    <w:rsid w:val="00426DCB"/>
    <w:rsid w:val="00426F16"/>
    <w:rsid w:val="00426FE2"/>
    <w:rsid w:val="0042704F"/>
    <w:rsid w:val="0042710F"/>
    <w:rsid w:val="00427244"/>
    <w:rsid w:val="004273D3"/>
    <w:rsid w:val="00427575"/>
    <w:rsid w:val="0042794F"/>
    <w:rsid w:val="004279FD"/>
    <w:rsid w:val="00427AFB"/>
    <w:rsid w:val="00427CE3"/>
    <w:rsid w:val="00427DC7"/>
    <w:rsid w:val="00427FB1"/>
    <w:rsid w:val="00430255"/>
    <w:rsid w:val="00430356"/>
    <w:rsid w:val="004303DF"/>
    <w:rsid w:val="00430410"/>
    <w:rsid w:val="00430415"/>
    <w:rsid w:val="00430552"/>
    <w:rsid w:val="004305A8"/>
    <w:rsid w:val="004305F0"/>
    <w:rsid w:val="004307B3"/>
    <w:rsid w:val="004307F9"/>
    <w:rsid w:val="0043080F"/>
    <w:rsid w:val="00430828"/>
    <w:rsid w:val="00430A6A"/>
    <w:rsid w:val="00430A8A"/>
    <w:rsid w:val="00430AF9"/>
    <w:rsid w:val="00430FF4"/>
    <w:rsid w:val="004310F8"/>
    <w:rsid w:val="0043121F"/>
    <w:rsid w:val="00431224"/>
    <w:rsid w:val="00431311"/>
    <w:rsid w:val="004315BD"/>
    <w:rsid w:val="00431626"/>
    <w:rsid w:val="00431758"/>
    <w:rsid w:val="0043177D"/>
    <w:rsid w:val="0043187D"/>
    <w:rsid w:val="004318BB"/>
    <w:rsid w:val="00431DA5"/>
    <w:rsid w:val="00431E2B"/>
    <w:rsid w:val="00431E69"/>
    <w:rsid w:val="00431FFF"/>
    <w:rsid w:val="0043200D"/>
    <w:rsid w:val="0043208B"/>
    <w:rsid w:val="004321FF"/>
    <w:rsid w:val="0043220D"/>
    <w:rsid w:val="00432432"/>
    <w:rsid w:val="00432611"/>
    <w:rsid w:val="00432682"/>
    <w:rsid w:val="0043271D"/>
    <w:rsid w:val="00432918"/>
    <w:rsid w:val="00432961"/>
    <w:rsid w:val="004329AF"/>
    <w:rsid w:val="00432B16"/>
    <w:rsid w:val="00432BED"/>
    <w:rsid w:val="00432C1B"/>
    <w:rsid w:val="00433123"/>
    <w:rsid w:val="0043312A"/>
    <w:rsid w:val="00433339"/>
    <w:rsid w:val="004335D3"/>
    <w:rsid w:val="00433630"/>
    <w:rsid w:val="00433764"/>
    <w:rsid w:val="0043384F"/>
    <w:rsid w:val="00433853"/>
    <w:rsid w:val="004339EC"/>
    <w:rsid w:val="00433C28"/>
    <w:rsid w:val="00433F5B"/>
    <w:rsid w:val="00434074"/>
    <w:rsid w:val="00434090"/>
    <w:rsid w:val="0043409D"/>
    <w:rsid w:val="0043423E"/>
    <w:rsid w:val="00434266"/>
    <w:rsid w:val="00434356"/>
    <w:rsid w:val="00434445"/>
    <w:rsid w:val="0043469F"/>
    <w:rsid w:val="004346D2"/>
    <w:rsid w:val="00434907"/>
    <w:rsid w:val="00434D16"/>
    <w:rsid w:val="00434E6D"/>
    <w:rsid w:val="00434F13"/>
    <w:rsid w:val="00434FD5"/>
    <w:rsid w:val="0043525F"/>
    <w:rsid w:val="0043553B"/>
    <w:rsid w:val="004355E9"/>
    <w:rsid w:val="00435614"/>
    <w:rsid w:val="00435661"/>
    <w:rsid w:val="004356EC"/>
    <w:rsid w:val="00435AA6"/>
    <w:rsid w:val="00435C56"/>
    <w:rsid w:val="00435D82"/>
    <w:rsid w:val="00435D95"/>
    <w:rsid w:val="00435EBF"/>
    <w:rsid w:val="00435F22"/>
    <w:rsid w:val="00436064"/>
    <w:rsid w:val="004360D2"/>
    <w:rsid w:val="00436102"/>
    <w:rsid w:val="0043668A"/>
    <w:rsid w:val="00436C54"/>
    <w:rsid w:val="00436DF6"/>
    <w:rsid w:val="00436F37"/>
    <w:rsid w:val="004371E6"/>
    <w:rsid w:val="0043732B"/>
    <w:rsid w:val="0043749C"/>
    <w:rsid w:val="004377F1"/>
    <w:rsid w:val="00437B27"/>
    <w:rsid w:val="00437BF7"/>
    <w:rsid w:val="00437C6A"/>
    <w:rsid w:val="00437CD3"/>
    <w:rsid w:val="00437D3B"/>
    <w:rsid w:val="00437D74"/>
    <w:rsid w:val="0044017F"/>
    <w:rsid w:val="004404BA"/>
    <w:rsid w:val="004404C5"/>
    <w:rsid w:val="0044064F"/>
    <w:rsid w:val="004406EE"/>
    <w:rsid w:val="0044096C"/>
    <w:rsid w:val="00440A01"/>
    <w:rsid w:val="00440B39"/>
    <w:rsid w:val="00440BBF"/>
    <w:rsid w:val="00440C08"/>
    <w:rsid w:val="00440E3F"/>
    <w:rsid w:val="00440E43"/>
    <w:rsid w:val="00441198"/>
    <w:rsid w:val="00441276"/>
    <w:rsid w:val="004415B6"/>
    <w:rsid w:val="00441656"/>
    <w:rsid w:val="00441834"/>
    <w:rsid w:val="00441A10"/>
    <w:rsid w:val="00441A1E"/>
    <w:rsid w:val="00441A59"/>
    <w:rsid w:val="00441AF3"/>
    <w:rsid w:val="00441C4C"/>
    <w:rsid w:val="00441C94"/>
    <w:rsid w:val="00441D12"/>
    <w:rsid w:val="00441E46"/>
    <w:rsid w:val="004420B4"/>
    <w:rsid w:val="004421B3"/>
    <w:rsid w:val="004421C8"/>
    <w:rsid w:val="004422B6"/>
    <w:rsid w:val="0044256F"/>
    <w:rsid w:val="00442623"/>
    <w:rsid w:val="00442821"/>
    <w:rsid w:val="004428E0"/>
    <w:rsid w:val="0044299B"/>
    <w:rsid w:val="004429ED"/>
    <w:rsid w:val="00442AD8"/>
    <w:rsid w:val="00442B14"/>
    <w:rsid w:val="00442B78"/>
    <w:rsid w:val="00442BAC"/>
    <w:rsid w:val="00442CB4"/>
    <w:rsid w:val="00442D93"/>
    <w:rsid w:val="00442E72"/>
    <w:rsid w:val="00442F41"/>
    <w:rsid w:val="00443003"/>
    <w:rsid w:val="0044312B"/>
    <w:rsid w:val="00443233"/>
    <w:rsid w:val="004432FA"/>
    <w:rsid w:val="0044334A"/>
    <w:rsid w:val="00443592"/>
    <w:rsid w:val="00443689"/>
    <w:rsid w:val="004437FE"/>
    <w:rsid w:val="0044385D"/>
    <w:rsid w:val="004438E3"/>
    <w:rsid w:val="00443D64"/>
    <w:rsid w:val="00443E07"/>
    <w:rsid w:val="00444041"/>
    <w:rsid w:val="00444060"/>
    <w:rsid w:val="004442A0"/>
    <w:rsid w:val="00444402"/>
    <w:rsid w:val="00444715"/>
    <w:rsid w:val="00444723"/>
    <w:rsid w:val="0044482A"/>
    <w:rsid w:val="00444833"/>
    <w:rsid w:val="004449B4"/>
    <w:rsid w:val="00444B41"/>
    <w:rsid w:val="00444C2F"/>
    <w:rsid w:val="00444EE1"/>
    <w:rsid w:val="00444FCD"/>
    <w:rsid w:val="004452C7"/>
    <w:rsid w:val="0044554A"/>
    <w:rsid w:val="00445650"/>
    <w:rsid w:val="00445769"/>
    <w:rsid w:val="0044588F"/>
    <w:rsid w:val="00445A5C"/>
    <w:rsid w:val="00445B2C"/>
    <w:rsid w:val="00445B56"/>
    <w:rsid w:val="00445BB6"/>
    <w:rsid w:val="00445BE4"/>
    <w:rsid w:val="00445C57"/>
    <w:rsid w:val="00445D8C"/>
    <w:rsid w:val="00445E2D"/>
    <w:rsid w:val="00445E5E"/>
    <w:rsid w:val="00445E83"/>
    <w:rsid w:val="00445EE7"/>
    <w:rsid w:val="00446048"/>
    <w:rsid w:val="00446148"/>
    <w:rsid w:val="0044637A"/>
    <w:rsid w:val="004463A6"/>
    <w:rsid w:val="00446446"/>
    <w:rsid w:val="004464DC"/>
    <w:rsid w:val="00446608"/>
    <w:rsid w:val="00446741"/>
    <w:rsid w:val="004467D6"/>
    <w:rsid w:val="004469A5"/>
    <w:rsid w:val="00446AD7"/>
    <w:rsid w:val="00446CA5"/>
    <w:rsid w:val="00446D77"/>
    <w:rsid w:val="00446E2B"/>
    <w:rsid w:val="0044710C"/>
    <w:rsid w:val="0044715F"/>
    <w:rsid w:val="00447178"/>
    <w:rsid w:val="004471E3"/>
    <w:rsid w:val="0044733B"/>
    <w:rsid w:val="004474A1"/>
    <w:rsid w:val="004474EF"/>
    <w:rsid w:val="00447644"/>
    <w:rsid w:val="0044766F"/>
    <w:rsid w:val="0044772F"/>
    <w:rsid w:val="00447950"/>
    <w:rsid w:val="004479ED"/>
    <w:rsid w:val="00447BDD"/>
    <w:rsid w:val="00447C14"/>
    <w:rsid w:val="00447E13"/>
    <w:rsid w:val="00450007"/>
    <w:rsid w:val="00450112"/>
    <w:rsid w:val="004503D9"/>
    <w:rsid w:val="00450431"/>
    <w:rsid w:val="00450546"/>
    <w:rsid w:val="0045060B"/>
    <w:rsid w:val="004506EC"/>
    <w:rsid w:val="0045071E"/>
    <w:rsid w:val="00450986"/>
    <w:rsid w:val="00450A3D"/>
    <w:rsid w:val="00450CAF"/>
    <w:rsid w:val="00450ED2"/>
    <w:rsid w:val="00450F87"/>
    <w:rsid w:val="004510DA"/>
    <w:rsid w:val="00451170"/>
    <w:rsid w:val="00451287"/>
    <w:rsid w:val="004514D6"/>
    <w:rsid w:val="0045159A"/>
    <w:rsid w:val="004515CF"/>
    <w:rsid w:val="00451636"/>
    <w:rsid w:val="004518B9"/>
    <w:rsid w:val="004518F4"/>
    <w:rsid w:val="004519B6"/>
    <w:rsid w:val="00451BBC"/>
    <w:rsid w:val="00451D15"/>
    <w:rsid w:val="004521D4"/>
    <w:rsid w:val="004521F4"/>
    <w:rsid w:val="00452452"/>
    <w:rsid w:val="00452519"/>
    <w:rsid w:val="00452545"/>
    <w:rsid w:val="00452554"/>
    <w:rsid w:val="0045257C"/>
    <w:rsid w:val="004525E4"/>
    <w:rsid w:val="00452643"/>
    <w:rsid w:val="0045283E"/>
    <w:rsid w:val="004528F9"/>
    <w:rsid w:val="00452947"/>
    <w:rsid w:val="0045297E"/>
    <w:rsid w:val="00452A8A"/>
    <w:rsid w:val="00452B1F"/>
    <w:rsid w:val="00452B88"/>
    <w:rsid w:val="00452C1C"/>
    <w:rsid w:val="00452D9C"/>
    <w:rsid w:val="00452E0B"/>
    <w:rsid w:val="00452FBC"/>
    <w:rsid w:val="004532CB"/>
    <w:rsid w:val="004532E6"/>
    <w:rsid w:val="0045330D"/>
    <w:rsid w:val="00453430"/>
    <w:rsid w:val="0045373D"/>
    <w:rsid w:val="00453771"/>
    <w:rsid w:val="004538A4"/>
    <w:rsid w:val="00453909"/>
    <w:rsid w:val="00453C4A"/>
    <w:rsid w:val="00453D12"/>
    <w:rsid w:val="00453DB9"/>
    <w:rsid w:val="00453E13"/>
    <w:rsid w:val="00454026"/>
    <w:rsid w:val="0045408E"/>
    <w:rsid w:val="00454093"/>
    <w:rsid w:val="00454131"/>
    <w:rsid w:val="0045418C"/>
    <w:rsid w:val="00454224"/>
    <w:rsid w:val="00454354"/>
    <w:rsid w:val="004544F2"/>
    <w:rsid w:val="004545BA"/>
    <w:rsid w:val="004545C5"/>
    <w:rsid w:val="00454654"/>
    <w:rsid w:val="0045467C"/>
    <w:rsid w:val="004549FD"/>
    <w:rsid w:val="00454A12"/>
    <w:rsid w:val="00454A15"/>
    <w:rsid w:val="00454B38"/>
    <w:rsid w:val="00454D0C"/>
    <w:rsid w:val="00454E20"/>
    <w:rsid w:val="0045501F"/>
    <w:rsid w:val="004550CD"/>
    <w:rsid w:val="00455483"/>
    <w:rsid w:val="00455543"/>
    <w:rsid w:val="0045561A"/>
    <w:rsid w:val="004558D3"/>
    <w:rsid w:val="00455948"/>
    <w:rsid w:val="00455AF7"/>
    <w:rsid w:val="00455B0E"/>
    <w:rsid w:val="00455B54"/>
    <w:rsid w:val="00455D51"/>
    <w:rsid w:val="00455FCD"/>
    <w:rsid w:val="004561CC"/>
    <w:rsid w:val="00456212"/>
    <w:rsid w:val="0045658A"/>
    <w:rsid w:val="004565F4"/>
    <w:rsid w:val="004566A3"/>
    <w:rsid w:val="0045671C"/>
    <w:rsid w:val="00456849"/>
    <w:rsid w:val="004568E6"/>
    <w:rsid w:val="00456A34"/>
    <w:rsid w:val="00456A70"/>
    <w:rsid w:val="00456D4A"/>
    <w:rsid w:val="00456D97"/>
    <w:rsid w:val="00456E90"/>
    <w:rsid w:val="00456EFA"/>
    <w:rsid w:val="00456F21"/>
    <w:rsid w:val="004571A3"/>
    <w:rsid w:val="004571D2"/>
    <w:rsid w:val="004572DA"/>
    <w:rsid w:val="004573E6"/>
    <w:rsid w:val="00457426"/>
    <w:rsid w:val="004574D6"/>
    <w:rsid w:val="0045771D"/>
    <w:rsid w:val="00457902"/>
    <w:rsid w:val="00457A0C"/>
    <w:rsid w:val="00457A1B"/>
    <w:rsid w:val="00457AC1"/>
    <w:rsid w:val="00457B36"/>
    <w:rsid w:val="00457CCF"/>
    <w:rsid w:val="00457D75"/>
    <w:rsid w:val="00457DA5"/>
    <w:rsid w:val="00457DE8"/>
    <w:rsid w:val="00457E9C"/>
    <w:rsid w:val="00457ECF"/>
    <w:rsid w:val="00460148"/>
    <w:rsid w:val="004602B3"/>
    <w:rsid w:val="004602CD"/>
    <w:rsid w:val="0046057E"/>
    <w:rsid w:val="004606AA"/>
    <w:rsid w:val="004606BC"/>
    <w:rsid w:val="004606CC"/>
    <w:rsid w:val="00460956"/>
    <w:rsid w:val="00460B84"/>
    <w:rsid w:val="00460B98"/>
    <w:rsid w:val="00460C56"/>
    <w:rsid w:val="00460CD3"/>
    <w:rsid w:val="00460DFA"/>
    <w:rsid w:val="00460E2E"/>
    <w:rsid w:val="00460EDA"/>
    <w:rsid w:val="00460FA5"/>
    <w:rsid w:val="00461005"/>
    <w:rsid w:val="004610BD"/>
    <w:rsid w:val="0046117B"/>
    <w:rsid w:val="004611E6"/>
    <w:rsid w:val="004612F8"/>
    <w:rsid w:val="00461703"/>
    <w:rsid w:val="00461720"/>
    <w:rsid w:val="004617A6"/>
    <w:rsid w:val="004617AC"/>
    <w:rsid w:val="00461820"/>
    <w:rsid w:val="00461BDC"/>
    <w:rsid w:val="00461CE3"/>
    <w:rsid w:val="00462244"/>
    <w:rsid w:val="004622D7"/>
    <w:rsid w:val="00462419"/>
    <w:rsid w:val="0046267F"/>
    <w:rsid w:val="0046273B"/>
    <w:rsid w:val="00462794"/>
    <w:rsid w:val="00462BD3"/>
    <w:rsid w:val="00462F11"/>
    <w:rsid w:val="0046307D"/>
    <w:rsid w:val="00463191"/>
    <w:rsid w:val="00463210"/>
    <w:rsid w:val="0046334C"/>
    <w:rsid w:val="0046336F"/>
    <w:rsid w:val="00463490"/>
    <w:rsid w:val="0046354E"/>
    <w:rsid w:val="0046391A"/>
    <w:rsid w:val="0046391C"/>
    <w:rsid w:val="00463A90"/>
    <w:rsid w:val="00463B32"/>
    <w:rsid w:val="00463C52"/>
    <w:rsid w:val="00463E10"/>
    <w:rsid w:val="00463E11"/>
    <w:rsid w:val="00463FBF"/>
    <w:rsid w:val="004640FB"/>
    <w:rsid w:val="00464137"/>
    <w:rsid w:val="00464211"/>
    <w:rsid w:val="004643CB"/>
    <w:rsid w:val="0046445E"/>
    <w:rsid w:val="004647F9"/>
    <w:rsid w:val="00464C40"/>
    <w:rsid w:val="00464C99"/>
    <w:rsid w:val="00464CB8"/>
    <w:rsid w:val="00464CFC"/>
    <w:rsid w:val="00464D65"/>
    <w:rsid w:val="00464E71"/>
    <w:rsid w:val="00464F68"/>
    <w:rsid w:val="0046514E"/>
    <w:rsid w:val="00465194"/>
    <w:rsid w:val="00465297"/>
    <w:rsid w:val="00465302"/>
    <w:rsid w:val="004653E9"/>
    <w:rsid w:val="00465555"/>
    <w:rsid w:val="004655BD"/>
    <w:rsid w:val="00465620"/>
    <w:rsid w:val="004657C9"/>
    <w:rsid w:val="00465A8A"/>
    <w:rsid w:val="00465AD3"/>
    <w:rsid w:val="00465AE1"/>
    <w:rsid w:val="00465B2A"/>
    <w:rsid w:val="00465D78"/>
    <w:rsid w:val="00465F58"/>
    <w:rsid w:val="004664A3"/>
    <w:rsid w:val="004664CD"/>
    <w:rsid w:val="004667DC"/>
    <w:rsid w:val="004668B4"/>
    <w:rsid w:val="004668F7"/>
    <w:rsid w:val="0046690E"/>
    <w:rsid w:val="00466953"/>
    <w:rsid w:val="00466A31"/>
    <w:rsid w:val="00466EAC"/>
    <w:rsid w:val="00467073"/>
    <w:rsid w:val="004671B4"/>
    <w:rsid w:val="00467255"/>
    <w:rsid w:val="00467285"/>
    <w:rsid w:val="00467294"/>
    <w:rsid w:val="004673D9"/>
    <w:rsid w:val="004673F4"/>
    <w:rsid w:val="00467444"/>
    <w:rsid w:val="00467591"/>
    <w:rsid w:val="00467628"/>
    <w:rsid w:val="0046763D"/>
    <w:rsid w:val="004678CB"/>
    <w:rsid w:val="00467926"/>
    <w:rsid w:val="00467933"/>
    <w:rsid w:val="004679CC"/>
    <w:rsid w:val="00467A11"/>
    <w:rsid w:val="00467E4E"/>
    <w:rsid w:val="00467ECE"/>
    <w:rsid w:val="0047015E"/>
    <w:rsid w:val="00470243"/>
    <w:rsid w:val="00470430"/>
    <w:rsid w:val="00470450"/>
    <w:rsid w:val="004708A6"/>
    <w:rsid w:val="00470AC1"/>
    <w:rsid w:val="00470B6D"/>
    <w:rsid w:val="00470B7F"/>
    <w:rsid w:val="00470CB9"/>
    <w:rsid w:val="00470CF0"/>
    <w:rsid w:val="00470E1E"/>
    <w:rsid w:val="00470F10"/>
    <w:rsid w:val="00470F9A"/>
    <w:rsid w:val="00471013"/>
    <w:rsid w:val="0047113E"/>
    <w:rsid w:val="0047136F"/>
    <w:rsid w:val="00471503"/>
    <w:rsid w:val="00471552"/>
    <w:rsid w:val="004715C1"/>
    <w:rsid w:val="00471926"/>
    <w:rsid w:val="004719F3"/>
    <w:rsid w:val="00471A04"/>
    <w:rsid w:val="00471A1E"/>
    <w:rsid w:val="00471A7A"/>
    <w:rsid w:val="00471D1F"/>
    <w:rsid w:val="00471DBA"/>
    <w:rsid w:val="00471E38"/>
    <w:rsid w:val="00471EE3"/>
    <w:rsid w:val="0047201D"/>
    <w:rsid w:val="00472181"/>
    <w:rsid w:val="004721C5"/>
    <w:rsid w:val="0047226F"/>
    <w:rsid w:val="00472301"/>
    <w:rsid w:val="00472620"/>
    <w:rsid w:val="0047266F"/>
    <w:rsid w:val="004726E7"/>
    <w:rsid w:val="004729E7"/>
    <w:rsid w:val="00472BF6"/>
    <w:rsid w:val="00472E43"/>
    <w:rsid w:val="00472EA2"/>
    <w:rsid w:val="00472EDC"/>
    <w:rsid w:val="00473154"/>
    <w:rsid w:val="00473473"/>
    <w:rsid w:val="0047369C"/>
    <w:rsid w:val="004736CC"/>
    <w:rsid w:val="0047372B"/>
    <w:rsid w:val="004738E6"/>
    <w:rsid w:val="00473B24"/>
    <w:rsid w:val="00473C3E"/>
    <w:rsid w:val="00473F46"/>
    <w:rsid w:val="00473FCE"/>
    <w:rsid w:val="0047437B"/>
    <w:rsid w:val="004746FF"/>
    <w:rsid w:val="004747F1"/>
    <w:rsid w:val="004747F5"/>
    <w:rsid w:val="0047497D"/>
    <w:rsid w:val="00474A8E"/>
    <w:rsid w:val="00474B74"/>
    <w:rsid w:val="00474CE9"/>
    <w:rsid w:val="00475094"/>
    <w:rsid w:val="0047509F"/>
    <w:rsid w:val="004751F2"/>
    <w:rsid w:val="0047525D"/>
    <w:rsid w:val="00475312"/>
    <w:rsid w:val="0047555D"/>
    <w:rsid w:val="004755F0"/>
    <w:rsid w:val="0047567F"/>
    <w:rsid w:val="004758F3"/>
    <w:rsid w:val="0047599A"/>
    <w:rsid w:val="004759BB"/>
    <w:rsid w:val="00475A8E"/>
    <w:rsid w:val="00475AE7"/>
    <w:rsid w:val="00475B36"/>
    <w:rsid w:val="00475E9E"/>
    <w:rsid w:val="0047611C"/>
    <w:rsid w:val="00476127"/>
    <w:rsid w:val="00476228"/>
    <w:rsid w:val="00476251"/>
    <w:rsid w:val="0047648B"/>
    <w:rsid w:val="00476712"/>
    <w:rsid w:val="004767A0"/>
    <w:rsid w:val="004767AD"/>
    <w:rsid w:val="00476805"/>
    <w:rsid w:val="00476811"/>
    <w:rsid w:val="004768A9"/>
    <w:rsid w:val="004769C2"/>
    <w:rsid w:val="00476A66"/>
    <w:rsid w:val="00476B0B"/>
    <w:rsid w:val="00476BBD"/>
    <w:rsid w:val="00476F8C"/>
    <w:rsid w:val="004770B4"/>
    <w:rsid w:val="00477117"/>
    <w:rsid w:val="0047711D"/>
    <w:rsid w:val="004772FE"/>
    <w:rsid w:val="00477407"/>
    <w:rsid w:val="0047748E"/>
    <w:rsid w:val="004775ED"/>
    <w:rsid w:val="00477CBF"/>
    <w:rsid w:val="00477DC8"/>
    <w:rsid w:val="00477E97"/>
    <w:rsid w:val="00477F44"/>
    <w:rsid w:val="004800BB"/>
    <w:rsid w:val="004800D1"/>
    <w:rsid w:val="00480281"/>
    <w:rsid w:val="004802F8"/>
    <w:rsid w:val="0048062E"/>
    <w:rsid w:val="00480742"/>
    <w:rsid w:val="00480A96"/>
    <w:rsid w:val="00480AFB"/>
    <w:rsid w:val="00480B3B"/>
    <w:rsid w:val="00480D11"/>
    <w:rsid w:val="00480E04"/>
    <w:rsid w:val="00480EAB"/>
    <w:rsid w:val="00480EBF"/>
    <w:rsid w:val="00480F03"/>
    <w:rsid w:val="004811CD"/>
    <w:rsid w:val="00481282"/>
    <w:rsid w:val="004813AC"/>
    <w:rsid w:val="004813E3"/>
    <w:rsid w:val="004813F2"/>
    <w:rsid w:val="00481522"/>
    <w:rsid w:val="00481739"/>
    <w:rsid w:val="00481C26"/>
    <w:rsid w:val="00481C5A"/>
    <w:rsid w:val="00481C81"/>
    <w:rsid w:val="00481F83"/>
    <w:rsid w:val="004821D9"/>
    <w:rsid w:val="00482288"/>
    <w:rsid w:val="0048240F"/>
    <w:rsid w:val="0048252B"/>
    <w:rsid w:val="00482732"/>
    <w:rsid w:val="00482A4B"/>
    <w:rsid w:val="00482AA1"/>
    <w:rsid w:val="00482AB6"/>
    <w:rsid w:val="00482B67"/>
    <w:rsid w:val="00482BD0"/>
    <w:rsid w:val="00482D20"/>
    <w:rsid w:val="00482E4B"/>
    <w:rsid w:val="00482EBD"/>
    <w:rsid w:val="0048309B"/>
    <w:rsid w:val="00483197"/>
    <w:rsid w:val="00483583"/>
    <w:rsid w:val="004835A6"/>
    <w:rsid w:val="00483641"/>
    <w:rsid w:val="00483670"/>
    <w:rsid w:val="00483722"/>
    <w:rsid w:val="00483975"/>
    <w:rsid w:val="00483994"/>
    <w:rsid w:val="004839F5"/>
    <w:rsid w:val="0048401D"/>
    <w:rsid w:val="00484037"/>
    <w:rsid w:val="004840BE"/>
    <w:rsid w:val="00484271"/>
    <w:rsid w:val="0048430E"/>
    <w:rsid w:val="00484330"/>
    <w:rsid w:val="0048436B"/>
    <w:rsid w:val="004845E0"/>
    <w:rsid w:val="004845F5"/>
    <w:rsid w:val="0048466B"/>
    <w:rsid w:val="00484691"/>
    <w:rsid w:val="00484B38"/>
    <w:rsid w:val="00484C0A"/>
    <w:rsid w:val="00484EB4"/>
    <w:rsid w:val="00484EBB"/>
    <w:rsid w:val="00484F42"/>
    <w:rsid w:val="00484F7E"/>
    <w:rsid w:val="00484F95"/>
    <w:rsid w:val="004851D9"/>
    <w:rsid w:val="004855DB"/>
    <w:rsid w:val="004857C8"/>
    <w:rsid w:val="0048592E"/>
    <w:rsid w:val="00485D31"/>
    <w:rsid w:val="00485DC7"/>
    <w:rsid w:val="00485F19"/>
    <w:rsid w:val="0048615A"/>
    <w:rsid w:val="004861C0"/>
    <w:rsid w:val="004862EC"/>
    <w:rsid w:val="0048638F"/>
    <w:rsid w:val="004864F3"/>
    <w:rsid w:val="00486563"/>
    <w:rsid w:val="00486612"/>
    <w:rsid w:val="00486687"/>
    <w:rsid w:val="00486810"/>
    <w:rsid w:val="00486915"/>
    <w:rsid w:val="00486A29"/>
    <w:rsid w:val="00486A7C"/>
    <w:rsid w:val="00486AE2"/>
    <w:rsid w:val="00486BBA"/>
    <w:rsid w:val="00486CB4"/>
    <w:rsid w:val="00487005"/>
    <w:rsid w:val="0048700C"/>
    <w:rsid w:val="0048707E"/>
    <w:rsid w:val="004870BB"/>
    <w:rsid w:val="00487247"/>
    <w:rsid w:val="0048726D"/>
    <w:rsid w:val="00487276"/>
    <w:rsid w:val="0048735B"/>
    <w:rsid w:val="004874D2"/>
    <w:rsid w:val="00487538"/>
    <w:rsid w:val="00487616"/>
    <w:rsid w:val="0048769E"/>
    <w:rsid w:val="0048769F"/>
    <w:rsid w:val="004878AF"/>
    <w:rsid w:val="00487A97"/>
    <w:rsid w:val="00487AF3"/>
    <w:rsid w:val="00487C0D"/>
    <w:rsid w:val="00487D53"/>
    <w:rsid w:val="00487D7F"/>
    <w:rsid w:val="00487ED9"/>
    <w:rsid w:val="00487EDA"/>
    <w:rsid w:val="00490018"/>
    <w:rsid w:val="004900AC"/>
    <w:rsid w:val="00490273"/>
    <w:rsid w:val="004902BE"/>
    <w:rsid w:val="0049068C"/>
    <w:rsid w:val="00490802"/>
    <w:rsid w:val="00490818"/>
    <w:rsid w:val="0049090E"/>
    <w:rsid w:val="004909AE"/>
    <w:rsid w:val="004909DA"/>
    <w:rsid w:val="00490B33"/>
    <w:rsid w:val="00490B60"/>
    <w:rsid w:val="00490BD5"/>
    <w:rsid w:val="00490DD6"/>
    <w:rsid w:val="00490EBA"/>
    <w:rsid w:val="00490F28"/>
    <w:rsid w:val="00490FE6"/>
    <w:rsid w:val="00491283"/>
    <w:rsid w:val="0049129C"/>
    <w:rsid w:val="004912C1"/>
    <w:rsid w:val="004912E6"/>
    <w:rsid w:val="0049151A"/>
    <w:rsid w:val="00491681"/>
    <w:rsid w:val="0049169E"/>
    <w:rsid w:val="004916F7"/>
    <w:rsid w:val="0049171E"/>
    <w:rsid w:val="00491835"/>
    <w:rsid w:val="004918FF"/>
    <w:rsid w:val="0049192A"/>
    <w:rsid w:val="00491A14"/>
    <w:rsid w:val="00491A37"/>
    <w:rsid w:val="00491D6A"/>
    <w:rsid w:val="00491D88"/>
    <w:rsid w:val="00491EC8"/>
    <w:rsid w:val="00491F0F"/>
    <w:rsid w:val="00491F47"/>
    <w:rsid w:val="00491F7F"/>
    <w:rsid w:val="00492099"/>
    <w:rsid w:val="004920D3"/>
    <w:rsid w:val="004920E9"/>
    <w:rsid w:val="0049218E"/>
    <w:rsid w:val="004922A1"/>
    <w:rsid w:val="004922F9"/>
    <w:rsid w:val="004923E5"/>
    <w:rsid w:val="00492555"/>
    <w:rsid w:val="0049257E"/>
    <w:rsid w:val="004925C2"/>
    <w:rsid w:val="00492657"/>
    <w:rsid w:val="00492730"/>
    <w:rsid w:val="00492B0E"/>
    <w:rsid w:val="00492B89"/>
    <w:rsid w:val="00492C84"/>
    <w:rsid w:val="00492CD2"/>
    <w:rsid w:val="00492F15"/>
    <w:rsid w:val="0049321C"/>
    <w:rsid w:val="004932A9"/>
    <w:rsid w:val="004932B9"/>
    <w:rsid w:val="004933A1"/>
    <w:rsid w:val="0049343A"/>
    <w:rsid w:val="004934C6"/>
    <w:rsid w:val="004934FB"/>
    <w:rsid w:val="00493627"/>
    <w:rsid w:val="004936D8"/>
    <w:rsid w:val="0049377F"/>
    <w:rsid w:val="004939E1"/>
    <w:rsid w:val="00493A36"/>
    <w:rsid w:val="00493FBC"/>
    <w:rsid w:val="00493FDD"/>
    <w:rsid w:val="0049400A"/>
    <w:rsid w:val="0049403B"/>
    <w:rsid w:val="00494109"/>
    <w:rsid w:val="0049463E"/>
    <w:rsid w:val="004948E8"/>
    <w:rsid w:val="00494AC8"/>
    <w:rsid w:val="00494B9C"/>
    <w:rsid w:val="00494BA8"/>
    <w:rsid w:val="00494C6B"/>
    <w:rsid w:val="00494CB9"/>
    <w:rsid w:val="00494E4E"/>
    <w:rsid w:val="00494EB7"/>
    <w:rsid w:val="0049502D"/>
    <w:rsid w:val="00495180"/>
    <w:rsid w:val="00495181"/>
    <w:rsid w:val="00495393"/>
    <w:rsid w:val="004954AF"/>
    <w:rsid w:val="004955A3"/>
    <w:rsid w:val="0049564F"/>
    <w:rsid w:val="00495855"/>
    <w:rsid w:val="00495952"/>
    <w:rsid w:val="004959B6"/>
    <w:rsid w:val="00495ADB"/>
    <w:rsid w:val="00495C1D"/>
    <w:rsid w:val="00495C24"/>
    <w:rsid w:val="00495D47"/>
    <w:rsid w:val="00495EB2"/>
    <w:rsid w:val="00495FA7"/>
    <w:rsid w:val="0049603D"/>
    <w:rsid w:val="0049626D"/>
    <w:rsid w:val="00496306"/>
    <w:rsid w:val="004963AA"/>
    <w:rsid w:val="004964B1"/>
    <w:rsid w:val="004965E4"/>
    <w:rsid w:val="00496780"/>
    <w:rsid w:val="00496982"/>
    <w:rsid w:val="00496A41"/>
    <w:rsid w:val="00496A9C"/>
    <w:rsid w:val="00496CD1"/>
    <w:rsid w:val="00496D44"/>
    <w:rsid w:val="00496D64"/>
    <w:rsid w:val="00496D6C"/>
    <w:rsid w:val="004970BC"/>
    <w:rsid w:val="0049710F"/>
    <w:rsid w:val="0049718D"/>
    <w:rsid w:val="00497223"/>
    <w:rsid w:val="004972DE"/>
    <w:rsid w:val="0049754A"/>
    <w:rsid w:val="004975AC"/>
    <w:rsid w:val="004977AD"/>
    <w:rsid w:val="00497BB7"/>
    <w:rsid w:val="00497C7C"/>
    <w:rsid w:val="00497CFD"/>
    <w:rsid w:val="00497E5A"/>
    <w:rsid w:val="00497F62"/>
    <w:rsid w:val="00497F63"/>
    <w:rsid w:val="00497FD6"/>
    <w:rsid w:val="004A0449"/>
    <w:rsid w:val="004A04AE"/>
    <w:rsid w:val="004A0578"/>
    <w:rsid w:val="004A05C7"/>
    <w:rsid w:val="004A061F"/>
    <w:rsid w:val="004A0674"/>
    <w:rsid w:val="004A0675"/>
    <w:rsid w:val="004A067C"/>
    <w:rsid w:val="004A070E"/>
    <w:rsid w:val="004A0747"/>
    <w:rsid w:val="004A087E"/>
    <w:rsid w:val="004A0923"/>
    <w:rsid w:val="004A099C"/>
    <w:rsid w:val="004A0A20"/>
    <w:rsid w:val="004A0CFD"/>
    <w:rsid w:val="004A0E2B"/>
    <w:rsid w:val="004A0E59"/>
    <w:rsid w:val="004A0ECA"/>
    <w:rsid w:val="004A10D2"/>
    <w:rsid w:val="004A1192"/>
    <w:rsid w:val="004A15E5"/>
    <w:rsid w:val="004A165A"/>
    <w:rsid w:val="004A1687"/>
    <w:rsid w:val="004A16FF"/>
    <w:rsid w:val="004A1810"/>
    <w:rsid w:val="004A1A0F"/>
    <w:rsid w:val="004A1C84"/>
    <w:rsid w:val="004A1CFE"/>
    <w:rsid w:val="004A1F01"/>
    <w:rsid w:val="004A2149"/>
    <w:rsid w:val="004A2168"/>
    <w:rsid w:val="004A219B"/>
    <w:rsid w:val="004A24E4"/>
    <w:rsid w:val="004A267F"/>
    <w:rsid w:val="004A26AC"/>
    <w:rsid w:val="004A26CE"/>
    <w:rsid w:val="004A2E8C"/>
    <w:rsid w:val="004A2F63"/>
    <w:rsid w:val="004A32AB"/>
    <w:rsid w:val="004A33A9"/>
    <w:rsid w:val="004A3599"/>
    <w:rsid w:val="004A363D"/>
    <w:rsid w:val="004A3935"/>
    <w:rsid w:val="004A3EF9"/>
    <w:rsid w:val="004A3F32"/>
    <w:rsid w:val="004A40EA"/>
    <w:rsid w:val="004A40EF"/>
    <w:rsid w:val="004A4235"/>
    <w:rsid w:val="004A4288"/>
    <w:rsid w:val="004A42D1"/>
    <w:rsid w:val="004A42F6"/>
    <w:rsid w:val="004A4372"/>
    <w:rsid w:val="004A4659"/>
    <w:rsid w:val="004A4758"/>
    <w:rsid w:val="004A4817"/>
    <w:rsid w:val="004A4D48"/>
    <w:rsid w:val="004A517D"/>
    <w:rsid w:val="004A5415"/>
    <w:rsid w:val="004A576F"/>
    <w:rsid w:val="004A57E1"/>
    <w:rsid w:val="004A587F"/>
    <w:rsid w:val="004A589B"/>
    <w:rsid w:val="004A5AB8"/>
    <w:rsid w:val="004A5E08"/>
    <w:rsid w:val="004A610C"/>
    <w:rsid w:val="004A61E1"/>
    <w:rsid w:val="004A61EA"/>
    <w:rsid w:val="004A6301"/>
    <w:rsid w:val="004A6370"/>
    <w:rsid w:val="004A66A6"/>
    <w:rsid w:val="004A66EF"/>
    <w:rsid w:val="004A6771"/>
    <w:rsid w:val="004A6799"/>
    <w:rsid w:val="004A67D7"/>
    <w:rsid w:val="004A6893"/>
    <w:rsid w:val="004A6971"/>
    <w:rsid w:val="004A6A4C"/>
    <w:rsid w:val="004A6D40"/>
    <w:rsid w:val="004A6DA2"/>
    <w:rsid w:val="004A6E15"/>
    <w:rsid w:val="004A6E22"/>
    <w:rsid w:val="004A6EA7"/>
    <w:rsid w:val="004A7087"/>
    <w:rsid w:val="004A71AF"/>
    <w:rsid w:val="004A7449"/>
    <w:rsid w:val="004A745B"/>
    <w:rsid w:val="004A7488"/>
    <w:rsid w:val="004A76AE"/>
    <w:rsid w:val="004A7775"/>
    <w:rsid w:val="004A77DD"/>
    <w:rsid w:val="004A786A"/>
    <w:rsid w:val="004A78D1"/>
    <w:rsid w:val="004A7910"/>
    <w:rsid w:val="004A7954"/>
    <w:rsid w:val="004A7958"/>
    <w:rsid w:val="004A7961"/>
    <w:rsid w:val="004A7AF5"/>
    <w:rsid w:val="004A7B06"/>
    <w:rsid w:val="004A7CA9"/>
    <w:rsid w:val="004A7D2A"/>
    <w:rsid w:val="004B0089"/>
    <w:rsid w:val="004B0092"/>
    <w:rsid w:val="004B00E1"/>
    <w:rsid w:val="004B0208"/>
    <w:rsid w:val="004B046F"/>
    <w:rsid w:val="004B0944"/>
    <w:rsid w:val="004B09B7"/>
    <w:rsid w:val="004B0A9C"/>
    <w:rsid w:val="004B0B9D"/>
    <w:rsid w:val="004B0F45"/>
    <w:rsid w:val="004B0FFA"/>
    <w:rsid w:val="004B1168"/>
    <w:rsid w:val="004B1182"/>
    <w:rsid w:val="004B1285"/>
    <w:rsid w:val="004B1293"/>
    <w:rsid w:val="004B12A7"/>
    <w:rsid w:val="004B134E"/>
    <w:rsid w:val="004B13AD"/>
    <w:rsid w:val="004B15B3"/>
    <w:rsid w:val="004B16EE"/>
    <w:rsid w:val="004B1722"/>
    <w:rsid w:val="004B183E"/>
    <w:rsid w:val="004B18ED"/>
    <w:rsid w:val="004B191A"/>
    <w:rsid w:val="004B196D"/>
    <w:rsid w:val="004B1A65"/>
    <w:rsid w:val="004B1A92"/>
    <w:rsid w:val="004B1B12"/>
    <w:rsid w:val="004B1BB8"/>
    <w:rsid w:val="004B1BE2"/>
    <w:rsid w:val="004B1C62"/>
    <w:rsid w:val="004B2420"/>
    <w:rsid w:val="004B2505"/>
    <w:rsid w:val="004B251E"/>
    <w:rsid w:val="004B256A"/>
    <w:rsid w:val="004B27CC"/>
    <w:rsid w:val="004B2ABB"/>
    <w:rsid w:val="004B2CD7"/>
    <w:rsid w:val="004B2D7F"/>
    <w:rsid w:val="004B2DA6"/>
    <w:rsid w:val="004B2F9F"/>
    <w:rsid w:val="004B2FCF"/>
    <w:rsid w:val="004B304A"/>
    <w:rsid w:val="004B3194"/>
    <w:rsid w:val="004B31FE"/>
    <w:rsid w:val="004B3277"/>
    <w:rsid w:val="004B33A9"/>
    <w:rsid w:val="004B3544"/>
    <w:rsid w:val="004B3549"/>
    <w:rsid w:val="004B3565"/>
    <w:rsid w:val="004B3746"/>
    <w:rsid w:val="004B394C"/>
    <w:rsid w:val="004B3BA3"/>
    <w:rsid w:val="004B3FE8"/>
    <w:rsid w:val="004B40A9"/>
    <w:rsid w:val="004B4190"/>
    <w:rsid w:val="004B4543"/>
    <w:rsid w:val="004B45CF"/>
    <w:rsid w:val="004B46FF"/>
    <w:rsid w:val="004B47B4"/>
    <w:rsid w:val="004B49F3"/>
    <w:rsid w:val="004B4BB9"/>
    <w:rsid w:val="004B4D69"/>
    <w:rsid w:val="004B505E"/>
    <w:rsid w:val="004B5066"/>
    <w:rsid w:val="004B50E2"/>
    <w:rsid w:val="004B51E6"/>
    <w:rsid w:val="004B5232"/>
    <w:rsid w:val="004B5391"/>
    <w:rsid w:val="004B53D6"/>
    <w:rsid w:val="004B5651"/>
    <w:rsid w:val="004B56B5"/>
    <w:rsid w:val="004B56CE"/>
    <w:rsid w:val="004B595A"/>
    <w:rsid w:val="004B5C8F"/>
    <w:rsid w:val="004B5E84"/>
    <w:rsid w:val="004B6238"/>
    <w:rsid w:val="004B66BC"/>
    <w:rsid w:val="004B67D0"/>
    <w:rsid w:val="004B6967"/>
    <w:rsid w:val="004B69CE"/>
    <w:rsid w:val="004B6A11"/>
    <w:rsid w:val="004B6B41"/>
    <w:rsid w:val="004B7068"/>
    <w:rsid w:val="004B7149"/>
    <w:rsid w:val="004B715A"/>
    <w:rsid w:val="004B72BF"/>
    <w:rsid w:val="004B776E"/>
    <w:rsid w:val="004B7844"/>
    <w:rsid w:val="004B787A"/>
    <w:rsid w:val="004B787D"/>
    <w:rsid w:val="004B7887"/>
    <w:rsid w:val="004B799B"/>
    <w:rsid w:val="004B7A04"/>
    <w:rsid w:val="004B7BA3"/>
    <w:rsid w:val="004B7C35"/>
    <w:rsid w:val="004B7D32"/>
    <w:rsid w:val="004B7D55"/>
    <w:rsid w:val="004C007D"/>
    <w:rsid w:val="004C00F3"/>
    <w:rsid w:val="004C0231"/>
    <w:rsid w:val="004C0419"/>
    <w:rsid w:val="004C0495"/>
    <w:rsid w:val="004C050F"/>
    <w:rsid w:val="004C05E1"/>
    <w:rsid w:val="004C0638"/>
    <w:rsid w:val="004C074D"/>
    <w:rsid w:val="004C0B15"/>
    <w:rsid w:val="004C0DD2"/>
    <w:rsid w:val="004C1329"/>
    <w:rsid w:val="004C13D3"/>
    <w:rsid w:val="004C1432"/>
    <w:rsid w:val="004C1528"/>
    <w:rsid w:val="004C1593"/>
    <w:rsid w:val="004C15D6"/>
    <w:rsid w:val="004C1606"/>
    <w:rsid w:val="004C1698"/>
    <w:rsid w:val="004C18C0"/>
    <w:rsid w:val="004C1A1A"/>
    <w:rsid w:val="004C1B3A"/>
    <w:rsid w:val="004C1D26"/>
    <w:rsid w:val="004C1DDF"/>
    <w:rsid w:val="004C2259"/>
    <w:rsid w:val="004C23AC"/>
    <w:rsid w:val="004C23EE"/>
    <w:rsid w:val="004C2489"/>
    <w:rsid w:val="004C25FE"/>
    <w:rsid w:val="004C2605"/>
    <w:rsid w:val="004C26B3"/>
    <w:rsid w:val="004C2B5C"/>
    <w:rsid w:val="004C2BC0"/>
    <w:rsid w:val="004C2E2D"/>
    <w:rsid w:val="004C323F"/>
    <w:rsid w:val="004C3280"/>
    <w:rsid w:val="004C3392"/>
    <w:rsid w:val="004C3453"/>
    <w:rsid w:val="004C37F5"/>
    <w:rsid w:val="004C39FD"/>
    <w:rsid w:val="004C39FE"/>
    <w:rsid w:val="004C3A8B"/>
    <w:rsid w:val="004C3C09"/>
    <w:rsid w:val="004C3C49"/>
    <w:rsid w:val="004C3D4E"/>
    <w:rsid w:val="004C3E59"/>
    <w:rsid w:val="004C3E82"/>
    <w:rsid w:val="004C40EB"/>
    <w:rsid w:val="004C41F7"/>
    <w:rsid w:val="004C4372"/>
    <w:rsid w:val="004C4421"/>
    <w:rsid w:val="004C4754"/>
    <w:rsid w:val="004C4766"/>
    <w:rsid w:val="004C4ADF"/>
    <w:rsid w:val="004C4AF9"/>
    <w:rsid w:val="004C4C26"/>
    <w:rsid w:val="004C4CF3"/>
    <w:rsid w:val="004C4DC4"/>
    <w:rsid w:val="004C504A"/>
    <w:rsid w:val="004C5138"/>
    <w:rsid w:val="004C5380"/>
    <w:rsid w:val="004C53B1"/>
    <w:rsid w:val="004C546A"/>
    <w:rsid w:val="004C55B5"/>
    <w:rsid w:val="004C55C0"/>
    <w:rsid w:val="004C5725"/>
    <w:rsid w:val="004C5742"/>
    <w:rsid w:val="004C5BC9"/>
    <w:rsid w:val="004C5BDE"/>
    <w:rsid w:val="004C5CA7"/>
    <w:rsid w:val="004C5D3A"/>
    <w:rsid w:val="004C6219"/>
    <w:rsid w:val="004C6356"/>
    <w:rsid w:val="004C6428"/>
    <w:rsid w:val="004C65B1"/>
    <w:rsid w:val="004C668F"/>
    <w:rsid w:val="004C66AE"/>
    <w:rsid w:val="004C6718"/>
    <w:rsid w:val="004C6883"/>
    <w:rsid w:val="004C69B9"/>
    <w:rsid w:val="004C6A1D"/>
    <w:rsid w:val="004C6A4C"/>
    <w:rsid w:val="004C6AF7"/>
    <w:rsid w:val="004C6AFD"/>
    <w:rsid w:val="004C6E5E"/>
    <w:rsid w:val="004C6EF2"/>
    <w:rsid w:val="004C6F4E"/>
    <w:rsid w:val="004C6F57"/>
    <w:rsid w:val="004C712A"/>
    <w:rsid w:val="004C71DA"/>
    <w:rsid w:val="004C7255"/>
    <w:rsid w:val="004C73E5"/>
    <w:rsid w:val="004C7419"/>
    <w:rsid w:val="004C7450"/>
    <w:rsid w:val="004C76E1"/>
    <w:rsid w:val="004C7750"/>
    <w:rsid w:val="004C7823"/>
    <w:rsid w:val="004C78EF"/>
    <w:rsid w:val="004C795B"/>
    <w:rsid w:val="004C7BF2"/>
    <w:rsid w:val="004C7C9A"/>
    <w:rsid w:val="004C7F04"/>
    <w:rsid w:val="004C7F8D"/>
    <w:rsid w:val="004C7FF3"/>
    <w:rsid w:val="004D0036"/>
    <w:rsid w:val="004D0067"/>
    <w:rsid w:val="004D0148"/>
    <w:rsid w:val="004D0268"/>
    <w:rsid w:val="004D026E"/>
    <w:rsid w:val="004D02DC"/>
    <w:rsid w:val="004D033E"/>
    <w:rsid w:val="004D0370"/>
    <w:rsid w:val="004D0493"/>
    <w:rsid w:val="004D04F7"/>
    <w:rsid w:val="004D0526"/>
    <w:rsid w:val="004D06C2"/>
    <w:rsid w:val="004D074C"/>
    <w:rsid w:val="004D075B"/>
    <w:rsid w:val="004D07F6"/>
    <w:rsid w:val="004D07FE"/>
    <w:rsid w:val="004D0814"/>
    <w:rsid w:val="004D089D"/>
    <w:rsid w:val="004D08CE"/>
    <w:rsid w:val="004D0A4B"/>
    <w:rsid w:val="004D0A55"/>
    <w:rsid w:val="004D0B62"/>
    <w:rsid w:val="004D0C7A"/>
    <w:rsid w:val="004D0CAF"/>
    <w:rsid w:val="004D119E"/>
    <w:rsid w:val="004D11D1"/>
    <w:rsid w:val="004D132D"/>
    <w:rsid w:val="004D13B6"/>
    <w:rsid w:val="004D14E0"/>
    <w:rsid w:val="004D1631"/>
    <w:rsid w:val="004D190F"/>
    <w:rsid w:val="004D1BB1"/>
    <w:rsid w:val="004D1C01"/>
    <w:rsid w:val="004D1DB9"/>
    <w:rsid w:val="004D1DFB"/>
    <w:rsid w:val="004D1ED6"/>
    <w:rsid w:val="004D1F43"/>
    <w:rsid w:val="004D243F"/>
    <w:rsid w:val="004D24DE"/>
    <w:rsid w:val="004D2516"/>
    <w:rsid w:val="004D257A"/>
    <w:rsid w:val="004D258C"/>
    <w:rsid w:val="004D2A8A"/>
    <w:rsid w:val="004D2D93"/>
    <w:rsid w:val="004D2EBC"/>
    <w:rsid w:val="004D2F27"/>
    <w:rsid w:val="004D3070"/>
    <w:rsid w:val="004D30EC"/>
    <w:rsid w:val="004D3132"/>
    <w:rsid w:val="004D31D6"/>
    <w:rsid w:val="004D31E8"/>
    <w:rsid w:val="004D34BD"/>
    <w:rsid w:val="004D3904"/>
    <w:rsid w:val="004D39EB"/>
    <w:rsid w:val="004D3A77"/>
    <w:rsid w:val="004D3A8C"/>
    <w:rsid w:val="004D3C2E"/>
    <w:rsid w:val="004D3CDE"/>
    <w:rsid w:val="004D3CE7"/>
    <w:rsid w:val="004D4008"/>
    <w:rsid w:val="004D4050"/>
    <w:rsid w:val="004D4121"/>
    <w:rsid w:val="004D4164"/>
    <w:rsid w:val="004D4280"/>
    <w:rsid w:val="004D43AB"/>
    <w:rsid w:val="004D43BA"/>
    <w:rsid w:val="004D47DB"/>
    <w:rsid w:val="004D4877"/>
    <w:rsid w:val="004D4908"/>
    <w:rsid w:val="004D496C"/>
    <w:rsid w:val="004D4AF2"/>
    <w:rsid w:val="004D4D00"/>
    <w:rsid w:val="004D4D83"/>
    <w:rsid w:val="004D4D87"/>
    <w:rsid w:val="004D4F3A"/>
    <w:rsid w:val="004D51CC"/>
    <w:rsid w:val="004D5408"/>
    <w:rsid w:val="004D545D"/>
    <w:rsid w:val="004D54A6"/>
    <w:rsid w:val="004D54F9"/>
    <w:rsid w:val="004D55E4"/>
    <w:rsid w:val="004D565F"/>
    <w:rsid w:val="004D5666"/>
    <w:rsid w:val="004D566D"/>
    <w:rsid w:val="004D56F7"/>
    <w:rsid w:val="004D5760"/>
    <w:rsid w:val="004D57B5"/>
    <w:rsid w:val="004D5992"/>
    <w:rsid w:val="004D59E0"/>
    <w:rsid w:val="004D5CA1"/>
    <w:rsid w:val="004D5D49"/>
    <w:rsid w:val="004D5D8D"/>
    <w:rsid w:val="004D5DF1"/>
    <w:rsid w:val="004D5FBE"/>
    <w:rsid w:val="004D5FFF"/>
    <w:rsid w:val="004D61AC"/>
    <w:rsid w:val="004D637A"/>
    <w:rsid w:val="004D63C5"/>
    <w:rsid w:val="004D6542"/>
    <w:rsid w:val="004D6BA3"/>
    <w:rsid w:val="004D6F20"/>
    <w:rsid w:val="004D6FFD"/>
    <w:rsid w:val="004D70FA"/>
    <w:rsid w:val="004D72B9"/>
    <w:rsid w:val="004D7508"/>
    <w:rsid w:val="004D7751"/>
    <w:rsid w:val="004D7797"/>
    <w:rsid w:val="004D78BC"/>
    <w:rsid w:val="004D7901"/>
    <w:rsid w:val="004D7969"/>
    <w:rsid w:val="004D7ADD"/>
    <w:rsid w:val="004D7AE4"/>
    <w:rsid w:val="004D7CC1"/>
    <w:rsid w:val="004D7CCC"/>
    <w:rsid w:val="004D7DD8"/>
    <w:rsid w:val="004D7E95"/>
    <w:rsid w:val="004E0003"/>
    <w:rsid w:val="004E016A"/>
    <w:rsid w:val="004E016E"/>
    <w:rsid w:val="004E01A1"/>
    <w:rsid w:val="004E01E3"/>
    <w:rsid w:val="004E0270"/>
    <w:rsid w:val="004E041F"/>
    <w:rsid w:val="004E0456"/>
    <w:rsid w:val="004E04C4"/>
    <w:rsid w:val="004E05E8"/>
    <w:rsid w:val="004E06C3"/>
    <w:rsid w:val="004E0726"/>
    <w:rsid w:val="004E098C"/>
    <w:rsid w:val="004E09ED"/>
    <w:rsid w:val="004E0A4C"/>
    <w:rsid w:val="004E0BAF"/>
    <w:rsid w:val="004E0C10"/>
    <w:rsid w:val="004E0C84"/>
    <w:rsid w:val="004E1043"/>
    <w:rsid w:val="004E1197"/>
    <w:rsid w:val="004E1238"/>
    <w:rsid w:val="004E1975"/>
    <w:rsid w:val="004E1A37"/>
    <w:rsid w:val="004E1A58"/>
    <w:rsid w:val="004E1A6A"/>
    <w:rsid w:val="004E1BFA"/>
    <w:rsid w:val="004E1CFF"/>
    <w:rsid w:val="004E1D7F"/>
    <w:rsid w:val="004E1FC8"/>
    <w:rsid w:val="004E220F"/>
    <w:rsid w:val="004E2247"/>
    <w:rsid w:val="004E2390"/>
    <w:rsid w:val="004E2483"/>
    <w:rsid w:val="004E24E9"/>
    <w:rsid w:val="004E250A"/>
    <w:rsid w:val="004E27B8"/>
    <w:rsid w:val="004E280B"/>
    <w:rsid w:val="004E2811"/>
    <w:rsid w:val="004E28CB"/>
    <w:rsid w:val="004E29E5"/>
    <w:rsid w:val="004E2BA8"/>
    <w:rsid w:val="004E2BD9"/>
    <w:rsid w:val="004E2CD1"/>
    <w:rsid w:val="004E2E58"/>
    <w:rsid w:val="004E2EA5"/>
    <w:rsid w:val="004E2F04"/>
    <w:rsid w:val="004E2F42"/>
    <w:rsid w:val="004E2FD0"/>
    <w:rsid w:val="004E31DF"/>
    <w:rsid w:val="004E3356"/>
    <w:rsid w:val="004E37EC"/>
    <w:rsid w:val="004E38A2"/>
    <w:rsid w:val="004E38C2"/>
    <w:rsid w:val="004E3912"/>
    <w:rsid w:val="004E39A6"/>
    <w:rsid w:val="004E39B3"/>
    <w:rsid w:val="004E3CA0"/>
    <w:rsid w:val="004E3CF0"/>
    <w:rsid w:val="004E3E8C"/>
    <w:rsid w:val="004E4056"/>
    <w:rsid w:val="004E42EA"/>
    <w:rsid w:val="004E43F4"/>
    <w:rsid w:val="004E4864"/>
    <w:rsid w:val="004E4917"/>
    <w:rsid w:val="004E49EA"/>
    <w:rsid w:val="004E4AA6"/>
    <w:rsid w:val="004E4B3C"/>
    <w:rsid w:val="004E4BFB"/>
    <w:rsid w:val="004E4C28"/>
    <w:rsid w:val="004E4F79"/>
    <w:rsid w:val="004E4FF0"/>
    <w:rsid w:val="004E515E"/>
    <w:rsid w:val="004E5384"/>
    <w:rsid w:val="004E538B"/>
    <w:rsid w:val="004E53C8"/>
    <w:rsid w:val="004E5402"/>
    <w:rsid w:val="004E550A"/>
    <w:rsid w:val="004E560D"/>
    <w:rsid w:val="004E561E"/>
    <w:rsid w:val="004E5708"/>
    <w:rsid w:val="004E5709"/>
    <w:rsid w:val="004E5727"/>
    <w:rsid w:val="004E5C82"/>
    <w:rsid w:val="004E601C"/>
    <w:rsid w:val="004E66E3"/>
    <w:rsid w:val="004E67CE"/>
    <w:rsid w:val="004E68F6"/>
    <w:rsid w:val="004E6915"/>
    <w:rsid w:val="004E697F"/>
    <w:rsid w:val="004E6A05"/>
    <w:rsid w:val="004E6CEC"/>
    <w:rsid w:val="004E6D13"/>
    <w:rsid w:val="004E702C"/>
    <w:rsid w:val="004E71AA"/>
    <w:rsid w:val="004E733A"/>
    <w:rsid w:val="004E76AD"/>
    <w:rsid w:val="004E76F4"/>
    <w:rsid w:val="004E77F9"/>
    <w:rsid w:val="004E7813"/>
    <w:rsid w:val="004E7A81"/>
    <w:rsid w:val="004E7BAB"/>
    <w:rsid w:val="004E7CD5"/>
    <w:rsid w:val="004E7D1B"/>
    <w:rsid w:val="004E7E5C"/>
    <w:rsid w:val="004E7EE5"/>
    <w:rsid w:val="004E7F17"/>
    <w:rsid w:val="004E7F30"/>
    <w:rsid w:val="004E7F35"/>
    <w:rsid w:val="004E7F76"/>
    <w:rsid w:val="004F0068"/>
    <w:rsid w:val="004F01FD"/>
    <w:rsid w:val="004F03A7"/>
    <w:rsid w:val="004F06FD"/>
    <w:rsid w:val="004F0858"/>
    <w:rsid w:val="004F08AA"/>
    <w:rsid w:val="004F0BE3"/>
    <w:rsid w:val="004F0CA1"/>
    <w:rsid w:val="004F0E42"/>
    <w:rsid w:val="004F0F64"/>
    <w:rsid w:val="004F0F70"/>
    <w:rsid w:val="004F10D3"/>
    <w:rsid w:val="004F130A"/>
    <w:rsid w:val="004F1497"/>
    <w:rsid w:val="004F14B1"/>
    <w:rsid w:val="004F1533"/>
    <w:rsid w:val="004F16E3"/>
    <w:rsid w:val="004F173D"/>
    <w:rsid w:val="004F1927"/>
    <w:rsid w:val="004F1D2A"/>
    <w:rsid w:val="004F1E7F"/>
    <w:rsid w:val="004F1E90"/>
    <w:rsid w:val="004F233A"/>
    <w:rsid w:val="004F239E"/>
    <w:rsid w:val="004F2481"/>
    <w:rsid w:val="004F2903"/>
    <w:rsid w:val="004F2BAA"/>
    <w:rsid w:val="004F2CD7"/>
    <w:rsid w:val="004F2CEF"/>
    <w:rsid w:val="004F2DC1"/>
    <w:rsid w:val="004F2F42"/>
    <w:rsid w:val="004F2F92"/>
    <w:rsid w:val="004F2F98"/>
    <w:rsid w:val="004F3134"/>
    <w:rsid w:val="004F367F"/>
    <w:rsid w:val="004F38B3"/>
    <w:rsid w:val="004F38FE"/>
    <w:rsid w:val="004F396F"/>
    <w:rsid w:val="004F3BF4"/>
    <w:rsid w:val="004F3CA6"/>
    <w:rsid w:val="004F3F64"/>
    <w:rsid w:val="004F4047"/>
    <w:rsid w:val="004F409C"/>
    <w:rsid w:val="004F41CA"/>
    <w:rsid w:val="004F41D1"/>
    <w:rsid w:val="004F42A8"/>
    <w:rsid w:val="004F44F0"/>
    <w:rsid w:val="004F452D"/>
    <w:rsid w:val="004F4677"/>
    <w:rsid w:val="004F4805"/>
    <w:rsid w:val="004F488D"/>
    <w:rsid w:val="004F4966"/>
    <w:rsid w:val="004F4A91"/>
    <w:rsid w:val="004F4C27"/>
    <w:rsid w:val="004F4CF3"/>
    <w:rsid w:val="004F4D29"/>
    <w:rsid w:val="004F4E20"/>
    <w:rsid w:val="004F4ED5"/>
    <w:rsid w:val="004F50AF"/>
    <w:rsid w:val="004F513A"/>
    <w:rsid w:val="004F520F"/>
    <w:rsid w:val="004F521A"/>
    <w:rsid w:val="004F5386"/>
    <w:rsid w:val="004F5437"/>
    <w:rsid w:val="004F5442"/>
    <w:rsid w:val="004F574F"/>
    <w:rsid w:val="004F58AF"/>
    <w:rsid w:val="004F5986"/>
    <w:rsid w:val="004F59C4"/>
    <w:rsid w:val="004F5B79"/>
    <w:rsid w:val="004F5CDC"/>
    <w:rsid w:val="004F5EE9"/>
    <w:rsid w:val="004F60E7"/>
    <w:rsid w:val="004F619D"/>
    <w:rsid w:val="004F6220"/>
    <w:rsid w:val="004F6439"/>
    <w:rsid w:val="004F65AA"/>
    <w:rsid w:val="004F677B"/>
    <w:rsid w:val="004F67D2"/>
    <w:rsid w:val="004F69B5"/>
    <w:rsid w:val="004F6A1A"/>
    <w:rsid w:val="004F6AD2"/>
    <w:rsid w:val="004F6BD9"/>
    <w:rsid w:val="004F6BF6"/>
    <w:rsid w:val="004F6C4E"/>
    <w:rsid w:val="004F6E1B"/>
    <w:rsid w:val="004F70AB"/>
    <w:rsid w:val="004F7103"/>
    <w:rsid w:val="004F72F3"/>
    <w:rsid w:val="004F72FC"/>
    <w:rsid w:val="004F7349"/>
    <w:rsid w:val="004F7430"/>
    <w:rsid w:val="004F74A1"/>
    <w:rsid w:val="004F7536"/>
    <w:rsid w:val="004F75E3"/>
    <w:rsid w:val="004F7618"/>
    <w:rsid w:val="004F792F"/>
    <w:rsid w:val="004F7B20"/>
    <w:rsid w:val="004F7D38"/>
    <w:rsid w:val="004F7D70"/>
    <w:rsid w:val="00500057"/>
    <w:rsid w:val="005000B1"/>
    <w:rsid w:val="00500322"/>
    <w:rsid w:val="005003D1"/>
    <w:rsid w:val="005004F6"/>
    <w:rsid w:val="00500668"/>
    <w:rsid w:val="00500899"/>
    <w:rsid w:val="0050092D"/>
    <w:rsid w:val="00500B2A"/>
    <w:rsid w:val="00500DD8"/>
    <w:rsid w:val="00500E6D"/>
    <w:rsid w:val="00500EE2"/>
    <w:rsid w:val="00500F16"/>
    <w:rsid w:val="00500F2B"/>
    <w:rsid w:val="00501150"/>
    <w:rsid w:val="00501187"/>
    <w:rsid w:val="0050118F"/>
    <w:rsid w:val="005011C7"/>
    <w:rsid w:val="00501209"/>
    <w:rsid w:val="00501493"/>
    <w:rsid w:val="005015C2"/>
    <w:rsid w:val="00501614"/>
    <w:rsid w:val="005017A3"/>
    <w:rsid w:val="0050194B"/>
    <w:rsid w:val="00501971"/>
    <w:rsid w:val="00501AB7"/>
    <w:rsid w:val="00501BB5"/>
    <w:rsid w:val="00501EA7"/>
    <w:rsid w:val="00502012"/>
    <w:rsid w:val="00502244"/>
    <w:rsid w:val="00502288"/>
    <w:rsid w:val="005024A1"/>
    <w:rsid w:val="00502627"/>
    <w:rsid w:val="00502676"/>
    <w:rsid w:val="005026AB"/>
    <w:rsid w:val="005029D8"/>
    <w:rsid w:val="00502A4B"/>
    <w:rsid w:val="00502DBA"/>
    <w:rsid w:val="00502EC8"/>
    <w:rsid w:val="00502F1D"/>
    <w:rsid w:val="00502F77"/>
    <w:rsid w:val="00502FB4"/>
    <w:rsid w:val="0050311E"/>
    <w:rsid w:val="0050313F"/>
    <w:rsid w:val="005031F4"/>
    <w:rsid w:val="00503205"/>
    <w:rsid w:val="00503372"/>
    <w:rsid w:val="0050344E"/>
    <w:rsid w:val="00503512"/>
    <w:rsid w:val="00503875"/>
    <w:rsid w:val="005039A2"/>
    <w:rsid w:val="00503A29"/>
    <w:rsid w:val="00503ABE"/>
    <w:rsid w:val="00503AE3"/>
    <w:rsid w:val="00503B50"/>
    <w:rsid w:val="00503C0A"/>
    <w:rsid w:val="00503EC8"/>
    <w:rsid w:val="00503F79"/>
    <w:rsid w:val="00503F86"/>
    <w:rsid w:val="00503F9B"/>
    <w:rsid w:val="00503FE9"/>
    <w:rsid w:val="005040BA"/>
    <w:rsid w:val="0050440B"/>
    <w:rsid w:val="00504422"/>
    <w:rsid w:val="00504601"/>
    <w:rsid w:val="005046E0"/>
    <w:rsid w:val="005047CD"/>
    <w:rsid w:val="005048C4"/>
    <w:rsid w:val="005049E3"/>
    <w:rsid w:val="00504B29"/>
    <w:rsid w:val="00504BA0"/>
    <w:rsid w:val="00504BBB"/>
    <w:rsid w:val="00504BC1"/>
    <w:rsid w:val="00504CB4"/>
    <w:rsid w:val="00504D78"/>
    <w:rsid w:val="00504E13"/>
    <w:rsid w:val="00504E67"/>
    <w:rsid w:val="00504EDC"/>
    <w:rsid w:val="0050543C"/>
    <w:rsid w:val="00505554"/>
    <w:rsid w:val="00505574"/>
    <w:rsid w:val="00505795"/>
    <w:rsid w:val="0050582B"/>
    <w:rsid w:val="005058B7"/>
    <w:rsid w:val="00505BF7"/>
    <w:rsid w:val="00505CB5"/>
    <w:rsid w:val="00505D31"/>
    <w:rsid w:val="00505EA1"/>
    <w:rsid w:val="00506168"/>
    <w:rsid w:val="005061D1"/>
    <w:rsid w:val="005061FC"/>
    <w:rsid w:val="0050622A"/>
    <w:rsid w:val="00506267"/>
    <w:rsid w:val="0050627F"/>
    <w:rsid w:val="0050647C"/>
    <w:rsid w:val="00506715"/>
    <w:rsid w:val="005067C8"/>
    <w:rsid w:val="00506890"/>
    <w:rsid w:val="00506A21"/>
    <w:rsid w:val="00506A3F"/>
    <w:rsid w:val="00506B56"/>
    <w:rsid w:val="00506BD0"/>
    <w:rsid w:val="00506EA3"/>
    <w:rsid w:val="00506EB0"/>
    <w:rsid w:val="00506F85"/>
    <w:rsid w:val="00506FBB"/>
    <w:rsid w:val="00506FCC"/>
    <w:rsid w:val="0050723D"/>
    <w:rsid w:val="005072FE"/>
    <w:rsid w:val="00507563"/>
    <w:rsid w:val="0050757A"/>
    <w:rsid w:val="005076EF"/>
    <w:rsid w:val="00507755"/>
    <w:rsid w:val="005077C6"/>
    <w:rsid w:val="00507866"/>
    <w:rsid w:val="00507A37"/>
    <w:rsid w:val="00507A70"/>
    <w:rsid w:val="00507B64"/>
    <w:rsid w:val="00507B6C"/>
    <w:rsid w:val="00507D22"/>
    <w:rsid w:val="00507E0F"/>
    <w:rsid w:val="00507E7B"/>
    <w:rsid w:val="00507F0C"/>
    <w:rsid w:val="00510167"/>
    <w:rsid w:val="00510200"/>
    <w:rsid w:val="0051032C"/>
    <w:rsid w:val="005103C0"/>
    <w:rsid w:val="00510758"/>
    <w:rsid w:val="0051096D"/>
    <w:rsid w:val="00510A2A"/>
    <w:rsid w:val="00510B34"/>
    <w:rsid w:val="00510C1C"/>
    <w:rsid w:val="00510D13"/>
    <w:rsid w:val="00510E28"/>
    <w:rsid w:val="00511005"/>
    <w:rsid w:val="00511038"/>
    <w:rsid w:val="0051121F"/>
    <w:rsid w:val="00511238"/>
    <w:rsid w:val="005114AB"/>
    <w:rsid w:val="00511639"/>
    <w:rsid w:val="005116B9"/>
    <w:rsid w:val="005116BB"/>
    <w:rsid w:val="005118E9"/>
    <w:rsid w:val="00511900"/>
    <w:rsid w:val="00511A83"/>
    <w:rsid w:val="00511BC2"/>
    <w:rsid w:val="00511C6F"/>
    <w:rsid w:val="00511F1B"/>
    <w:rsid w:val="00512093"/>
    <w:rsid w:val="00512095"/>
    <w:rsid w:val="00512168"/>
    <w:rsid w:val="0051224F"/>
    <w:rsid w:val="0051279E"/>
    <w:rsid w:val="00512921"/>
    <w:rsid w:val="005129F6"/>
    <w:rsid w:val="00512A0D"/>
    <w:rsid w:val="00512ACA"/>
    <w:rsid w:val="00512AFF"/>
    <w:rsid w:val="00512BFD"/>
    <w:rsid w:val="00512FCC"/>
    <w:rsid w:val="005131B5"/>
    <w:rsid w:val="0051327F"/>
    <w:rsid w:val="00513294"/>
    <w:rsid w:val="005132BA"/>
    <w:rsid w:val="005132C5"/>
    <w:rsid w:val="00513348"/>
    <w:rsid w:val="0051334C"/>
    <w:rsid w:val="00513382"/>
    <w:rsid w:val="00513680"/>
    <w:rsid w:val="00513689"/>
    <w:rsid w:val="00513974"/>
    <w:rsid w:val="00513C93"/>
    <w:rsid w:val="00513E32"/>
    <w:rsid w:val="00513EC6"/>
    <w:rsid w:val="0051416B"/>
    <w:rsid w:val="0051422E"/>
    <w:rsid w:val="00514234"/>
    <w:rsid w:val="0051440A"/>
    <w:rsid w:val="0051459D"/>
    <w:rsid w:val="00514690"/>
    <w:rsid w:val="0051477C"/>
    <w:rsid w:val="00514C61"/>
    <w:rsid w:val="00514C81"/>
    <w:rsid w:val="00514CF5"/>
    <w:rsid w:val="00514F37"/>
    <w:rsid w:val="00514FAF"/>
    <w:rsid w:val="005150E0"/>
    <w:rsid w:val="00515101"/>
    <w:rsid w:val="0051539C"/>
    <w:rsid w:val="00515471"/>
    <w:rsid w:val="005155DB"/>
    <w:rsid w:val="00515A8E"/>
    <w:rsid w:val="00515ACA"/>
    <w:rsid w:val="00515EE3"/>
    <w:rsid w:val="00516018"/>
    <w:rsid w:val="00516359"/>
    <w:rsid w:val="00516511"/>
    <w:rsid w:val="0051654A"/>
    <w:rsid w:val="00516838"/>
    <w:rsid w:val="00516B7B"/>
    <w:rsid w:val="00516CCE"/>
    <w:rsid w:val="00516CD2"/>
    <w:rsid w:val="00516DD3"/>
    <w:rsid w:val="00516E15"/>
    <w:rsid w:val="0051708B"/>
    <w:rsid w:val="0051713D"/>
    <w:rsid w:val="00517188"/>
    <w:rsid w:val="005172CD"/>
    <w:rsid w:val="005174B0"/>
    <w:rsid w:val="005178A5"/>
    <w:rsid w:val="00517C3B"/>
    <w:rsid w:val="00517C49"/>
    <w:rsid w:val="00517C4C"/>
    <w:rsid w:val="00517C4E"/>
    <w:rsid w:val="00517CC9"/>
    <w:rsid w:val="00517EA8"/>
    <w:rsid w:val="00517F25"/>
    <w:rsid w:val="00517FB8"/>
    <w:rsid w:val="00517FCC"/>
    <w:rsid w:val="00520112"/>
    <w:rsid w:val="00520254"/>
    <w:rsid w:val="005203D8"/>
    <w:rsid w:val="00520493"/>
    <w:rsid w:val="00520511"/>
    <w:rsid w:val="0052053B"/>
    <w:rsid w:val="00520760"/>
    <w:rsid w:val="0052076B"/>
    <w:rsid w:val="00520A66"/>
    <w:rsid w:val="00520B83"/>
    <w:rsid w:val="00520C56"/>
    <w:rsid w:val="00520E4F"/>
    <w:rsid w:val="00521018"/>
    <w:rsid w:val="00521150"/>
    <w:rsid w:val="005211B1"/>
    <w:rsid w:val="005212BD"/>
    <w:rsid w:val="0052160C"/>
    <w:rsid w:val="005217BB"/>
    <w:rsid w:val="005218C0"/>
    <w:rsid w:val="005219B2"/>
    <w:rsid w:val="00521A08"/>
    <w:rsid w:val="00521AA5"/>
    <w:rsid w:val="00521C37"/>
    <w:rsid w:val="00521CE4"/>
    <w:rsid w:val="00521F76"/>
    <w:rsid w:val="00521FBC"/>
    <w:rsid w:val="00522395"/>
    <w:rsid w:val="00522659"/>
    <w:rsid w:val="00522690"/>
    <w:rsid w:val="00522969"/>
    <w:rsid w:val="005229FE"/>
    <w:rsid w:val="00522AA8"/>
    <w:rsid w:val="00522BD3"/>
    <w:rsid w:val="00522DC0"/>
    <w:rsid w:val="00522DFB"/>
    <w:rsid w:val="00522E24"/>
    <w:rsid w:val="00522E7A"/>
    <w:rsid w:val="0052305D"/>
    <w:rsid w:val="0052312D"/>
    <w:rsid w:val="0052315B"/>
    <w:rsid w:val="005232EA"/>
    <w:rsid w:val="00523323"/>
    <w:rsid w:val="005234EB"/>
    <w:rsid w:val="005237D4"/>
    <w:rsid w:val="00523B67"/>
    <w:rsid w:val="00523BB6"/>
    <w:rsid w:val="00523D89"/>
    <w:rsid w:val="00523FF9"/>
    <w:rsid w:val="0052419C"/>
    <w:rsid w:val="005243F2"/>
    <w:rsid w:val="005245F4"/>
    <w:rsid w:val="00524694"/>
    <w:rsid w:val="00524866"/>
    <w:rsid w:val="00524A29"/>
    <w:rsid w:val="00524A56"/>
    <w:rsid w:val="00524D4C"/>
    <w:rsid w:val="00524DDB"/>
    <w:rsid w:val="00524EF0"/>
    <w:rsid w:val="0052541A"/>
    <w:rsid w:val="00525605"/>
    <w:rsid w:val="0052566E"/>
    <w:rsid w:val="00525829"/>
    <w:rsid w:val="005259F5"/>
    <w:rsid w:val="00525A84"/>
    <w:rsid w:val="00525BE7"/>
    <w:rsid w:val="00525D9B"/>
    <w:rsid w:val="00525DEC"/>
    <w:rsid w:val="00525E5E"/>
    <w:rsid w:val="005260A7"/>
    <w:rsid w:val="005260E1"/>
    <w:rsid w:val="00526235"/>
    <w:rsid w:val="005262DE"/>
    <w:rsid w:val="00526409"/>
    <w:rsid w:val="0052667B"/>
    <w:rsid w:val="00526742"/>
    <w:rsid w:val="00526C45"/>
    <w:rsid w:val="00526D3E"/>
    <w:rsid w:val="00526E44"/>
    <w:rsid w:val="00526E63"/>
    <w:rsid w:val="00527024"/>
    <w:rsid w:val="00527351"/>
    <w:rsid w:val="005275DB"/>
    <w:rsid w:val="0052768A"/>
    <w:rsid w:val="00527693"/>
    <w:rsid w:val="005276A3"/>
    <w:rsid w:val="0052779E"/>
    <w:rsid w:val="00527810"/>
    <w:rsid w:val="005278F1"/>
    <w:rsid w:val="005278F3"/>
    <w:rsid w:val="005279C0"/>
    <w:rsid w:val="00527D3A"/>
    <w:rsid w:val="00527DF0"/>
    <w:rsid w:val="00527EED"/>
    <w:rsid w:val="00527EF9"/>
    <w:rsid w:val="00530224"/>
    <w:rsid w:val="00530270"/>
    <w:rsid w:val="005302A8"/>
    <w:rsid w:val="00530326"/>
    <w:rsid w:val="0053049B"/>
    <w:rsid w:val="005304D5"/>
    <w:rsid w:val="00530521"/>
    <w:rsid w:val="005305D2"/>
    <w:rsid w:val="005305DC"/>
    <w:rsid w:val="00530604"/>
    <w:rsid w:val="0053084F"/>
    <w:rsid w:val="00530887"/>
    <w:rsid w:val="00530A14"/>
    <w:rsid w:val="00530B24"/>
    <w:rsid w:val="00530B88"/>
    <w:rsid w:val="00530C7C"/>
    <w:rsid w:val="00530D1E"/>
    <w:rsid w:val="00530D9E"/>
    <w:rsid w:val="00530DB5"/>
    <w:rsid w:val="00530EF2"/>
    <w:rsid w:val="0053117B"/>
    <w:rsid w:val="00531329"/>
    <w:rsid w:val="005313AD"/>
    <w:rsid w:val="005313FD"/>
    <w:rsid w:val="00531551"/>
    <w:rsid w:val="005315A2"/>
    <w:rsid w:val="00531617"/>
    <w:rsid w:val="005316F6"/>
    <w:rsid w:val="0053174C"/>
    <w:rsid w:val="0053176C"/>
    <w:rsid w:val="0053190A"/>
    <w:rsid w:val="00531A3C"/>
    <w:rsid w:val="00531AA6"/>
    <w:rsid w:val="00531AD0"/>
    <w:rsid w:val="00531BA5"/>
    <w:rsid w:val="00531C7A"/>
    <w:rsid w:val="00531E0F"/>
    <w:rsid w:val="00531E2B"/>
    <w:rsid w:val="00532110"/>
    <w:rsid w:val="005322BB"/>
    <w:rsid w:val="00532609"/>
    <w:rsid w:val="0053266E"/>
    <w:rsid w:val="005327AE"/>
    <w:rsid w:val="00532B3E"/>
    <w:rsid w:val="00532B82"/>
    <w:rsid w:val="00532EC4"/>
    <w:rsid w:val="005330B1"/>
    <w:rsid w:val="005331D7"/>
    <w:rsid w:val="00533306"/>
    <w:rsid w:val="005337BB"/>
    <w:rsid w:val="00533C20"/>
    <w:rsid w:val="00533E19"/>
    <w:rsid w:val="00533E86"/>
    <w:rsid w:val="00533FA0"/>
    <w:rsid w:val="0053423F"/>
    <w:rsid w:val="00534273"/>
    <w:rsid w:val="0053453F"/>
    <w:rsid w:val="00534701"/>
    <w:rsid w:val="005347F6"/>
    <w:rsid w:val="00534A8D"/>
    <w:rsid w:val="00534C10"/>
    <w:rsid w:val="00534C4D"/>
    <w:rsid w:val="00534E94"/>
    <w:rsid w:val="00534F38"/>
    <w:rsid w:val="005350E1"/>
    <w:rsid w:val="00535244"/>
    <w:rsid w:val="005352B8"/>
    <w:rsid w:val="0053537B"/>
    <w:rsid w:val="00535528"/>
    <w:rsid w:val="00535561"/>
    <w:rsid w:val="0053562D"/>
    <w:rsid w:val="0053562F"/>
    <w:rsid w:val="00535724"/>
    <w:rsid w:val="00535726"/>
    <w:rsid w:val="00535767"/>
    <w:rsid w:val="00535864"/>
    <w:rsid w:val="005359FC"/>
    <w:rsid w:val="0053603A"/>
    <w:rsid w:val="0053605A"/>
    <w:rsid w:val="0053609E"/>
    <w:rsid w:val="00536131"/>
    <w:rsid w:val="0053615B"/>
    <w:rsid w:val="005361BB"/>
    <w:rsid w:val="0053657E"/>
    <w:rsid w:val="00536607"/>
    <w:rsid w:val="00536652"/>
    <w:rsid w:val="0053669A"/>
    <w:rsid w:val="0053689A"/>
    <w:rsid w:val="00536ACC"/>
    <w:rsid w:val="00536B3B"/>
    <w:rsid w:val="00536BB1"/>
    <w:rsid w:val="00536BE4"/>
    <w:rsid w:val="00536F2B"/>
    <w:rsid w:val="00536F97"/>
    <w:rsid w:val="00536FC5"/>
    <w:rsid w:val="00537077"/>
    <w:rsid w:val="0053708A"/>
    <w:rsid w:val="0053714D"/>
    <w:rsid w:val="00537204"/>
    <w:rsid w:val="005373C1"/>
    <w:rsid w:val="00537433"/>
    <w:rsid w:val="0053752F"/>
    <w:rsid w:val="0053756E"/>
    <w:rsid w:val="005375F1"/>
    <w:rsid w:val="0053761C"/>
    <w:rsid w:val="005376B4"/>
    <w:rsid w:val="00537755"/>
    <w:rsid w:val="0053775D"/>
    <w:rsid w:val="0053788F"/>
    <w:rsid w:val="005378EA"/>
    <w:rsid w:val="00537AE5"/>
    <w:rsid w:val="00537CC2"/>
    <w:rsid w:val="00537DFE"/>
    <w:rsid w:val="0054001C"/>
    <w:rsid w:val="00540094"/>
    <w:rsid w:val="005401D1"/>
    <w:rsid w:val="00540306"/>
    <w:rsid w:val="0054033C"/>
    <w:rsid w:val="005405C1"/>
    <w:rsid w:val="0054060A"/>
    <w:rsid w:val="005406BF"/>
    <w:rsid w:val="0054076C"/>
    <w:rsid w:val="005407FE"/>
    <w:rsid w:val="00540839"/>
    <w:rsid w:val="00540849"/>
    <w:rsid w:val="00540A66"/>
    <w:rsid w:val="00540A91"/>
    <w:rsid w:val="00540B87"/>
    <w:rsid w:val="00540BA7"/>
    <w:rsid w:val="00540C72"/>
    <w:rsid w:val="00540D4A"/>
    <w:rsid w:val="00540D68"/>
    <w:rsid w:val="00540ED7"/>
    <w:rsid w:val="00541014"/>
    <w:rsid w:val="00541107"/>
    <w:rsid w:val="0054113C"/>
    <w:rsid w:val="00541145"/>
    <w:rsid w:val="005415B5"/>
    <w:rsid w:val="0054163E"/>
    <w:rsid w:val="005416FC"/>
    <w:rsid w:val="0054171F"/>
    <w:rsid w:val="00541733"/>
    <w:rsid w:val="0054177C"/>
    <w:rsid w:val="0054195C"/>
    <w:rsid w:val="005419A3"/>
    <w:rsid w:val="00541D73"/>
    <w:rsid w:val="00541DE7"/>
    <w:rsid w:val="00541DFA"/>
    <w:rsid w:val="00541EFF"/>
    <w:rsid w:val="00541F29"/>
    <w:rsid w:val="0054202E"/>
    <w:rsid w:val="00542075"/>
    <w:rsid w:val="005420C5"/>
    <w:rsid w:val="00542117"/>
    <w:rsid w:val="00542139"/>
    <w:rsid w:val="005421DD"/>
    <w:rsid w:val="00542501"/>
    <w:rsid w:val="0054264A"/>
    <w:rsid w:val="0054267F"/>
    <w:rsid w:val="00542747"/>
    <w:rsid w:val="005427D0"/>
    <w:rsid w:val="0054280F"/>
    <w:rsid w:val="00542850"/>
    <w:rsid w:val="00542959"/>
    <w:rsid w:val="005429B3"/>
    <w:rsid w:val="00542B2A"/>
    <w:rsid w:val="00542B40"/>
    <w:rsid w:val="00542B5C"/>
    <w:rsid w:val="00542B9B"/>
    <w:rsid w:val="00542C40"/>
    <w:rsid w:val="00542DF8"/>
    <w:rsid w:val="00542F5C"/>
    <w:rsid w:val="00542FBE"/>
    <w:rsid w:val="0054301D"/>
    <w:rsid w:val="005430BB"/>
    <w:rsid w:val="00543104"/>
    <w:rsid w:val="00543107"/>
    <w:rsid w:val="005431CA"/>
    <w:rsid w:val="00543276"/>
    <w:rsid w:val="005434AE"/>
    <w:rsid w:val="0054354D"/>
    <w:rsid w:val="005435D0"/>
    <w:rsid w:val="005435F5"/>
    <w:rsid w:val="005438F6"/>
    <w:rsid w:val="0054390B"/>
    <w:rsid w:val="00543A50"/>
    <w:rsid w:val="00543A7B"/>
    <w:rsid w:val="00543AD3"/>
    <w:rsid w:val="00543B69"/>
    <w:rsid w:val="00543C36"/>
    <w:rsid w:val="00543E12"/>
    <w:rsid w:val="00543F45"/>
    <w:rsid w:val="00544039"/>
    <w:rsid w:val="005440AC"/>
    <w:rsid w:val="0054419F"/>
    <w:rsid w:val="005443D8"/>
    <w:rsid w:val="0054445C"/>
    <w:rsid w:val="005444F2"/>
    <w:rsid w:val="005445E0"/>
    <w:rsid w:val="00544664"/>
    <w:rsid w:val="00544738"/>
    <w:rsid w:val="00544953"/>
    <w:rsid w:val="0054498C"/>
    <w:rsid w:val="00544A5A"/>
    <w:rsid w:val="00544DDA"/>
    <w:rsid w:val="00544F10"/>
    <w:rsid w:val="00545061"/>
    <w:rsid w:val="005455D7"/>
    <w:rsid w:val="005455DF"/>
    <w:rsid w:val="00545633"/>
    <w:rsid w:val="005456CA"/>
    <w:rsid w:val="005456DC"/>
    <w:rsid w:val="0054570D"/>
    <w:rsid w:val="00545765"/>
    <w:rsid w:val="005457D5"/>
    <w:rsid w:val="00545864"/>
    <w:rsid w:val="00545964"/>
    <w:rsid w:val="00545C56"/>
    <w:rsid w:val="00545CE7"/>
    <w:rsid w:val="00545D78"/>
    <w:rsid w:val="00545DCB"/>
    <w:rsid w:val="00545DD7"/>
    <w:rsid w:val="00545E5B"/>
    <w:rsid w:val="00545EC7"/>
    <w:rsid w:val="005460A2"/>
    <w:rsid w:val="005464CC"/>
    <w:rsid w:val="00546670"/>
    <w:rsid w:val="005467C0"/>
    <w:rsid w:val="00546A7E"/>
    <w:rsid w:val="00546B83"/>
    <w:rsid w:val="00546CE2"/>
    <w:rsid w:val="00546DFB"/>
    <w:rsid w:val="00546EC0"/>
    <w:rsid w:val="00546EFD"/>
    <w:rsid w:val="00546F34"/>
    <w:rsid w:val="00546FCD"/>
    <w:rsid w:val="00546FEE"/>
    <w:rsid w:val="00547054"/>
    <w:rsid w:val="005470CC"/>
    <w:rsid w:val="0054711D"/>
    <w:rsid w:val="0054721E"/>
    <w:rsid w:val="00547639"/>
    <w:rsid w:val="005476CB"/>
    <w:rsid w:val="0054788C"/>
    <w:rsid w:val="00547940"/>
    <w:rsid w:val="0054796A"/>
    <w:rsid w:val="00547A54"/>
    <w:rsid w:val="00547B84"/>
    <w:rsid w:val="00547C66"/>
    <w:rsid w:val="00547CC6"/>
    <w:rsid w:val="00547D30"/>
    <w:rsid w:val="00547E31"/>
    <w:rsid w:val="00547F82"/>
    <w:rsid w:val="00550139"/>
    <w:rsid w:val="005502F3"/>
    <w:rsid w:val="00550709"/>
    <w:rsid w:val="005508FC"/>
    <w:rsid w:val="00550C52"/>
    <w:rsid w:val="00550EA1"/>
    <w:rsid w:val="00550EA2"/>
    <w:rsid w:val="00550F02"/>
    <w:rsid w:val="00550FF4"/>
    <w:rsid w:val="00551109"/>
    <w:rsid w:val="00551179"/>
    <w:rsid w:val="005511B1"/>
    <w:rsid w:val="005512B5"/>
    <w:rsid w:val="005514FC"/>
    <w:rsid w:val="00551553"/>
    <w:rsid w:val="005515E0"/>
    <w:rsid w:val="00551B8D"/>
    <w:rsid w:val="00551C04"/>
    <w:rsid w:val="00551C71"/>
    <w:rsid w:val="00551D18"/>
    <w:rsid w:val="00551D83"/>
    <w:rsid w:val="00551DF4"/>
    <w:rsid w:val="00551E13"/>
    <w:rsid w:val="00551E4A"/>
    <w:rsid w:val="00551EBE"/>
    <w:rsid w:val="00551F2E"/>
    <w:rsid w:val="00551FFC"/>
    <w:rsid w:val="005520F7"/>
    <w:rsid w:val="0055222E"/>
    <w:rsid w:val="0055225B"/>
    <w:rsid w:val="005522F7"/>
    <w:rsid w:val="00552388"/>
    <w:rsid w:val="005523B5"/>
    <w:rsid w:val="0055269F"/>
    <w:rsid w:val="005526B2"/>
    <w:rsid w:val="00552848"/>
    <w:rsid w:val="00552888"/>
    <w:rsid w:val="00552962"/>
    <w:rsid w:val="005529E2"/>
    <w:rsid w:val="00552BA8"/>
    <w:rsid w:val="00552D46"/>
    <w:rsid w:val="00552D49"/>
    <w:rsid w:val="00552E3E"/>
    <w:rsid w:val="00552E7D"/>
    <w:rsid w:val="00552F31"/>
    <w:rsid w:val="00552F40"/>
    <w:rsid w:val="00552FEF"/>
    <w:rsid w:val="00553188"/>
    <w:rsid w:val="0055323C"/>
    <w:rsid w:val="005535B7"/>
    <w:rsid w:val="005535CD"/>
    <w:rsid w:val="00553726"/>
    <w:rsid w:val="0055381F"/>
    <w:rsid w:val="00553974"/>
    <w:rsid w:val="00553BDC"/>
    <w:rsid w:val="00553C30"/>
    <w:rsid w:val="00554039"/>
    <w:rsid w:val="0055408F"/>
    <w:rsid w:val="005540DE"/>
    <w:rsid w:val="0055411A"/>
    <w:rsid w:val="00554254"/>
    <w:rsid w:val="00554665"/>
    <w:rsid w:val="00554735"/>
    <w:rsid w:val="00554800"/>
    <w:rsid w:val="00554B11"/>
    <w:rsid w:val="00555045"/>
    <w:rsid w:val="0055508E"/>
    <w:rsid w:val="005551DA"/>
    <w:rsid w:val="005554D8"/>
    <w:rsid w:val="0055551D"/>
    <w:rsid w:val="00555573"/>
    <w:rsid w:val="005555A7"/>
    <w:rsid w:val="00555D8A"/>
    <w:rsid w:val="00556040"/>
    <w:rsid w:val="0055604C"/>
    <w:rsid w:val="0055604F"/>
    <w:rsid w:val="0055611A"/>
    <w:rsid w:val="005561BE"/>
    <w:rsid w:val="0055657D"/>
    <w:rsid w:val="00556656"/>
    <w:rsid w:val="005566A2"/>
    <w:rsid w:val="00556741"/>
    <w:rsid w:val="00556876"/>
    <w:rsid w:val="00556918"/>
    <w:rsid w:val="00556A1D"/>
    <w:rsid w:val="00556D0D"/>
    <w:rsid w:val="00556D50"/>
    <w:rsid w:val="00556DA6"/>
    <w:rsid w:val="00556DF4"/>
    <w:rsid w:val="00556F89"/>
    <w:rsid w:val="005570D6"/>
    <w:rsid w:val="00557112"/>
    <w:rsid w:val="00557114"/>
    <w:rsid w:val="0055711D"/>
    <w:rsid w:val="00557208"/>
    <w:rsid w:val="005572A3"/>
    <w:rsid w:val="005574A1"/>
    <w:rsid w:val="0055752A"/>
    <w:rsid w:val="005575FB"/>
    <w:rsid w:val="00557607"/>
    <w:rsid w:val="00557805"/>
    <w:rsid w:val="00557942"/>
    <w:rsid w:val="00557AF7"/>
    <w:rsid w:val="00557BFD"/>
    <w:rsid w:val="00557DB7"/>
    <w:rsid w:val="00560375"/>
    <w:rsid w:val="00560442"/>
    <w:rsid w:val="00560446"/>
    <w:rsid w:val="00560489"/>
    <w:rsid w:val="005607D3"/>
    <w:rsid w:val="00560A66"/>
    <w:rsid w:val="00560B6E"/>
    <w:rsid w:val="00560BA1"/>
    <w:rsid w:val="00560DF4"/>
    <w:rsid w:val="00560EC4"/>
    <w:rsid w:val="00560EE4"/>
    <w:rsid w:val="00560FEA"/>
    <w:rsid w:val="005612CB"/>
    <w:rsid w:val="0056174A"/>
    <w:rsid w:val="00561A52"/>
    <w:rsid w:val="00561A6C"/>
    <w:rsid w:val="00561A8C"/>
    <w:rsid w:val="00561B91"/>
    <w:rsid w:val="00561BF9"/>
    <w:rsid w:val="00561D0A"/>
    <w:rsid w:val="00561D5B"/>
    <w:rsid w:val="00561DD0"/>
    <w:rsid w:val="00561EA9"/>
    <w:rsid w:val="00561F05"/>
    <w:rsid w:val="00561FD0"/>
    <w:rsid w:val="00562084"/>
    <w:rsid w:val="0056208A"/>
    <w:rsid w:val="005620A7"/>
    <w:rsid w:val="00562268"/>
    <w:rsid w:val="005625D3"/>
    <w:rsid w:val="0056271A"/>
    <w:rsid w:val="005627A5"/>
    <w:rsid w:val="005628DD"/>
    <w:rsid w:val="005628EF"/>
    <w:rsid w:val="0056290C"/>
    <w:rsid w:val="00562AF3"/>
    <w:rsid w:val="00562B72"/>
    <w:rsid w:val="00562DFC"/>
    <w:rsid w:val="00562E7E"/>
    <w:rsid w:val="00562F06"/>
    <w:rsid w:val="00562F16"/>
    <w:rsid w:val="00562F35"/>
    <w:rsid w:val="00562FE5"/>
    <w:rsid w:val="005631B1"/>
    <w:rsid w:val="00563286"/>
    <w:rsid w:val="005632D9"/>
    <w:rsid w:val="0056330A"/>
    <w:rsid w:val="00563387"/>
    <w:rsid w:val="0056345A"/>
    <w:rsid w:val="00563475"/>
    <w:rsid w:val="00563503"/>
    <w:rsid w:val="005636FB"/>
    <w:rsid w:val="0056372B"/>
    <w:rsid w:val="0056395D"/>
    <w:rsid w:val="00563AC0"/>
    <w:rsid w:val="00563ADA"/>
    <w:rsid w:val="00563B71"/>
    <w:rsid w:val="00563E9F"/>
    <w:rsid w:val="00563F86"/>
    <w:rsid w:val="005640D4"/>
    <w:rsid w:val="00564100"/>
    <w:rsid w:val="005644F5"/>
    <w:rsid w:val="0056458C"/>
    <w:rsid w:val="005646D8"/>
    <w:rsid w:val="0056486C"/>
    <w:rsid w:val="00564983"/>
    <w:rsid w:val="00564A07"/>
    <w:rsid w:val="00564C54"/>
    <w:rsid w:val="00565080"/>
    <w:rsid w:val="00565130"/>
    <w:rsid w:val="0056529F"/>
    <w:rsid w:val="00565468"/>
    <w:rsid w:val="00565562"/>
    <w:rsid w:val="005656B4"/>
    <w:rsid w:val="00565766"/>
    <w:rsid w:val="00565BA1"/>
    <w:rsid w:val="00565DE5"/>
    <w:rsid w:val="0056640A"/>
    <w:rsid w:val="0056640B"/>
    <w:rsid w:val="005665A0"/>
    <w:rsid w:val="00566631"/>
    <w:rsid w:val="00566993"/>
    <w:rsid w:val="005669A0"/>
    <w:rsid w:val="00566A2F"/>
    <w:rsid w:val="00566B7E"/>
    <w:rsid w:val="00566E44"/>
    <w:rsid w:val="00566E4E"/>
    <w:rsid w:val="00566ED1"/>
    <w:rsid w:val="0056702D"/>
    <w:rsid w:val="00567030"/>
    <w:rsid w:val="005670E1"/>
    <w:rsid w:val="00567159"/>
    <w:rsid w:val="00567265"/>
    <w:rsid w:val="005672C3"/>
    <w:rsid w:val="00567426"/>
    <w:rsid w:val="00567516"/>
    <w:rsid w:val="005675DB"/>
    <w:rsid w:val="0056771B"/>
    <w:rsid w:val="00567732"/>
    <w:rsid w:val="005677ED"/>
    <w:rsid w:val="005678C9"/>
    <w:rsid w:val="00567973"/>
    <w:rsid w:val="00567A93"/>
    <w:rsid w:val="00567AD6"/>
    <w:rsid w:val="00567B6B"/>
    <w:rsid w:val="00567D50"/>
    <w:rsid w:val="00567EFB"/>
    <w:rsid w:val="0057008C"/>
    <w:rsid w:val="005700A1"/>
    <w:rsid w:val="0057012F"/>
    <w:rsid w:val="005702C4"/>
    <w:rsid w:val="00570794"/>
    <w:rsid w:val="0057088F"/>
    <w:rsid w:val="005708C3"/>
    <w:rsid w:val="005708EB"/>
    <w:rsid w:val="005708FF"/>
    <w:rsid w:val="00570924"/>
    <w:rsid w:val="005709E2"/>
    <w:rsid w:val="00570A85"/>
    <w:rsid w:val="00570E43"/>
    <w:rsid w:val="00570E55"/>
    <w:rsid w:val="0057131B"/>
    <w:rsid w:val="0057136A"/>
    <w:rsid w:val="005713EE"/>
    <w:rsid w:val="005716CB"/>
    <w:rsid w:val="005717C4"/>
    <w:rsid w:val="005717FF"/>
    <w:rsid w:val="00571902"/>
    <w:rsid w:val="0057196B"/>
    <w:rsid w:val="00571A0D"/>
    <w:rsid w:val="00571B17"/>
    <w:rsid w:val="00571B2B"/>
    <w:rsid w:val="00571CDF"/>
    <w:rsid w:val="00572016"/>
    <w:rsid w:val="0057203F"/>
    <w:rsid w:val="0057229F"/>
    <w:rsid w:val="005723A0"/>
    <w:rsid w:val="005725EF"/>
    <w:rsid w:val="00572600"/>
    <w:rsid w:val="00572627"/>
    <w:rsid w:val="00572698"/>
    <w:rsid w:val="0057277C"/>
    <w:rsid w:val="00572804"/>
    <w:rsid w:val="00572906"/>
    <w:rsid w:val="00572C97"/>
    <w:rsid w:val="00572E30"/>
    <w:rsid w:val="00572EF6"/>
    <w:rsid w:val="0057310E"/>
    <w:rsid w:val="0057328E"/>
    <w:rsid w:val="0057329B"/>
    <w:rsid w:val="005732E1"/>
    <w:rsid w:val="005733F8"/>
    <w:rsid w:val="00573763"/>
    <w:rsid w:val="00573A9A"/>
    <w:rsid w:val="00573BC2"/>
    <w:rsid w:val="00573E0C"/>
    <w:rsid w:val="00573EA2"/>
    <w:rsid w:val="005742DF"/>
    <w:rsid w:val="005744C9"/>
    <w:rsid w:val="005745D8"/>
    <w:rsid w:val="00574712"/>
    <w:rsid w:val="0057489A"/>
    <w:rsid w:val="00574922"/>
    <w:rsid w:val="00574D0D"/>
    <w:rsid w:val="00574FD9"/>
    <w:rsid w:val="005752D6"/>
    <w:rsid w:val="005755E5"/>
    <w:rsid w:val="00575604"/>
    <w:rsid w:val="00575681"/>
    <w:rsid w:val="00575AC6"/>
    <w:rsid w:val="00575CEF"/>
    <w:rsid w:val="00575CF5"/>
    <w:rsid w:val="00575D97"/>
    <w:rsid w:val="00575DE5"/>
    <w:rsid w:val="00575E2F"/>
    <w:rsid w:val="00575EE5"/>
    <w:rsid w:val="00575F01"/>
    <w:rsid w:val="00575FFC"/>
    <w:rsid w:val="005760ED"/>
    <w:rsid w:val="005761AE"/>
    <w:rsid w:val="00576537"/>
    <w:rsid w:val="00576913"/>
    <w:rsid w:val="005769C1"/>
    <w:rsid w:val="005769F6"/>
    <w:rsid w:val="00576B84"/>
    <w:rsid w:val="00576B8A"/>
    <w:rsid w:val="00576BE1"/>
    <w:rsid w:val="00576CB1"/>
    <w:rsid w:val="00576E72"/>
    <w:rsid w:val="00577128"/>
    <w:rsid w:val="00577132"/>
    <w:rsid w:val="005771AA"/>
    <w:rsid w:val="0057721A"/>
    <w:rsid w:val="0057742A"/>
    <w:rsid w:val="0057743F"/>
    <w:rsid w:val="0057747E"/>
    <w:rsid w:val="005774F2"/>
    <w:rsid w:val="0057756A"/>
    <w:rsid w:val="00577603"/>
    <w:rsid w:val="00577A2A"/>
    <w:rsid w:val="00577DC4"/>
    <w:rsid w:val="00577FBB"/>
    <w:rsid w:val="00580000"/>
    <w:rsid w:val="00580077"/>
    <w:rsid w:val="005800D1"/>
    <w:rsid w:val="00580155"/>
    <w:rsid w:val="00580262"/>
    <w:rsid w:val="005802F0"/>
    <w:rsid w:val="005805CF"/>
    <w:rsid w:val="005806C5"/>
    <w:rsid w:val="005809FF"/>
    <w:rsid w:val="00580C17"/>
    <w:rsid w:val="00580C3E"/>
    <w:rsid w:val="00580E09"/>
    <w:rsid w:val="00580F0D"/>
    <w:rsid w:val="00580F2E"/>
    <w:rsid w:val="00580FE8"/>
    <w:rsid w:val="00581076"/>
    <w:rsid w:val="00581396"/>
    <w:rsid w:val="005813AB"/>
    <w:rsid w:val="0058156B"/>
    <w:rsid w:val="005815CB"/>
    <w:rsid w:val="005816AA"/>
    <w:rsid w:val="00581816"/>
    <w:rsid w:val="00581967"/>
    <w:rsid w:val="005819DE"/>
    <w:rsid w:val="00581F11"/>
    <w:rsid w:val="005820BF"/>
    <w:rsid w:val="0058216C"/>
    <w:rsid w:val="005821C5"/>
    <w:rsid w:val="00582433"/>
    <w:rsid w:val="00582503"/>
    <w:rsid w:val="0058258D"/>
    <w:rsid w:val="00582665"/>
    <w:rsid w:val="005826A9"/>
    <w:rsid w:val="005826E1"/>
    <w:rsid w:val="00582AE2"/>
    <w:rsid w:val="00582B57"/>
    <w:rsid w:val="00582B86"/>
    <w:rsid w:val="00582BE5"/>
    <w:rsid w:val="00582C4E"/>
    <w:rsid w:val="00582DC4"/>
    <w:rsid w:val="005832BA"/>
    <w:rsid w:val="005833C9"/>
    <w:rsid w:val="00583419"/>
    <w:rsid w:val="005835D6"/>
    <w:rsid w:val="00583774"/>
    <w:rsid w:val="0058381E"/>
    <w:rsid w:val="005838F4"/>
    <w:rsid w:val="00583AA5"/>
    <w:rsid w:val="00583AA7"/>
    <w:rsid w:val="00583C42"/>
    <w:rsid w:val="00583DC1"/>
    <w:rsid w:val="00583E27"/>
    <w:rsid w:val="00583EA2"/>
    <w:rsid w:val="00583FEE"/>
    <w:rsid w:val="005840F3"/>
    <w:rsid w:val="005841A4"/>
    <w:rsid w:val="00584273"/>
    <w:rsid w:val="005843FC"/>
    <w:rsid w:val="005845CB"/>
    <w:rsid w:val="0058466D"/>
    <w:rsid w:val="00584913"/>
    <w:rsid w:val="00584915"/>
    <w:rsid w:val="00584D12"/>
    <w:rsid w:val="00584E6B"/>
    <w:rsid w:val="00584EC6"/>
    <w:rsid w:val="00584EC9"/>
    <w:rsid w:val="00585075"/>
    <w:rsid w:val="00585171"/>
    <w:rsid w:val="00585201"/>
    <w:rsid w:val="00585308"/>
    <w:rsid w:val="005853C6"/>
    <w:rsid w:val="0058550E"/>
    <w:rsid w:val="0058553B"/>
    <w:rsid w:val="0058556F"/>
    <w:rsid w:val="00585870"/>
    <w:rsid w:val="005858AC"/>
    <w:rsid w:val="005858C5"/>
    <w:rsid w:val="00585912"/>
    <w:rsid w:val="005859D9"/>
    <w:rsid w:val="00585AC6"/>
    <w:rsid w:val="00585B30"/>
    <w:rsid w:val="00585C0A"/>
    <w:rsid w:val="00585CFC"/>
    <w:rsid w:val="00585D6E"/>
    <w:rsid w:val="00585DB3"/>
    <w:rsid w:val="00585DBE"/>
    <w:rsid w:val="00585DED"/>
    <w:rsid w:val="00585E98"/>
    <w:rsid w:val="00585E9D"/>
    <w:rsid w:val="00585EAF"/>
    <w:rsid w:val="00585F1B"/>
    <w:rsid w:val="005862BC"/>
    <w:rsid w:val="00586433"/>
    <w:rsid w:val="005867EA"/>
    <w:rsid w:val="00586895"/>
    <w:rsid w:val="0058698B"/>
    <w:rsid w:val="00586995"/>
    <w:rsid w:val="00586A40"/>
    <w:rsid w:val="00586AFB"/>
    <w:rsid w:val="00586C44"/>
    <w:rsid w:val="00586DC8"/>
    <w:rsid w:val="00586E3C"/>
    <w:rsid w:val="00586E4B"/>
    <w:rsid w:val="00586ECD"/>
    <w:rsid w:val="00587048"/>
    <w:rsid w:val="00587291"/>
    <w:rsid w:val="005872B9"/>
    <w:rsid w:val="00587328"/>
    <w:rsid w:val="00587774"/>
    <w:rsid w:val="00587829"/>
    <w:rsid w:val="005878FD"/>
    <w:rsid w:val="00587C56"/>
    <w:rsid w:val="00587E59"/>
    <w:rsid w:val="00587E7F"/>
    <w:rsid w:val="00587F0C"/>
    <w:rsid w:val="0059039A"/>
    <w:rsid w:val="00590522"/>
    <w:rsid w:val="00590608"/>
    <w:rsid w:val="0059065A"/>
    <w:rsid w:val="005907AA"/>
    <w:rsid w:val="00590AEE"/>
    <w:rsid w:val="00590BF1"/>
    <w:rsid w:val="00590DDD"/>
    <w:rsid w:val="00590EB5"/>
    <w:rsid w:val="00590EF0"/>
    <w:rsid w:val="00590FA7"/>
    <w:rsid w:val="0059103C"/>
    <w:rsid w:val="0059111C"/>
    <w:rsid w:val="00591125"/>
    <w:rsid w:val="00591154"/>
    <w:rsid w:val="00591160"/>
    <w:rsid w:val="005911AF"/>
    <w:rsid w:val="0059122F"/>
    <w:rsid w:val="005912EF"/>
    <w:rsid w:val="00591310"/>
    <w:rsid w:val="005913DE"/>
    <w:rsid w:val="00591482"/>
    <w:rsid w:val="005914C8"/>
    <w:rsid w:val="00591516"/>
    <w:rsid w:val="00591976"/>
    <w:rsid w:val="00591DCC"/>
    <w:rsid w:val="00591E76"/>
    <w:rsid w:val="00592041"/>
    <w:rsid w:val="005922CE"/>
    <w:rsid w:val="005922CF"/>
    <w:rsid w:val="0059249B"/>
    <w:rsid w:val="0059256F"/>
    <w:rsid w:val="005927D6"/>
    <w:rsid w:val="00592914"/>
    <w:rsid w:val="00592927"/>
    <w:rsid w:val="00592936"/>
    <w:rsid w:val="0059299F"/>
    <w:rsid w:val="005929E8"/>
    <w:rsid w:val="00592A0B"/>
    <w:rsid w:val="00592C0D"/>
    <w:rsid w:val="00592D0B"/>
    <w:rsid w:val="00592D55"/>
    <w:rsid w:val="00592D7F"/>
    <w:rsid w:val="00592E7E"/>
    <w:rsid w:val="00592EA2"/>
    <w:rsid w:val="00592FE5"/>
    <w:rsid w:val="0059306F"/>
    <w:rsid w:val="0059316B"/>
    <w:rsid w:val="00593240"/>
    <w:rsid w:val="005934D5"/>
    <w:rsid w:val="005935BC"/>
    <w:rsid w:val="0059369A"/>
    <w:rsid w:val="00593742"/>
    <w:rsid w:val="005937E7"/>
    <w:rsid w:val="005938A1"/>
    <w:rsid w:val="005939B2"/>
    <w:rsid w:val="00593C4E"/>
    <w:rsid w:val="00593E54"/>
    <w:rsid w:val="00593F76"/>
    <w:rsid w:val="0059438C"/>
    <w:rsid w:val="005944C1"/>
    <w:rsid w:val="005945FB"/>
    <w:rsid w:val="00594735"/>
    <w:rsid w:val="00594FA2"/>
    <w:rsid w:val="0059515C"/>
    <w:rsid w:val="0059521A"/>
    <w:rsid w:val="005952BE"/>
    <w:rsid w:val="0059534D"/>
    <w:rsid w:val="0059545E"/>
    <w:rsid w:val="00595566"/>
    <w:rsid w:val="0059576D"/>
    <w:rsid w:val="0059598C"/>
    <w:rsid w:val="005959DF"/>
    <w:rsid w:val="00595A5B"/>
    <w:rsid w:val="00595A81"/>
    <w:rsid w:val="00595BAB"/>
    <w:rsid w:val="00595CD8"/>
    <w:rsid w:val="00595CF6"/>
    <w:rsid w:val="00595F88"/>
    <w:rsid w:val="0059605C"/>
    <w:rsid w:val="00596273"/>
    <w:rsid w:val="00596444"/>
    <w:rsid w:val="00596526"/>
    <w:rsid w:val="0059652C"/>
    <w:rsid w:val="00596606"/>
    <w:rsid w:val="005967B1"/>
    <w:rsid w:val="005967D6"/>
    <w:rsid w:val="0059695E"/>
    <w:rsid w:val="00596A88"/>
    <w:rsid w:val="00596B3D"/>
    <w:rsid w:val="00596BA7"/>
    <w:rsid w:val="00596BC8"/>
    <w:rsid w:val="00596DAD"/>
    <w:rsid w:val="00596F22"/>
    <w:rsid w:val="005970BA"/>
    <w:rsid w:val="0059719B"/>
    <w:rsid w:val="00597559"/>
    <w:rsid w:val="00597588"/>
    <w:rsid w:val="00597677"/>
    <w:rsid w:val="005976D8"/>
    <w:rsid w:val="00597783"/>
    <w:rsid w:val="00597C4F"/>
    <w:rsid w:val="005A0080"/>
    <w:rsid w:val="005A010D"/>
    <w:rsid w:val="005A01E4"/>
    <w:rsid w:val="005A01F4"/>
    <w:rsid w:val="005A03D9"/>
    <w:rsid w:val="005A0506"/>
    <w:rsid w:val="005A05A4"/>
    <w:rsid w:val="005A08C2"/>
    <w:rsid w:val="005A0936"/>
    <w:rsid w:val="005A09DC"/>
    <w:rsid w:val="005A0A4C"/>
    <w:rsid w:val="005A0C60"/>
    <w:rsid w:val="005A0D25"/>
    <w:rsid w:val="005A0D88"/>
    <w:rsid w:val="005A0E20"/>
    <w:rsid w:val="005A0F84"/>
    <w:rsid w:val="005A1704"/>
    <w:rsid w:val="005A1928"/>
    <w:rsid w:val="005A196B"/>
    <w:rsid w:val="005A199D"/>
    <w:rsid w:val="005A1A82"/>
    <w:rsid w:val="005A1A91"/>
    <w:rsid w:val="005A1AD3"/>
    <w:rsid w:val="005A1AF3"/>
    <w:rsid w:val="005A1B2D"/>
    <w:rsid w:val="005A1C00"/>
    <w:rsid w:val="005A1C2F"/>
    <w:rsid w:val="005A1D35"/>
    <w:rsid w:val="005A222F"/>
    <w:rsid w:val="005A2389"/>
    <w:rsid w:val="005A23F6"/>
    <w:rsid w:val="005A2872"/>
    <w:rsid w:val="005A2996"/>
    <w:rsid w:val="005A299B"/>
    <w:rsid w:val="005A2C1B"/>
    <w:rsid w:val="005A2CEA"/>
    <w:rsid w:val="005A2EB3"/>
    <w:rsid w:val="005A2EF3"/>
    <w:rsid w:val="005A2F47"/>
    <w:rsid w:val="005A3010"/>
    <w:rsid w:val="005A3079"/>
    <w:rsid w:val="005A3228"/>
    <w:rsid w:val="005A34C0"/>
    <w:rsid w:val="005A34E9"/>
    <w:rsid w:val="005A36C4"/>
    <w:rsid w:val="005A37FA"/>
    <w:rsid w:val="005A389B"/>
    <w:rsid w:val="005A3904"/>
    <w:rsid w:val="005A3A1A"/>
    <w:rsid w:val="005A3A25"/>
    <w:rsid w:val="005A3A58"/>
    <w:rsid w:val="005A3BF1"/>
    <w:rsid w:val="005A3D44"/>
    <w:rsid w:val="005A3E65"/>
    <w:rsid w:val="005A3F4C"/>
    <w:rsid w:val="005A41AB"/>
    <w:rsid w:val="005A4225"/>
    <w:rsid w:val="005A4340"/>
    <w:rsid w:val="005A43CA"/>
    <w:rsid w:val="005A469C"/>
    <w:rsid w:val="005A46D4"/>
    <w:rsid w:val="005A46F2"/>
    <w:rsid w:val="005A476B"/>
    <w:rsid w:val="005A4785"/>
    <w:rsid w:val="005A47D7"/>
    <w:rsid w:val="005A4B55"/>
    <w:rsid w:val="005A4CE4"/>
    <w:rsid w:val="005A4CFD"/>
    <w:rsid w:val="005A4D42"/>
    <w:rsid w:val="005A4E20"/>
    <w:rsid w:val="005A50DE"/>
    <w:rsid w:val="005A51DA"/>
    <w:rsid w:val="005A5491"/>
    <w:rsid w:val="005A55F1"/>
    <w:rsid w:val="005A586E"/>
    <w:rsid w:val="005A5951"/>
    <w:rsid w:val="005A5AFA"/>
    <w:rsid w:val="005A5D22"/>
    <w:rsid w:val="005A5FE1"/>
    <w:rsid w:val="005A609A"/>
    <w:rsid w:val="005A6372"/>
    <w:rsid w:val="005A643B"/>
    <w:rsid w:val="005A669F"/>
    <w:rsid w:val="005A6758"/>
    <w:rsid w:val="005A694C"/>
    <w:rsid w:val="005A69B1"/>
    <w:rsid w:val="005A69F3"/>
    <w:rsid w:val="005A6AA7"/>
    <w:rsid w:val="005A6C4D"/>
    <w:rsid w:val="005A6CFD"/>
    <w:rsid w:val="005A6E02"/>
    <w:rsid w:val="005A6EFF"/>
    <w:rsid w:val="005A7100"/>
    <w:rsid w:val="005A729D"/>
    <w:rsid w:val="005A73EC"/>
    <w:rsid w:val="005A7407"/>
    <w:rsid w:val="005A7547"/>
    <w:rsid w:val="005A784C"/>
    <w:rsid w:val="005A7B89"/>
    <w:rsid w:val="005A7CD9"/>
    <w:rsid w:val="005A7CDC"/>
    <w:rsid w:val="005A7DE0"/>
    <w:rsid w:val="005A7F89"/>
    <w:rsid w:val="005B0053"/>
    <w:rsid w:val="005B0200"/>
    <w:rsid w:val="005B0237"/>
    <w:rsid w:val="005B04C2"/>
    <w:rsid w:val="005B06AC"/>
    <w:rsid w:val="005B06E4"/>
    <w:rsid w:val="005B0722"/>
    <w:rsid w:val="005B073A"/>
    <w:rsid w:val="005B08E7"/>
    <w:rsid w:val="005B0E8C"/>
    <w:rsid w:val="005B0F5A"/>
    <w:rsid w:val="005B10BA"/>
    <w:rsid w:val="005B1426"/>
    <w:rsid w:val="005B14A4"/>
    <w:rsid w:val="005B1608"/>
    <w:rsid w:val="005B16AF"/>
    <w:rsid w:val="005B1723"/>
    <w:rsid w:val="005B1781"/>
    <w:rsid w:val="005B1923"/>
    <w:rsid w:val="005B192F"/>
    <w:rsid w:val="005B19B3"/>
    <w:rsid w:val="005B1A63"/>
    <w:rsid w:val="005B1AB3"/>
    <w:rsid w:val="005B1D5C"/>
    <w:rsid w:val="005B1F1E"/>
    <w:rsid w:val="005B1F75"/>
    <w:rsid w:val="005B2162"/>
    <w:rsid w:val="005B2262"/>
    <w:rsid w:val="005B234E"/>
    <w:rsid w:val="005B253F"/>
    <w:rsid w:val="005B25C2"/>
    <w:rsid w:val="005B2611"/>
    <w:rsid w:val="005B2632"/>
    <w:rsid w:val="005B2B84"/>
    <w:rsid w:val="005B2C66"/>
    <w:rsid w:val="005B2D65"/>
    <w:rsid w:val="005B2DA6"/>
    <w:rsid w:val="005B2E23"/>
    <w:rsid w:val="005B2F35"/>
    <w:rsid w:val="005B313D"/>
    <w:rsid w:val="005B354D"/>
    <w:rsid w:val="005B3550"/>
    <w:rsid w:val="005B385C"/>
    <w:rsid w:val="005B39E1"/>
    <w:rsid w:val="005B3B0D"/>
    <w:rsid w:val="005B408A"/>
    <w:rsid w:val="005B4135"/>
    <w:rsid w:val="005B41BC"/>
    <w:rsid w:val="005B42FE"/>
    <w:rsid w:val="005B44C8"/>
    <w:rsid w:val="005B46EB"/>
    <w:rsid w:val="005B46FA"/>
    <w:rsid w:val="005B475D"/>
    <w:rsid w:val="005B4833"/>
    <w:rsid w:val="005B4838"/>
    <w:rsid w:val="005B4D70"/>
    <w:rsid w:val="005B4DC6"/>
    <w:rsid w:val="005B4E30"/>
    <w:rsid w:val="005B5205"/>
    <w:rsid w:val="005B533F"/>
    <w:rsid w:val="005B538B"/>
    <w:rsid w:val="005B55CF"/>
    <w:rsid w:val="005B569E"/>
    <w:rsid w:val="005B56B4"/>
    <w:rsid w:val="005B57A9"/>
    <w:rsid w:val="005B5843"/>
    <w:rsid w:val="005B5A80"/>
    <w:rsid w:val="005B5BBD"/>
    <w:rsid w:val="005B5E89"/>
    <w:rsid w:val="005B5EA4"/>
    <w:rsid w:val="005B62AA"/>
    <w:rsid w:val="005B63C1"/>
    <w:rsid w:val="005B63F0"/>
    <w:rsid w:val="005B6637"/>
    <w:rsid w:val="005B69D8"/>
    <w:rsid w:val="005B6CA8"/>
    <w:rsid w:val="005B6D2A"/>
    <w:rsid w:val="005B6D59"/>
    <w:rsid w:val="005B6F43"/>
    <w:rsid w:val="005B7145"/>
    <w:rsid w:val="005B76CE"/>
    <w:rsid w:val="005B7A12"/>
    <w:rsid w:val="005B7A19"/>
    <w:rsid w:val="005B7BB2"/>
    <w:rsid w:val="005B7C23"/>
    <w:rsid w:val="005B7C6B"/>
    <w:rsid w:val="005B7CF4"/>
    <w:rsid w:val="005B7D76"/>
    <w:rsid w:val="005B7DDA"/>
    <w:rsid w:val="005B7E3D"/>
    <w:rsid w:val="005B7E4F"/>
    <w:rsid w:val="005B7EA3"/>
    <w:rsid w:val="005C01BF"/>
    <w:rsid w:val="005C01C6"/>
    <w:rsid w:val="005C01F6"/>
    <w:rsid w:val="005C02B2"/>
    <w:rsid w:val="005C02E6"/>
    <w:rsid w:val="005C0453"/>
    <w:rsid w:val="005C04DE"/>
    <w:rsid w:val="005C04E7"/>
    <w:rsid w:val="005C0575"/>
    <w:rsid w:val="005C0644"/>
    <w:rsid w:val="005C0C10"/>
    <w:rsid w:val="005C0D1E"/>
    <w:rsid w:val="005C0D85"/>
    <w:rsid w:val="005C0DA1"/>
    <w:rsid w:val="005C0FBC"/>
    <w:rsid w:val="005C1210"/>
    <w:rsid w:val="005C12E8"/>
    <w:rsid w:val="005C1300"/>
    <w:rsid w:val="005C1483"/>
    <w:rsid w:val="005C14AA"/>
    <w:rsid w:val="005C151A"/>
    <w:rsid w:val="005C1558"/>
    <w:rsid w:val="005C176F"/>
    <w:rsid w:val="005C1893"/>
    <w:rsid w:val="005C1D59"/>
    <w:rsid w:val="005C1DCE"/>
    <w:rsid w:val="005C1ECF"/>
    <w:rsid w:val="005C1F28"/>
    <w:rsid w:val="005C20D4"/>
    <w:rsid w:val="005C2199"/>
    <w:rsid w:val="005C219B"/>
    <w:rsid w:val="005C21C9"/>
    <w:rsid w:val="005C2336"/>
    <w:rsid w:val="005C2477"/>
    <w:rsid w:val="005C2532"/>
    <w:rsid w:val="005C253E"/>
    <w:rsid w:val="005C25C7"/>
    <w:rsid w:val="005C28E2"/>
    <w:rsid w:val="005C2920"/>
    <w:rsid w:val="005C2A35"/>
    <w:rsid w:val="005C2A66"/>
    <w:rsid w:val="005C2C3A"/>
    <w:rsid w:val="005C2FCB"/>
    <w:rsid w:val="005C3013"/>
    <w:rsid w:val="005C30E4"/>
    <w:rsid w:val="005C312A"/>
    <w:rsid w:val="005C315F"/>
    <w:rsid w:val="005C317B"/>
    <w:rsid w:val="005C31E2"/>
    <w:rsid w:val="005C33BE"/>
    <w:rsid w:val="005C3414"/>
    <w:rsid w:val="005C367A"/>
    <w:rsid w:val="005C3756"/>
    <w:rsid w:val="005C38D1"/>
    <w:rsid w:val="005C3A27"/>
    <w:rsid w:val="005C3A45"/>
    <w:rsid w:val="005C3AD3"/>
    <w:rsid w:val="005C3AF0"/>
    <w:rsid w:val="005C3B60"/>
    <w:rsid w:val="005C3DC5"/>
    <w:rsid w:val="005C427F"/>
    <w:rsid w:val="005C42CF"/>
    <w:rsid w:val="005C430E"/>
    <w:rsid w:val="005C4465"/>
    <w:rsid w:val="005C44AA"/>
    <w:rsid w:val="005C4574"/>
    <w:rsid w:val="005C46C4"/>
    <w:rsid w:val="005C4926"/>
    <w:rsid w:val="005C5284"/>
    <w:rsid w:val="005C533B"/>
    <w:rsid w:val="005C5448"/>
    <w:rsid w:val="005C54F6"/>
    <w:rsid w:val="005C57C3"/>
    <w:rsid w:val="005C58B8"/>
    <w:rsid w:val="005C5901"/>
    <w:rsid w:val="005C5909"/>
    <w:rsid w:val="005C5935"/>
    <w:rsid w:val="005C59A9"/>
    <w:rsid w:val="005C5A65"/>
    <w:rsid w:val="005C5A68"/>
    <w:rsid w:val="005C5BD0"/>
    <w:rsid w:val="005C5DEE"/>
    <w:rsid w:val="005C5EAD"/>
    <w:rsid w:val="005C5F0F"/>
    <w:rsid w:val="005C5FFD"/>
    <w:rsid w:val="005C6274"/>
    <w:rsid w:val="005C6399"/>
    <w:rsid w:val="005C63E9"/>
    <w:rsid w:val="005C64E9"/>
    <w:rsid w:val="005C6545"/>
    <w:rsid w:val="005C65F8"/>
    <w:rsid w:val="005C6905"/>
    <w:rsid w:val="005C6A51"/>
    <w:rsid w:val="005C6CB3"/>
    <w:rsid w:val="005C6D8F"/>
    <w:rsid w:val="005C6F8B"/>
    <w:rsid w:val="005C708F"/>
    <w:rsid w:val="005C7162"/>
    <w:rsid w:val="005C7276"/>
    <w:rsid w:val="005C732E"/>
    <w:rsid w:val="005C75EC"/>
    <w:rsid w:val="005C76E6"/>
    <w:rsid w:val="005C7755"/>
    <w:rsid w:val="005C776C"/>
    <w:rsid w:val="005C790C"/>
    <w:rsid w:val="005C7957"/>
    <w:rsid w:val="005C7BA1"/>
    <w:rsid w:val="005C7D20"/>
    <w:rsid w:val="005C7D77"/>
    <w:rsid w:val="005C7EFC"/>
    <w:rsid w:val="005C7FA2"/>
    <w:rsid w:val="005D00B8"/>
    <w:rsid w:val="005D024C"/>
    <w:rsid w:val="005D03C1"/>
    <w:rsid w:val="005D052E"/>
    <w:rsid w:val="005D067A"/>
    <w:rsid w:val="005D06BF"/>
    <w:rsid w:val="005D07E0"/>
    <w:rsid w:val="005D07F7"/>
    <w:rsid w:val="005D0B03"/>
    <w:rsid w:val="005D0B59"/>
    <w:rsid w:val="005D0C3C"/>
    <w:rsid w:val="005D0CF3"/>
    <w:rsid w:val="005D1125"/>
    <w:rsid w:val="005D1279"/>
    <w:rsid w:val="005D130F"/>
    <w:rsid w:val="005D1377"/>
    <w:rsid w:val="005D137D"/>
    <w:rsid w:val="005D161D"/>
    <w:rsid w:val="005D16AD"/>
    <w:rsid w:val="005D176C"/>
    <w:rsid w:val="005D1933"/>
    <w:rsid w:val="005D1962"/>
    <w:rsid w:val="005D1A7A"/>
    <w:rsid w:val="005D1BD6"/>
    <w:rsid w:val="005D1EBB"/>
    <w:rsid w:val="005D1F83"/>
    <w:rsid w:val="005D1F98"/>
    <w:rsid w:val="005D20DC"/>
    <w:rsid w:val="005D2207"/>
    <w:rsid w:val="005D22FA"/>
    <w:rsid w:val="005D2313"/>
    <w:rsid w:val="005D232E"/>
    <w:rsid w:val="005D237C"/>
    <w:rsid w:val="005D2570"/>
    <w:rsid w:val="005D2575"/>
    <w:rsid w:val="005D261A"/>
    <w:rsid w:val="005D2865"/>
    <w:rsid w:val="005D2972"/>
    <w:rsid w:val="005D29A7"/>
    <w:rsid w:val="005D2AB4"/>
    <w:rsid w:val="005D2AF0"/>
    <w:rsid w:val="005D2DDD"/>
    <w:rsid w:val="005D2EE6"/>
    <w:rsid w:val="005D306D"/>
    <w:rsid w:val="005D3604"/>
    <w:rsid w:val="005D36C8"/>
    <w:rsid w:val="005D36F3"/>
    <w:rsid w:val="005D37B2"/>
    <w:rsid w:val="005D3816"/>
    <w:rsid w:val="005D39BB"/>
    <w:rsid w:val="005D3D3B"/>
    <w:rsid w:val="005D3E31"/>
    <w:rsid w:val="005D4051"/>
    <w:rsid w:val="005D4166"/>
    <w:rsid w:val="005D41DD"/>
    <w:rsid w:val="005D4266"/>
    <w:rsid w:val="005D43D0"/>
    <w:rsid w:val="005D445F"/>
    <w:rsid w:val="005D4504"/>
    <w:rsid w:val="005D4723"/>
    <w:rsid w:val="005D4725"/>
    <w:rsid w:val="005D491B"/>
    <w:rsid w:val="005D4AB6"/>
    <w:rsid w:val="005D4B58"/>
    <w:rsid w:val="005D4B8C"/>
    <w:rsid w:val="005D4B93"/>
    <w:rsid w:val="005D4DC0"/>
    <w:rsid w:val="005D4E04"/>
    <w:rsid w:val="005D4F3B"/>
    <w:rsid w:val="005D4FE6"/>
    <w:rsid w:val="005D5268"/>
    <w:rsid w:val="005D53E3"/>
    <w:rsid w:val="005D546F"/>
    <w:rsid w:val="005D568B"/>
    <w:rsid w:val="005D569E"/>
    <w:rsid w:val="005D572E"/>
    <w:rsid w:val="005D5751"/>
    <w:rsid w:val="005D5797"/>
    <w:rsid w:val="005D5879"/>
    <w:rsid w:val="005D5945"/>
    <w:rsid w:val="005D5A42"/>
    <w:rsid w:val="005D5CE2"/>
    <w:rsid w:val="005D5EFA"/>
    <w:rsid w:val="005D5FB3"/>
    <w:rsid w:val="005D605A"/>
    <w:rsid w:val="005D6211"/>
    <w:rsid w:val="005D625E"/>
    <w:rsid w:val="005D6345"/>
    <w:rsid w:val="005D639B"/>
    <w:rsid w:val="005D63E1"/>
    <w:rsid w:val="005D6719"/>
    <w:rsid w:val="005D6A76"/>
    <w:rsid w:val="005D6B08"/>
    <w:rsid w:val="005D7273"/>
    <w:rsid w:val="005D731D"/>
    <w:rsid w:val="005D737F"/>
    <w:rsid w:val="005D73F8"/>
    <w:rsid w:val="005D75AF"/>
    <w:rsid w:val="005D76BB"/>
    <w:rsid w:val="005D76EB"/>
    <w:rsid w:val="005D78F9"/>
    <w:rsid w:val="005D7A1E"/>
    <w:rsid w:val="005D7DDE"/>
    <w:rsid w:val="005E0061"/>
    <w:rsid w:val="005E00BF"/>
    <w:rsid w:val="005E0227"/>
    <w:rsid w:val="005E0275"/>
    <w:rsid w:val="005E0279"/>
    <w:rsid w:val="005E0437"/>
    <w:rsid w:val="005E057D"/>
    <w:rsid w:val="005E05C3"/>
    <w:rsid w:val="005E0A8A"/>
    <w:rsid w:val="005E0BB2"/>
    <w:rsid w:val="005E0BED"/>
    <w:rsid w:val="005E0C2B"/>
    <w:rsid w:val="005E0CA1"/>
    <w:rsid w:val="005E0E2D"/>
    <w:rsid w:val="005E0E8A"/>
    <w:rsid w:val="005E0EB1"/>
    <w:rsid w:val="005E0F1A"/>
    <w:rsid w:val="005E0FB5"/>
    <w:rsid w:val="005E100A"/>
    <w:rsid w:val="005E10F0"/>
    <w:rsid w:val="005E115A"/>
    <w:rsid w:val="005E11BC"/>
    <w:rsid w:val="005E11BD"/>
    <w:rsid w:val="005E13C6"/>
    <w:rsid w:val="005E14D0"/>
    <w:rsid w:val="005E1505"/>
    <w:rsid w:val="005E1571"/>
    <w:rsid w:val="005E15EE"/>
    <w:rsid w:val="005E161A"/>
    <w:rsid w:val="005E1AA9"/>
    <w:rsid w:val="005E1EA6"/>
    <w:rsid w:val="005E1ED1"/>
    <w:rsid w:val="005E1F82"/>
    <w:rsid w:val="005E1F85"/>
    <w:rsid w:val="005E2053"/>
    <w:rsid w:val="005E20CF"/>
    <w:rsid w:val="005E2314"/>
    <w:rsid w:val="005E23DE"/>
    <w:rsid w:val="005E26E7"/>
    <w:rsid w:val="005E27DA"/>
    <w:rsid w:val="005E294A"/>
    <w:rsid w:val="005E2A4C"/>
    <w:rsid w:val="005E2AA8"/>
    <w:rsid w:val="005E2B23"/>
    <w:rsid w:val="005E2E32"/>
    <w:rsid w:val="005E2ED5"/>
    <w:rsid w:val="005E2F88"/>
    <w:rsid w:val="005E30EE"/>
    <w:rsid w:val="005E3183"/>
    <w:rsid w:val="005E31E8"/>
    <w:rsid w:val="005E3383"/>
    <w:rsid w:val="005E33DA"/>
    <w:rsid w:val="005E342D"/>
    <w:rsid w:val="005E365E"/>
    <w:rsid w:val="005E3865"/>
    <w:rsid w:val="005E3A57"/>
    <w:rsid w:val="005E3B6E"/>
    <w:rsid w:val="005E3CFA"/>
    <w:rsid w:val="005E3D0A"/>
    <w:rsid w:val="005E3D8C"/>
    <w:rsid w:val="005E3E31"/>
    <w:rsid w:val="005E4080"/>
    <w:rsid w:val="005E41E3"/>
    <w:rsid w:val="005E42E1"/>
    <w:rsid w:val="005E42FC"/>
    <w:rsid w:val="005E436E"/>
    <w:rsid w:val="005E4436"/>
    <w:rsid w:val="005E44A6"/>
    <w:rsid w:val="005E47B2"/>
    <w:rsid w:val="005E4AD5"/>
    <w:rsid w:val="005E4CF4"/>
    <w:rsid w:val="005E4E37"/>
    <w:rsid w:val="005E4EA8"/>
    <w:rsid w:val="005E502C"/>
    <w:rsid w:val="005E50CA"/>
    <w:rsid w:val="005E517A"/>
    <w:rsid w:val="005E520B"/>
    <w:rsid w:val="005E52E3"/>
    <w:rsid w:val="005E5375"/>
    <w:rsid w:val="005E5437"/>
    <w:rsid w:val="005E54EA"/>
    <w:rsid w:val="005E5576"/>
    <w:rsid w:val="005E55F1"/>
    <w:rsid w:val="005E586E"/>
    <w:rsid w:val="005E597B"/>
    <w:rsid w:val="005E5B5A"/>
    <w:rsid w:val="005E5CC4"/>
    <w:rsid w:val="005E5CCE"/>
    <w:rsid w:val="005E6141"/>
    <w:rsid w:val="005E6177"/>
    <w:rsid w:val="005E6197"/>
    <w:rsid w:val="005E62CF"/>
    <w:rsid w:val="005E6368"/>
    <w:rsid w:val="005E644F"/>
    <w:rsid w:val="005E6605"/>
    <w:rsid w:val="005E6628"/>
    <w:rsid w:val="005E6756"/>
    <w:rsid w:val="005E68A6"/>
    <w:rsid w:val="005E6968"/>
    <w:rsid w:val="005E6A5F"/>
    <w:rsid w:val="005E6A64"/>
    <w:rsid w:val="005E6B11"/>
    <w:rsid w:val="005E6B79"/>
    <w:rsid w:val="005E6C0D"/>
    <w:rsid w:val="005E6DD3"/>
    <w:rsid w:val="005E6E07"/>
    <w:rsid w:val="005E6F31"/>
    <w:rsid w:val="005E6FB5"/>
    <w:rsid w:val="005E7136"/>
    <w:rsid w:val="005E7462"/>
    <w:rsid w:val="005E7467"/>
    <w:rsid w:val="005E76A9"/>
    <w:rsid w:val="005E7805"/>
    <w:rsid w:val="005E78A0"/>
    <w:rsid w:val="005E78AB"/>
    <w:rsid w:val="005E78E8"/>
    <w:rsid w:val="005E79C4"/>
    <w:rsid w:val="005E7ABD"/>
    <w:rsid w:val="005E7BD7"/>
    <w:rsid w:val="005E7CF9"/>
    <w:rsid w:val="005E7DA1"/>
    <w:rsid w:val="005E7E6F"/>
    <w:rsid w:val="005E7ECD"/>
    <w:rsid w:val="005E7FC8"/>
    <w:rsid w:val="005F0031"/>
    <w:rsid w:val="005F017E"/>
    <w:rsid w:val="005F01A3"/>
    <w:rsid w:val="005F026A"/>
    <w:rsid w:val="005F0708"/>
    <w:rsid w:val="005F0B54"/>
    <w:rsid w:val="005F0C7D"/>
    <w:rsid w:val="005F0F7F"/>
    <w:rsid w:val="005F1154"/>
    <w:rsid w:val="005F15E9"/>
    <w:rsid w:val="005F1717"/>
    <w:rsid w:val="005F173F"/>
    <w:rsid w:val="005F17E3"/>
    <w:rsid w:val="005F1829"/>
    <w:rsid w:val="005F1852"/>
    <w:rsid w:val="005F1874"/>
    <w:rsid w:val="005F191E"/>
    <w:rsid w:val="005F1B73"/>
    <w:rsid w:val="005F1B8C"/>
    <w:rsid w:val="005F1BA5"/>
    <w:rsid w:val="005F1E6E"/>
    <w:rsid w:val="005F1F6E"/>
    <w:rsid w:val="005F1FC9"/>
    <w:rsid w:val="005F203E"/>
    <w:rsid w:val="005F2069"/>
    <w:rsid w:val="005F221E"/>
    <w:rsid w:val="005F230F"/>
    <w:rsid w:val="005F2415"/>
    <w:rsid w:val="005F2B2E"/>
    <w:rsid w:val="005F2B60"/>
    <w:rsid w:val="005F2E68"/>
    <w:rsid w:val="005F2F13"/>
    <w:rsid w:val="005F3737"/>
    <w:rsid w:val="005F38A4"/>
    <w:rsid w:val="005F3FCF"/>
    <w:rsid w:val="005F3FD1"/>
    <w:rsid w:val="005F447F"/>
    <w:rsid w:val="005F4584"/>
    <w:rsid w:val="005F45A1"/>
    <w:rsid w:val="005F4A55"/>
    <w:rsid w:val="005F4B51"/>
    <w:rsid w:val="005F4B80"/>
    <w:rsid w:val="005F4C77"/>
    <w:rsid w:val="005F4D1D"/>
    <w:rsid w:val="005F4DFC"/>
    <w:rsid w:val="005F4F07"/>
    <w:rsid w:val="005F4F48"/>
    <w:rsid w:val="005F5010"/>
    <w:rsid w:val="005F51E6"/>
    <w:rsid w:val="005F5466"/>
    <w:rsid w:val="005F54FE"/>
    <w:rsid w:val="005F55A1"/>
    <w:rsid w:val="005F574F"/>
    <w:rsid w:val="005F5A51"/>
    <w:rsid w:val="005F5B1F"/>
    <w:rsid w:val="005F5CD4"/>
    <w:rsid w:val="005F5CEA"/>
    <w:rsid w:val="005F5DCC"/>
    <w:rsid w:val="005F5ECB"/>
    <w:rsid w:val="005F615C"/>
    <w:rsid w:val="005F6491"/>
    <w:rsid w:val="005F65E1"/>
    <w:rsid w:val="005F66B8"/>
    <w:rsid w:val="005F66C5"/>
    <w:rsid w:val="005F67BA"/>
    <w:rsid w:val="005F6878"/>
    <w:rsid w:val="005F68E6"/>
    <w:rsid w:val="005F6AB7"/>
    <w:rsid w:val="005F6E64"/>
    <w:rsid w:val="005F6EB2"/>
    <w:rsid w:val="005F6ED5"/>
    <w:rsid w:val="005F7162"/>
    <w:rsid w:val="005F73E5"/>
    <w:rsid w:val="005F7497"/>
    <w:rsid w:val="005F74CF"/>
    <w:rsid w:val="005F75C8"/>
    <w:rsid w:val="005F769C"/>
    <w:rsid w:val="005F7D6D"/>
    <w:rsid w:val="005F7EBC"/>
    <w:rsid w:val="005F7EE1"/>
    <w:rsid w:val="005F7EFD"/>
    <w:rsid w:val="005F7F5F"/>
    <w:rsid w:val="00600021"/>
    <w:rsid w:val="0060006D"/>
    <w:rsid w:val="00600363"/>
    <w:rsid w:val="00600367"/>
    <w:rsid w:val="0060043C"/>
    <w:rsid w:val="00600467"/>
    <w:rsid w:val="0060046C"/>
    <w:rsid w:val="006005E4"/>
    <w:rsid w:val="00600708"/>
    <w:rsid w:val="00600A54"/>
    <w:rsid w:val="00600B55"/>
    <w:rsid w:val="00600CAC"/>
    <w:rsid w:val="00600CC2"/>
    <w:rsid w:val="00600F80"/>
    <w:rsid w:val="00600F9F"/>
    <w:rsid w:val="0060102C"/>
    <w:rsid w:val="00601083"/>
    <w:rsid w:val="006010E7"/>
    <w:rsid w:val="00601130"/>
    <w:rsid w:val="006011A9"/>
    <w:rsid w:val="006012D2"/>
    <w:rsid w:val="006013D2"/>
    <w:rsid w:val="00601703"/>
    <w:rsid w:val="0060174A"/>
    <w:rsid w:val="00601755"/>
    <w:rsid w:val="006017C2"/>
    <w:rsid w:val="0060193D"/>
    <w:rsid w:val="0060194C"/>
    <w:rsid w:val="00601B90"/>
    <w:rsid w:val="00601E34"/>
    <w:rsid w:val="00601E65"/>
    <w:rsid w:val="00601EF7"/>
    <w:rsid w:val="00601F02"/>
    <w:rsid w:val="00601F4D"/>
    <w:rsid w:val="00601F51"/>
    <w:rsid w:val="00602171"/>
    <w:rsid w:val="00602181"/>
    <w:rsid w:val="0060244D"/>
    <w:rsid w:val="00602561"/>
    <w:rsid w:val="006025BD"/>
    <w:rsid w:val="00602671"/>
    <w:rsid w:val="0060267E"/>
    <w:rsid w:val="00602800"/>
    <w:rsid w:val="006029A9"/>
    <w:rsid w:val="006029B0"/>
    <w:rsid w:val="00602B62"/>
    <w:rsid w:val="00602D30"/>
    <w:rsid w:val="00603187"/>
    <w:rsid w:val="006035C0"/>
    <w:rsid w:val="0060360D"/>
    <w:rsid w:val="00603782"/>
    <w:rsid w:val="0060380E"/>
    <w:rsid w:val="0060387E"/>
    <w:rsid w:val="00603980"/>
    <w:rsid w:val="00603C09"/>
    <w:rsid w:val="00603CF7"/>
    <w:rsid w:val="00603DF1"/>
    <w:rsid w:val="006040AB"/>
    <w:rsid w:val="0060419C"/>
    <w:rsid w:val="006041DF"/>
    <w:rsid w:val="006045FE"/>
    <w:rsid w:val="00604988"/>
    <w:rsid w:val="00604BC5"/>
    <w:rsid w:val="00604CCB"/>
    <w:rsid w:val="00604DE9"/>
    <w:rsid w:val="006051F6"/>
    <w:rsid w:val="0060576B"/>
    <w:rsid w:val="006057B7"/>
    <w:rsid w:val="00605B78"/>
    <w:rsid w:val="00605BE6"/>
    <w:rsid w:val="00605C7A"/>
    <w:rsid w:val="00605D6A"/>
    <w:rsid w:val="00605D94"/>
    <w:rsid w:val="00605EFA"/>
    <w:rsid w:val="0060614B"/>
    <w:rsid w:val="00606634"/>
    <w:rsid w:val="00606692"/>
    <w:rsid w:val="006066EA"/>
    <w:rsid w:val="00606793"/>
    <w:rsid w:val="006067F1"/>
    <w:rsid w:val="006067F9"/>
    <w:rsid w:val="00606859"/>
    <w:rsid w:val="00606900"/>
    <w:rsid w:val="00606ACC"/>
    <w:rsid w:val="00606D32"/>
    <w:rsid w:val="00606E15"/>
    <w:rsid w:val="00606E92"/>
    <w:rsid w:val="006070DD"/>
    <w:rsid w:val="006072B7"/>
    <w:rsid w:val="006072BC"/>
    <w:rsid w:val="006073D9"/>
    <w:rsid w:val="00607411"/>
    <w:rsid w:val="006074A0"/>
    <w:rsid w:val="00607698"/>
    <w:rsid w:val="006078C3"/>
    <w:rsid w:val="00607980"/>
    <w:rsid w:val="00607986"/>
    <w:rsid w:val="0060799B"/>
    <w:rsid w:val="006079B0"/>
    <w:rsid w:val="006079D3"/>
    <w:rsid w:val="00607A06"/>
    <w:rsid w:val="00607AD7"/>
    <w:rsid w:val="00607BB3"/>
    <w:rsid w:val="00607EFE"/>
    <w:rsid w:val="00610192"/>
    <w:rsid w:val="00610200"/>
    <w:rsid w:val="0061024D"/>
    <w:rsid w:val="0061077B"/>
    <w:rsid w:val="00610923"/>
    <w:rsid w:val="00610A85"/>
    <w:rsid w:val="00610B21"/>
    <w:rsid w:val="00610CC5"/>
    <w:rsid w:val="00610F7F"/>
    <w:rsid w:val="00610FE9"/>
    <w:rsid w:val="00611248"/>
    <w:rsid w:val="0061128D"/>
    <w:rsid w:val="006114D7"/>
    <w:rsid w:val="00611611"/>
    <w:rsid w:val="006116B3"/>
    <w:rsid w:val="006116F1"/>
    <w:rsid w:val="006118A9"/>
    <w:rsid w:val="006118AF"/>
    <w:rsid w:val="00611964"/>
    <w:rsid w:val="00611A0E"/>
    <w:rsid w:val="00611C24"/>
    <w:rsid w:val="00611D12"/>
    <w:rsid w:val="00611D33"/>
    <w:rsid w:val="00611E8B"/>
    <w:rsid w:val="00611F3C"/>
    <w:rsid w:val="00611F83"/>
    <w:rsid w:val="00612028"/>
    <w:rsid w:val="0061220E"/>
    <w:rsid w:val="00612298"/>
    <w:rsid w:val="0061246D"/>
    <w:rsid w:val="00612543"/>
    <w:rsid w:val="00612631"/>
    <w:rsid w:val="00612705"/>
    <w:rsid w:val="006127E8"/>
    <w:rsid w:val="00612A71"/>
    <w:rsid w:val="00612B04"/>
    <w:rsid w:val="00612D1A"/>
    <w:rsid w:val="0061305B"/>
    <w:rsid w:val="00613091"/>
    <w:rsid w:val="0061329E"/>
    <w:rsid w:val="00613372"/>
    <w:rsid w:val="0061349C"/>
    <w:rsid w:val="0061357A"/>
    <w:rsid w:val="0061367C"/>
    <w:rsid w:val="006138A2"/>
    <w:rsid w:val="00613A4E"/>
    <w:rsid w:val="00613B3C"/>
    <w:rsid w:val="00613CAF"/>
    <w:rsid w:val="00613EA6"/>
    <w:rsid w:val="0061403B"/>
    <w:rsid w:val="0061411F"/>
    <w:rsid w:val="00614134"/>
    <w:rsid w:val="00614217"/>
    <w:rsid w:val="00614287"/>
    <w:rsid w:val="006144C1"/>
    <w:rsid w:val="006144C2"/>
    <w:rsid w:val="006144F8"/>
    <w:rsid w:val="00614844"/>
    <w:rsid w:val="006148A5"/>
    <w:rsid w:val="006148C8"/>
    <w:rsid w:val="00614AFC"/>
    <w:rsid w:val="00614B2F"/>
    <w:rsid w:val="00614B3A"/>
    <w:rsid w:val="00614C06"/>
    <w:rsid w:val="00614D84"/>
    <w:rsid w:val="00614DB2"/>
    <w:rsid w:val="00614E3D"/>
    <w:rsid w:val="0061500E"/>
    <w:rsid w:val="0061503D"/>
    <w:rsid w:val="006152D8"/>
    <w:rsid w:val="00615316"/>
    <w:rsid w:val="0061561B"/>
    <w:rsid w:val="00615750"/>
    <w:rsid w:val="006158DE"/>
    <w:rsid w:val="006158F1"/>
    <w:rsid w:val="00615977"/>
    <w:rsid w:val="00615B37"/>
    <w:rsid w:val="00615C9C"/>
    <w:rsid w:val="00615E6F"/>
    <w:rsid w:val="0061626E"/>
    <w:rsid w:val="0061642C"/>
    <w:rsid w:val="00616490"/>
    <w:rsid w:val="0061654D"/>
    <w:rsid w:val="00616569"/>
    <w:rsid w:val="006165F2"/>
    <w:rsid w:val="00616767"/>
    <w:rsid w:val="006167E1"/>
    <w:rsid w:val="0061688A"/>
    <w:rsid w:val="00616B5E"/>
    <w:rsid w:val="00616B88"/>
    <w:rsid w:val="00616DA3"/>
    <w:rsid w:val="00616DFD"/>
    <w:rsid w:val="00616E3E"/>
    <w:rsid w:val="00616F1C"/>
    <w:rsid w:val="006171A2"/>
    <w:rsid w:val="0061729E"/>
    <w:rsid w:val="006176A1"/>
    <w:rsid w:val="00617747"/>
    <w:rsid w:val="00617773"/>
    <w:rsid w:val="00617877"/>
    <w:rsid w:val="006178AA"/>
    <w:rsid w:val="00617917"/>
    <w:rsid w:val="006179B6"/>
    <w:rsid w:val="00617B58"/>
    <w:rsid w:val="00617DD6"/>
    <w:rsid w:val="00617E28"/>
    <w:rsid w:val="00617E65"/>
    <w:rsid w:val="00617FC7"/>
    <w:rsid w:val="00617FD2"/>
    <w:rsid w:val="0062001D"/>
    <w:rsid w:val="00620063"/>
    <w:rsid w:val="00620116"/>
    <w:rsid w:val="0062039E"/>
    <w:rsid w:val="0062048D"/>
    <w:rsid w:val="00620534"/>
    <w:rsid w:val="0062061D"/>
    <w:rsid w:val="0062069C"/>
    <w:rsid w:val="00620838"/>
    <w:rsid w:val="00620841"/>
    <w:rsid w:val="00620849"/>
    <w:rsid w:val="00620BA0"/>
    <w:rsid w:val="00620CE4"/>
    <w:rsid w:val="00620DFA"/>
    <w:rsid w:val="00620FCF"/>
    <w:rsid w:val="00621017"/>
    <w:rsid w:val="00621043"/>
    <w:rsid w:val="00621068"/>
    <w:rsid w:val="006211AE"/>
    <w:rsid w:val="00621226"/>
    <w:rsid w:val="006213EB"/>
    <w:rsid w:val="00621420"/>
    <w:rsid w:val="006214D7"/>
    <w:rsid w:val="006215D2"/>
    <w:rsid w:val="0062166E"/>
    <w:rsid w:val="006216C4"/>
    <w:rsid w:val="006216CA"/>
    <w:rsid w:val="006217CE"/>
    <w:rsid w:val="0062192C"/>
    <w:rsid w:val="006219B0"/>
    <w:rsid w:val="006219DF"/>
    <w:rsid w:val="00621A74"/>
    <w:rsid w:val="00621C9D"/>
    <w:rsid w:val="00621EE7"/>
    <w:rsid w:val="00621F26"/>
    <w:rsid w:val="006221C3"/>
    <w:rsid w:val="0062229B"/>
    <w:rsid w:val="00622999"/>
    <w:rsid w:val="00622F83"/>
    <w:rsid w:val="006231E5"/>
    <w:rsid w:val="0062323C"/>
    <w:rsid w:val="00623320"/>
    <w:rsid w:val="006235C4"/>
    <w:rsid w:val="0062374A"/>
    <w:rsid w:val="0062390E"/>
    <w:rsid w:val="00623BB5"/>
    <w:rsid w:val="00623BB7"/>
    <w:rsid w:val="00624080"/>
    <w:rsid w:val="006240D8"/>
    <w:rsid w:val="006240F4"/>
    <w:rsid w:val="006241E9"/>
    <w:rsid w:val="006247DE"/>
    <w:rsid w:val="0062490D"/>
    <w:rsid w:val="00624CAC"/>
    <w:rsid w:val="00624D74"/>
    <w:rsid w:val="00624D8B"/>
    <w:rsid w:val="00625018"/>
    <w:rsid w:val="00625292"/>
    <w:rsid w:val="0062534F"/>
    <w:rsid w:val="006253FD"/>
    <w:rsid w:val="0062543F"/>
    <w:rsid w:val="00625443"/>
    <w:rsid w:val="00625809"/>
    <w:rsid w:val="0062591C"/>
    <w:rsid w:val="0062595A"/>
    <w:rsid w:val="00625C97"/>
    <w:rsid w:val="00625F26"/>
    <w:rsid w:val="006261CF"/>
    <w:rsid w:val="006265B0"/>
    <w:rsid w:val="00626781"/>
    <w:rsid w:val="006267DD"/>
    <w:rsid w:val="00626841"/>
    <w:rsid w:val="00626CF4"/>
    <w:rsid w:val="00626D93"/>
    <w:rsid w:val="00626E43"/>
    <w:rsid w:val="00626E5F"/>
    <w:rsid w:val="00626F17"/>
    <w:rsid w:val="00626F60"/>
    <w:rsid w:val="00626FBE"/>
    <w:rsid w:val="00627067"/>
    <w:rsid w:val="00627099"/>
    <w:rsid w:val="006270A9"/>
    <w:rsid w:val="006271EE"/>
    <w:rsid w:val="0062746F"/>
    <w:rsid w:val="006277D5"/>
    <w:rsid w:val="00627827"/>
    <w:rsid w:val="006278CC"/>
    <w:rsid w:val="00627AE7"/>
    <w:rsid w:val="00627E42"/>
    <w:rsid w:val="00627FD7"/>
    <w:rsid w:val="006300C3"/>
    <w:rsid w:val="0063010E"/>
    <w:rsid w:val="0063031B"/>
    <w:rsid w:val="006303CB"/>
    <w:rsid w:val="006303DE"/>
    <w:rsid w:val="00630437"/>
    <w:rsid w:val="0063055F"/>
    <w:rsid w:val="0063068A"/>
    <w:rsid w:val="006306C5"/>
    <w:rsid w:val="006307E4"/>
    <w:rsid w:val="006309FB"/>
    <w:rsid w:val="00630C70"/>
    <w:rsid w:val="00630CA4"/>
    <w:rsid w:val="00630D2D"/>
    <w:rsid w:val="00630DCB"/>
    <w:rsid w:val="00630DD2"/>
    <w:rsid w:val="00630DD5"/>
    <w:rsid w:val="0063105E"/>
    <w:rsid w:val="006310CB"/>
    <w:rsid w:val="006310D9"/>
    <w:rsid w:val="0063122E"/>
    <w:rsid w:val="006312CF"/>
    <w:rsid w:val="0063134F"/>
    <w:rsid w:val="00631393"/>
    <w:rsid w:val="0063153B"/>
    <w:rsid w:val="0063154D"/>
    <w:rsid w:val="0063159F"/>
    <w:rsid w:val="00631617"/>
    <w:rsid w:val="00631A37"/>
    <w:rsid w:val="00631AEF"/>
    <w:rsid w:val="00631B5F"/>
    <w:rsid w:val="00631B6F"/>
    <w:rsid w:val="00631B89"/>
    <w:rsid w:val="00631DEA"/>
    <w:rsid w:val="0063223C"/>
    <w:rsid w:val="00632246"/>
    <w:rsid w:val="00632353"/>
    <w:rsid w:val="006324B4"/>
    <w:rsid w:val="00632645"/>
    <w:rsid w:val="006326DA"/>
    <w:rsid w:val="00632801"/>
    <w:rsid w:val="00632B73"/>
    <w:rsid w:val="00632BE0"/>
    <w:rsid w:val="00632DA2"/>
    <w:rsid w:val="00632E1F"/>
    <w:rsid w:val="00632EEB"/>
    <w:rsid w:val="00632F22"/>
    <w:rsid w:val="0063303E"/>
    <w:rsid w:val="00633194"/>
    <w:rsid w:val="006331EB"/>
    <w:rsid w:val="00633279"/>
    <w:rsid w:val="006332CE"/>
    <w:rsid w:val="00633332"/>
    <w:rsid w:val="0063365A"/>
    <w:rsid w:val="00633BD2"/>
    <w:rsid w:val="00633C4C"/>
    <w:rsid w:val="0063406A"/>
    <w:rsid w:val="0063449F"/>
    <w:rsid w:val="00634566"/>
    <w:rsid w:val="0063464D"/>
    <w:rsid w:val="006346E1"/>
    <w:rsid w:val="00634743"/>
    <w:rsid w:val="00634A11"/>
    <w:rsid w:val="00634BCD"/>
    <w:rsid w:val="00634C4E"/>
    <w:rsid w:val="00634C7D"/>
    <w:rsid w:val="00634C92"/>
    <w:rsid w:val="00634F99"/>
    <w:rsid w:val="0063521D"/>
    <w:rsid w:val="00635284"/>
    <w:rsid w:val="006353BF"/>
    <w:rsid w:val="006353E5"/>
    <w:rsid w:val="006355A2"/>
    <w:rsid w:val="006356D4"/>
    <w:rsid w:val="00635857"/>
    <w:rsid w:val="00635A30"/>
    <w:rsid w:val="00635D81"/>
    <w:rsid w:val="00636174"/>
    <w:rsid w:val="00636235"/>
    <w:rsid w:val="00636467"/>
    <w:rsid w:val="006366D9"/>
    <w:rsid w:val="0063679B"/>
    <w:rsid w:val="00636854"/>
    <w:rsid w:val="00636855"/>
    <w:rsid w:val="00636B52"/>
    <w:rsid w:val="00636BEC"/>
    <w:rsid w:val="00636C31"/>
    <w:rsid w:val="00636CDB"/>
    <w:rsid w:val="00637092"/>
    <w:rsid w:val="00637171"/>
    <w:rsid w:val="00637349"/>
    <w:rsid w:val="00637D65"/>
    <w:rsid w:val="00637D88"/>
    <w:rsid w:val="00640243"/>
    <w:rsid w:val="00640352"/>
    <w:rsid w:val="00640698"/>
    <w:rsid w:val="0064070A"/>
    <w:rsid w:val="0064074C"/>
    <w:rsid w:val="0064084D"/>
    <w:rsid w:val="006408EF"/>
    <w:rsid w:val="00640A76"/>
    <w:rsid w:val="00640AF6"/>
    <w:rsid w:val="00640BFF"/>
    <w:rsid w:val="00640C25"/>
    <w:rsid w:val="00640D2F"/>
    <w:rsid w:val="00640D96"/>
    <w:rsid w:val="00640E05"/>
    <w:rsid w:val="00640F33"/>
    <w:rsid w:val="00641066"/>
    <w:rsid w:val="0064111F"/>
    <w:rsid w:val="00641121"/>
    <w:rsid w:val="0064118D"/>
    <w:rsid w:val="006412B6"/>
    <w:rsid w:val="00641377"/>
    <w:rsid w:val="0064140A"/>
    <w:rsid w:val="006414E4"/>
    <w:rsid w:val="00641886"/>
    <w:rsid w:val="00641A00"/>
    <w:rsid w:val="00641C63"/>
    <w:rsid w:val="00641CDE"/>
    <w:rsid w:val="00641D5C"/>
    <w:rsid w:val="00641D8A"/>
    <w:rsid w:val="00641E29"/>
    <w:rsid w:val="00641F43"/>
    <w:rsid w:val="00641FBA"/>
    <w:rsid w:val="00642086"/>
    <w:rsid w:val="00642155"/>
    <w:rsid w:val="00642227"/>
    <w:rsid w:val="006422D2"/>
    <w:rsid w:val="00642380"/>
    <w:rsid w:val="00642582"/>
    <w:rsid w:val="00642586"/>
    <w:rsid w:val="00642722"/>
    <w:rsid w:val="0064280A"/>
    <w:rsid w:val="006428BD"/>
    <w:rsid w:val="00642AE4"/>
    <w:rsid w:val="00642EB9"/>
    <w:rsid w:val="00642FAE"/>
    <w:rsid w:val="0064300B"/>
    <w:rsid w:val="00643056"/>
    <w:rsid w:val="00643171"/>
    <w:rsid w:val="006432CB"/>
    <w:rsid w:val="006436D2"/>
    <w:rsid w:val="006439C7"/>
    <w:rsid w:val="00643A18"/>
    <w:rsid w:val="00643A3F"/>
    <w:rsid w:val="00643A81"/>
    <w:rsid w:val="00643AB9"/>
    <w:rsid w:val="00644144"/>
    <w:rsid w:val="006443E9"/>
    <w:rsid w:val="00644406"/>
    <w:rsid w:val="006445D5"/>
    <w:rsid w:val="006446C4"/>
    <w:rsid w:val="00644A63"/>
    <w:rsid w:val="00644BF4"/>
    <w:rsid w:val="00644E6A"/>
    <w:rsid w:val="00644EEF"/>
    <w:rsid w:val="00645039"/>
    <w:rsid w:val="006450BD"/>
    <w:rsid w:val="00645171"/>
    <w:rsid w:val="00645208"/>
    <w:rsid w:val="00645288"/>
    <w:rsid w:val="006452DE"/>
    <w:rsid w:val="00645427"/>
    <w:rsid w:val="00645428"/>
    <w:rsid w:val="00645483"/>
    <w:rsid w:val="0064566F"/>
    <w:rsid w:val="006456B2"/>
    <w:rsid w:val="006458B6"/>
    <w:rsid w:val="006458EC"/>
    <w:rsid w:val="00645956"/>
    <w:rsid w:val="00645A9D"/>
    <w:rsid w:val="00645C26"/>
    <w:rsid w:val="00645E51"/>
    <w:rsid w:val="00646087"/>
    <w:rsid w:val="00646266"/>
    <w:rsid w:val="0064629D"/>
    <w:rsid w:val="00646312"/>
    <w:rsid w:val="00646360"/>
    <w:rsid w:val="00646560"/>
    <w:rsid w:val="0064659F"/>
    <w:rsid w:val="00646825"/>
    <w:rsid w:val="006468D6"/>
    <w:rsid w:val="00646AEB"/>
    <w:rsid w:val="00646AF9"/>
    <w:rsid w:val="00646B54"/>
    <w:rsid w:val="00646C00"/>
    <w:rsid w:val="00646C9A"/>
    <w:rsid w:val="00646DD7"/>
    <w:rsid w:val="00646E13"/>
    <w:rsid w:val="00646E1D"/>
    <w:rsid w:val="00646F29"/>
    <w:rsid w:val="00647104"/>
    <w:rsid w:val="00647226"/>
    <w:rsid w:val="0064722D"/>
    <w:rsid w:val="0064769B"/>
    <w:rsid w:val="0064774F"/>
    <w:rsid w:val="006477CB"/>
    <w:rsid w:val="00647A51"/>
    <w:rsid w:val="00647AB8"/>
    <w:rsid w:val="00647ABB"/>
    <w:rsid w:val="00647AF5"/>
    <w:rsid w:val="00647CE2"/>
    <w:rsid w:val="00647D40"/>
    <w:rsid w:val="00647E4F"/>
    <w:rsid w:val="00647E6C"/>
    <w:rsid w:val="00647F62"/>
    <w:rsid w:val="00647F70"/>
    <w:rsid w:val="00650008"/>
    <w:rsid w:val="0065001B"/>
    <w:rsid w:val="00650097"/>
    <w:rsid w:val="006500F9"/>
    <w:rsid w:val="0065028A"/>
    <w:rsid w:val="006502A1"/>
    <w:rsid w:val="006505B7"/>
    <w:rsid w:val="0065071E"/>
    <w:rsid w:val="006507C7"/>
    <w:rsid w:val="00650904"/>
    <w:rsid w:val="00650A4A"/>
    <w:rsid w:val="00650B19"/>
    <w:rsid w:val="00650E79"/>
    <w:rsid w:val="00650E9A"/>
    <w:rsid w:val="00650F37"/>
    <w:rsid w:val="00650F73"/>
    <w:rsid w:val="00650FEC"/>
    <w:rsid w:val="00651008"/>
    <w:rsid w:val="00651084"/>
    <w:rsid w:val="0065109B"/>
    <w:rsid w:val="006511CE"/>
    <w:rsid w:val="0065125B"/>
    <w:rsid w:val="00651299"/>
    <w:rsid w:val="00651496"/>
    <w:rsid w:val="00651530"/>
    <w:rsid w:val="00651537"/>
    <w:rsid w:val="00651595"/>
    <w:rsid w:val="006517D3"/>
    <w:rsid w:val="006519CE"/>
    <w:rsid w:val="006519F2"/>
    <w:rsid w:val="00651B61"/>
    <w:rsid w:val="00651C10"/>
    <w:rsid w:val="00651CC7"/>
    <w:rsid w:val="00651CDC"/>
    <w:rsid w:val="00651D1A"/>
    <w:rsid w:val="00651D80"/>
    <w:rsid w:val="00651F15"/>
    <w:rsid w:val="006520A2"/>
    <w:rsid w:val="00652112"/>
    <w:rsid w:val="006522E8"/>
    <w:rsid w:val="006523E2"/>
    <w:rsid w:val="0065244D"/>
    <w:rsid w:val="006527DB"/>
    <w:rsid w:val="006528CC"/>
    <w:rsid w:val="006529EC"/>
    <w:rsid w:val="00652A54"/>
    <w:rsid w:val="00652A70"/>
    <w:rsid w:val="00652B03"/>
    <w:rsid w:val="00652C27"/>
    <w:rsid w:val="00652D5D"/>
    <w:rsid w:val="00652E7C"/>
    <w:rsid w:val="00652EDB"/>
    <w:rsid w:val="00653027"/>
    <w:rsid w:val="006530F1"/>
    <w:rsid w:val="00653899"/>
    <w:rsid w:val="00653B91"/>
    <w:rsid w:val="00653CEB"/>
    <w:rsid w:val="00653D0C"/>
    <w:rsid w:val="00653E2B"/>
    <w:rsid w:val="00653EFE"/>
    <w:rsid w:val="00653FFE"/>
    <w:rsid w:val="006541DB"/>
    <w:rsid w:val="00654205"/>
    <w:rsid w:val="006545F2"/>
    <w:rsid w:val="0065461C"/>
    <w:rsid w:val="00654702"/>
    <w:rsid w:val="00654950"/>
    <w:rsid w:val="0065495B"/>
    <w:rsid w:val="00654BDA"/>
    <w:rsid w:val="00654C1D"/>
    <w:rsid w:val="00654C62"/>
    <w:rsid w:val="00654CD0"/>
    <w:rsid w:val="00654F95"/>
    <w:rsid w:val="00654FC7"/>
    <w:rsid w:val="0065509B"/>
    <w:rsid w:val="006552FB"/>
    <w:rsid w:val="00655327"/>
    <w:rsid w:val="00655586"/>
    <w:rsid w:val="00655994"/>
    <w:rsid w:val="006559A1"/>
    <w:rsid w:val="00655A8D"/>
    <w:rsid w:val="00655ADC"/>
    <w:rsid w:val="00656073"/>
    <w:rsid w:val="0065608A"/>
    <w:rsid w:val="00656111"/>
    <w:rsid w:val="006561CA"/>
    <w:rsid w:val="006561DE"/>
    <w:rsid w:val="006563BA"/>
    <w:rsid w:val="006566C6"/>
    <w:rsid w:val="00656733"/>
    <w:rsid w:val="00656751"/>
    <w:rsid w:val="00656800"/>
    <w:rsid w:val="00656985"/>
    <w:rsid w:val="00656AB9"/>
    <w:rsid w:val="00656DD0"/>
    <w:rsid w:val="00656ED0"/>
    <w:rsid w:val="00657325"/>
    <w:rsid w:val="00657485"/>
    <w:rsid w:val="006574C2"/>
    <w:rsid w:val="00657512"/>
    <w:rsid w:val="00657549"/>
    <w:rsid w:val="006577B7"/>
    <w:rsid w:val="006577D5"/>
    <w:rsid w:val="0065797F"/>
    <w:rsid w:val="00657A91"/>
    <w:rsid w:val="00657C38"/>
    <w:rsid w:val="00657D64"/>
    <w:rsid w:val="00657FAB"/>
    <w:rsid w:val="00657FDA"/>
    <w:rsid w:val="00657FF8"/>
    <w:rsid w:val="0066003F"/>
    <w:rsid w:val="006604BB"/>
    <w:rsid w:val="00660611"/>
    <w:rsid w:val="0066062E"/>
    <w:rsid w:val="006609A6"/>
    <w:rsid w:val="006609C0"/>
    <w:rsid w:val="00660AC4"/>
    <w:rsid w:val="00660B76"/>
    <w:rsid w:val="00660BD7"/>
    <w:rsid w:val="00660CEC"/>
    <w:rsid w:val="00660D25"/>
    <w:rsid w:val="00660E1E"/>
    <w:rsid w:val="0066115B"/>
    <w:rsid w:val="00661261"/>
    <w:rsid w:val="00661267"/>
    <w:rsid w:val="0066138E"/>
    <w:rsid w:val="00661968"/>
    <w:rsid w:val="006619FE"/>
    <w:rsid w:val="00661CFF"/>
    <w:rsid w:val="00661D1B"/>
    <w:rsid w:val="00661D43"/>
    <w:rsid w:val="006620A2"/>
    <w:rsid w:val="006620D0"/>
    <w:rsid w:val="0066232B"/>
    <w:rsid w:val="00662499"/>
    <w:rsid w:val="006624E8"/>
    <w:rsid w:val="0066252C"/>
    <w:rsid w:val="0066256C"/>
    <w:rsid w:val="006627DA"/>
    <w:rsid w:val="00662866"/>
    <w:rsid w:val="00662A20"/>
    <w:rsid w:val="00662B6C"/>
    <w:rsid w:val="00662BF0"/>
    <w:rsid w:val="00662C5F"/>
    <w:rsid w:val="00662D7C"/>
    <w:rsid w:val="0066331B"/>
    <w:rsid w:val="00663342"/>
    <w:rsid w:val="006634B5"/>
    <w:rsid w:val="0066382B"/>
    <w:rsid w:val="006638AB"/>
    <w:rsid w:val="006638D1"/>
    <w:rsid w:val="006638E2"/>
    <w:rsid w:val="00663A0B"/>
    <w:rsid w:val="00663AD8"/>
    <w:rsid w:val="00663ADB"/>
    <w:rsid w:val="00663BA7"/>
    <w:rsid w:val="00663C01"/>
    <w:rsid w:val="00663D0F"/>
    <w:rsid w:val="00663E40"/>
    <w:rsid w:val="00663E98"/>
    <w:rsid w:val="006640F8"/>
    <w:rsid w:val="00664241"/>
    <w:rsid w:val="006642B1"/>
    <w:rsid w:val="0066468E"/>
    <w:rsid w:val="006646A5"/>
    <w:rsid w:val="00664730"/>
    <w:rsid w:val="006648E3"/>
    <w:rsid w:val="006648F4"/>
    <w:rsid w:val="00664A22"/>
    <w:rsid w:val="00664ADA"/>
    <w:rsid w:val="00664E3C"/>
    <w:rsid w:val="00664E42"/>
    <w:rsid w:val="00664E9A"/>
    <w:rsid w:val="00665010"/>
    <w:rsid w:val="006650AA"/>
    <w:rsid w:val="006650F9"/>
    <w:rsid w:val="006650FB"/>
    <w:rsid w:val="00665557"/>
    <w:rsid w:val="00665612"/>
    <w:rsid w:val="00665661"/>
    <w:rsid w:val="00665669"/>
    <w:rsid w:val="0066567E"/>
    <w:rsid w:val="00665782"/>
    <w:rsid w:val="006657EA"/>
    <w:rsid w:val="00665825"/>
    <w:rsid w:val="006659B1"/>
    <w:rsid w:val="00665B60"/>
    <w:rsid w:val="00665BCC"/>
    <w:rsid w:val="00665D11"/>
    <w:rsid w:val="0066613B"/>
    <w:rsid w:val="006661F2"/>
    <w:rsid w:val="00666389"/>
    <w:rsid w:val="006664B7"/>
    <w:rsid w:val="0066654E"/>
    <w:rsid w:val="006667B1"/>
    <w:rsid w:val="006669DA"/>
    <w:rsid w:val="00666A80"/>
    <w:rsid w:val="00666C18"/>
    <w:rsid w:val="00666CB5"/>
    <w:rsid w:val="00666CBC"/>
    <w:rsid w:val="00666CEA"/>
    <w:rsid w:val="00666D16"/>
    <w:rsid w:val="00666E0F"/>
    <w:rsid w:val="00666E97"/>
    <w:rsid w:val="00667170"/>
    <w:rsid w:val="006671AE"/>
    <w:rsid w:val="00667439"/>
    <w:rsid w:val="0066764B"/>
    <w:rsid w:val="006676A2"/>
    <w:rsid w:val="006677DB"/>
    <w:rsid w:val="00667CFC"/>
    <w:rsid w:val="00667D55"/>
    <w:rsid w:val="00667E1B"/>
    <w:rsid w:val="00667E2F"/>
    <w:rsid w:val="00667E7D"/>
    <w:rsid w:val="00667F03"/>
    <w:rsid w:val="00670025"/>
    <w:rsid w:val="00670081"/>
    <w:rsid w:val="00670107"/>
    <w:rsid w:val="0067014C"/>
    <w:rsid w:val="0067020A"/>
    <w:rsid w:val="00670309"/>
    <w:rsid w:val="00670614"/>
    <w:rsid w:val="006707C8"/>
    <w:rsid w:val="00670805"/>
    <w:rsid w:val="006708B3"/>
    <w:rsid w:val="00670BA5"/>
    <w:rsid w:val="00670C56"/>
    <w:rsid w:val="00670EC9"/>
    <w:rsid w:val="00670F6E"/>
    <w:rsid w:val="00671186"/>
    <w:rsid w:val="006711C0"/>
    <w:rsid w:val="00671216"/>
    <w:rsid w:val="0067121F"/>
    <w:rsid w:val="0067134A"/>
    <w:rsid w:val="006713F5"/>
    <w:rsid w:val="006718C2"/>
    <w:rsid w:val="006718F1"/>
    <w:rsid w:val="00671924"/>
    <w:rsid w:val="00671C02"/>
    <w:rsid w:val="00671C22"/>
    <w:rsid w:val="00671D9E"/>
    <w:rsid w:val="0067223E"/>
    <w:rsid w:val="006723B3"/>
    <w:rsid w:val="006723C9"/>
    <w:rsid w:val="0067258E"/>
    <w:rsid w:val="006725DE"/>
    <w:rsid w:val="0067261D"/>
    <w:rsid w:val="006726FC"/>
    <w:rsid w:val="00672762"/>
    <w:rsid w:val="006729E8"/>
    <w:rsid w:val="006732BC"/>
    <w:rsid w:val="006732E7"/>
    <w:rsid w:val="00673332"/>
    <w:rsid w:val="00673881"/>
    <w:rsid w:val="00673A87"/>
    <w:rsid w:val="00673C7A"/>
    <w:rsid w:val="00673F62"/>
    <w:rsid w:val="006740E7"/>
    <w:rsid w:val="00674329"/>
    <w:rsid w:val="0067439B"/>
    <w:rsid w:val="006743BE"/>
    <w:rsid w:val="0067451E"/>
    <w:rsid w:val="00674625"/>
    <w:rsid w:val="006746A3"/>
    <w:rsid w:val="00674731"/>
    <w:rsid w:val="006747C4"/>
    <w:rsid w:val="006748A0"/>
    <w:rsid w:val="006748AD"/>
    <w:rsid w:val="00674943"/>
    <w:rsid w:val="00674953"/>
    <w:rsid w:val="00674A8B"/>
    <w:rsid w:val="00674B91"/>
    <w:rsid w:val="00674D47"/>
    <w:rsid w:val="0067511E"/>
    <w:rsid w:val="0067515C"/>
    <w:rsid w:val="0067567B"/>
    <w:rsid w:val="00675850"/>
    <w:rsid w:val="00675D4B"/>
    <w:rsid w:val="00675E8D"/>
    <w:rsid w:val="00675F79"/>
    <w:rsid w:val="00676319"/>
    <w:rsid w:val="00676496"/>
    <w:rsid w:val="00676540"/>
    <w:rsid w:val="006765A1"/>
    <w:rsid w:val="006765FA"/>
    <w:rsid w:val="006765FD"/>
    <w:rsid w:val="0067664B"/>
    <w:rsid w:val="00676711"/>
    <w:rsid w:val="00676B7C"/>
    <w:rsid w:val="00676BB0"/>
    <w:rsid w:val="00676CA1"/>
    <w:rsid w:val="00676D7A"/>
    <w:rsid w:val="00676F2E"/>
    <w:rsid w:val="0067701F"/>
    <w:rsid w:val="00677049"/>
    <w:rsid w:val="00677174"/>
    <w:rsid w:val="0067723F"/>
    <w:rsid w:val="006772A6"/>
    <w:rsid w:val="006772FB"/>
    <w:rsid w:val="00677537"/>
    <w:rsid w:val="006778B5"/>
    <w:rsid w:val="0067794D"/>
    <w:rsid w:val="00677B12"/>
    <w:rsid w:val="00677B99"/>
    <w:rsid w:val="00677F91"/>
    <w:rsid w:val="00680210"/>
    <w:rsid w:val="00680536"/>
    <w:rsid w:val="0068072A"/>
    <w:rsid w:val="006808A5"/>
    <w:rsid w:val="006809AD"/>
    <w:rsid w:val="00680A8D"/>
    <w:rsid w:val="00680BB6"/>
    <w:rsid w:val="00680BF2"/>
    <w:rsid w:val="00680CAC"/>
    <w:rsid w:val="00680EF3"/>
    <w:rsid w:val="00680F8A"/>
    <w:rsid w:val="006810C7"/>
    <w:rsid w:val="0068140A"/>
    <w:rsid w:val="00681412"/>
    <w:rsid w:val="006815A4"/>
    <w:rsid w:val="006815E8"/>
    <w:rsid w:val="006816F9"/>
    <w:rsid w:val="00681732"/>
    <w:rsid w:val="00681A07"/>
    <w:rsid w:val="00681BF8"/>
    <w:rsid w:val="00681C7F"/>
    <w:rsid w:val="00681D82"/>
    <w:rsid w:val="00682000"/>
    <w:rsid w:val="006822D0"/>
    <w:rsid w:val="00682336"/>
    <w:rsid w:val="0068234D"/>
    <w:rsid w:val="00682390"/>
    <w:rsid w:val="00682489"/>
    <w:rsid w:val="00682558"/>
    <w:rsid w:val="006828AA"/>
    <w:rsid w:val="006829A6"/>
    <w:rsid w:val="006829CE"/>
    <w:rsid w:val="00682ADC"/>
    <w:rsid w:val="00682BE8"/>
    <w:rsid w:val="006830D4"/>
    <w:rsid w:val="00683115"/>
    <w:rsid w:val="006835E9"/>
    <w:rsid w:val="00683658"/>
    <w:rsid w:val="0068373A"/>
    <w:rsid w:val="0068393D"/>
    <w:rsid w:val="00683BA6"/>
    <w:rsid w:val="00683BF3"/>
    <w:rsid w:val="00683C19"/>
    <w:rsid w:val="00683C52"/>
    <w:rsid w:val="006842E3"/>
    <w:rsid w:val="006843BC"/>
    <w:rsid w:val="0068447E"/>
    <w:rsid w:val="006844F2"/>
    <w:rsid w:val="00684630"/>
    <w:rsid w:val="006847F1"/>
    <w:rsid w:val="00684B91"/>
    <w:rsid w:val="00684E14"/>
    <w:rsid w:val="00685082"/>
    <w:rsid w:val="00685314"/>
    <w:rsid w:val="006853E4"/>
    <w:rsid w:val="00685621"/>
    <w:rsid w:val="0068563C"/>
    <w:rsid w:val="00685853"/>
    <w:rsid w:val="00685A07"/>
    <w:rsid w:val="00685AB2"/>
    <w:rsid w:val="00685B61"/>
    <w:rsid w:val="00685B6A"/>
    <w:rsid w:val="00685BE3"/>
    <w:rsid w:val="00685CA7"/>
    <w:rsid w:val="00685E88"/>
    <w:rsid w:val="00685F70"/>
    <w:rsid w:val="006860A7"/>
    <w:rsid w:val="00686175"/>
    <w:rsid w:val="006862FC"/>
    <w:rsid w:val="00686389"/>
    <w:rsid w:val="0068644F"/>
    <w:rsid w:val="006864D2"/>
    <w:rsid w:val="006864DA"/>
    <w:rsid w:val="00686527"/>
    <w:rsid w:val="00686543"/>
    <w:rsid w:val="00686767"/>
    <w:rsid w:val="006869F3"/>
    <w:rsid w:val="00686A7F"/>
    <w:rsid w:val="00686BAF"/>
    <w:rsid w:val="00686CED"/>
    <w:rsid w:val="00686D11"/>
    <w:rsid w:val="00686EAE"/>
    <w:rsid w:val="00686FCF"/>
    <w:rsid w:val="00687023"/>
    <w:rsid w:val="00687053"/>
    <w:rsid w:val="0068707F"/>
    <w:rsid w:val="006870C0"/>
    <w:rsid w:val="00687313"/>
    <w:rsid w:val="00687335"/>
    <w:rsid w:val="0068733E"/>
    <w:rsid w:val="00687421"/>
    <w:rsid w:val="00687426"/>
    <w:rsid w:val="006877E6"/>
    <w:rsid w:val="00687964"/>
    <w:rsid w:val="006879E9"/>
    <w:rsid w:val="00687A4F"/>
    <w:rsid w:val="00687A77"/>
    <w:rsid w:val="00687A8C"/>
    <w:rsid w:val="00687C57"/>
    <w:rsid w:val="00687D49"/>
    <w:rsid w:val="00687E1E"/>
    <w:rsid w:val="00687F76"/>
    <w:rsid w:val="00687FCC"/>
    <w:rsid w:val="00687FFE"/>
    <w:rsid w:val="0069003F"/>
    <w:rsid w:val="006900EA"/>
    <w:rsid w:val="0069016D"/>
    <w:rsid w:val="006901DC"/>
    <w:rsid w:val="00690285"/>
    <w:rsid w:val="00690565"/>
    <w:rsid w:val="0069057B"/>
    <w:rsid w:val="0069060A"/>
    <w:rsid w:val="00690619"/>
    <w:rsid w:val="006906C7"/>
    <w:rsid w:val="0069091F"/>
    <w:rsid w:val="006909AC"/>
    <w:rsid w:val="00690B82"/>
    <w:rsid w:val="00690D5A"/>
    <w:rsid w:val="00690F38"/>
    <w:rsid w:val="00691148"/>
    <w:rsid w:val="0069118B"/>
    <w:rsid w:val="006911C3"/>
    <w:rsid w:val="0069127D"/>
    <w:rsid w:val="0069130D"/>
    <w:rsid w:val="006913A8"/>
    <w:rsid w:val="006915E1"/>
    <w:rsid w:val="00691703"/>
    <w:rsid w:val="006919AE"/>
    <w:rsid w:val="00691A8C"/>
    <w:rsid w:val="00691E56"/>
    <w:rsid w:val="00691EB3"/>
    <w:rsid w:val="00691FB9"/>
    <w:rsid w:val="00692144"/>
    <w:rsid w:val="00692195"/>
    <w:rsid w:val="00692418"/>
    <w:rsid w:val="0069242F"/>
    <w:rsid w:val="006924DE"/>
    <w:rsid w:val="006924F6"/>
    <w:rsid w:val="00692523"/>
    <w:rsid w:val="006926A0"/>
    <w:rsid w:val="00692703"/>
    <w:rsid w:val="0069293F"/>
    <w:rsid w:val="006929BE"/>
    <w:rsid w:val="00692AC8"/>
    <w:rsid w:val="00693141"/>
    <w:rsid w:val="006931A9"/>
    <w:rsid w:val="00693256"/>
    <w:rsid w:val="006932D1"/>
    <w:rsid w:val="0069366A"/>
    <w:rsid w:val="006936D8"/>
    <w:rsid w:val="00693713"/>
    <w:rsid w:val="0069390B"/>
    <w:rsid w:val="00693977"/>
    <w:rsid w:val="00693B73"/>
    <w:rsid w:val="00693DA5"/>
    <w:rsid w:val="00693E07"/>
    <w:rsid w:val="00693EAE"/>
    <w:rsid w:val="00694355"/>
    <w:rsid w:val="0069442C"/>
    <w:rsid w:val="00694433"/>
    <w:rsid w:val="0069443E"/>
    <w:rsid w:val="00694594"/>
    <w:rsid w:val="0069477B"/>
    <w:rsid w:val="00694804"/>
    <w:rsid w:val="00694B04"/>
    <w:rsid w:val="00694C4E"/>
    <w:rsid w:val="00694D47"/>
    <w:rsid w:val="00695004"/>
    <w:rsid w:val="0069500B"/>
    <w:rsid w:val="00695051"/>
    <w:rsid w:val="00695163"/>
    <w:rsid w:val="006951D1"/>
    <w:rsid w:val="006951F3"/>
    <w:rsid w:val="0069527B"/>
    <w:rsid w:val="006952CF"/>
    <w:rsid w:val="0069534E"/>
    <w:rsid w:val="006953A5"/>
    <w:rsid w:val="00695471"/>
    <w:rsid w:val="00695542"/>
    <w:rsid w:val="006955B6"/>
    <w:rsid w:val="006958B8"/>
    <w:rsid w:val="006958EA"/>
    <w:rsid w:val="00695F08"/>
    <w:rsid w:val="00695F6A"/>
    <w:rsid w:val="00696191"/>
    <w:rsid w:val="0069632E"/>
    <w:rsid w:val="0069639D"/>
    <w:rsid w:val="006965F3"/>
    <w:rsid w:val="00696917"/>
    <w:rsid w:val="0069692F"/>
    <w:rsid w:val="006969F3"/>
    <w:rsid w:val="00696B00"/>
    <w:rsid w:val="00696B4F"/>
    <w:rsid w:val="00696C7A"/>
    <w:rsid w:val="00696D57"/>
    <w:rsid w:val="00696F74"/>
    <w:rsid w:val="00697039"/>
    <w:rsid w:val="0069703C"/>
    <w:rsid w:val="00697045"/>
    <w:rsid w:val="00697073"/>
    <w:rsid w:val="00697362"/>
    <w:rsid w:val="00697573"/>
    <w:rsid w:val="006975FA"/>
    <w:rsid w:val="00697601"/>
    <w:rsid w:val="0069784D"/>
    <w:rsid w:val="00697868"/>
    <w:rsid w:val="006979CB"/>
    <w:rsid w:val="00697C34"/>
    <w:rsid w:val="00697D43"/>
    <w:rsid w:val="006A00F6"/>
    <w:rsid w:val="006A01CD"/>
    <w:rsid w:val="006A0202"/>
    <w:rsid w:val="006A02E7"/>
    <w:rsid w:val="006A036A"/>
    <w:rsid w:val="006A0505"/>
    <w:rsid w:val="006A05F0"/>
    <w:rsid w:val="006A077D"/>
    <w:rsid w:val="006A07A6"/>
    <w:rsid w:val="006A07AE"/>
    <w:rsid w:val="006A0990"/>
    <w:rsid w:val="006A09DD"/>
    <w:rsid w:val="006A0A12"/>
    <w:rsid w:val="006A0A78"/>
    <w:rsid w:val="006A0ABC"/>
    <w:rsid w:val="006A0BFB"/>
    <w:rsid w:val="006A0D27"/>
    <w:rsid w:val="006A0DD4"/>
    <w:rsid w:val="006A0E26"/>
    <w:rsid w:val="006A0E32"/>
    <w:rsid w:val="006A13FC"/>
    <w:rsid w:val="006A166C"/>
    <w:rsid w:val="006A1709"/>
    <w:rsid w:val="006A1798"/>
    <w:rsid w:val="006A1936"/>
    <w:rsid w:val="006A1AB4"/>
    <w:rsid w:val="006A1B4E"/>
    <w:rsid w:val="006A1BA5"/>
    <w:rsid w:val="006A1EF4"/>
    <w:rsid w:val="006A2018"/>
    <w:rsid w:val="006A2049"/>
    <w:rsid w:val="006A2320"/>
    <w:rsid w:val="006A238D"/>
    <w:rsid w:val="006A29C8"/>
    <w:rsid w:val="006A2B35"/>
    <w:rsid w:val="006A2C62"/>
    <w:rsid w:val="006A2CC9"/>
    <w:rsid w:val="006A2D47"/>
    <w:rsid w:val="006A2DC9"/>
    <w:rsid w:val="006A2FCD"/>
    <w:rsid w:val="006A3030"/>
    <w:rsid w:val="006A3153"/>
    <w:rsid w:val="006A320D"/>
    <w:rsid w:val="006A33A2"/>
    <w:rsid w:val="006A341E"/>
    <w:rsid w:val="006A36F7"/>
    <w:rsid w:val="006A3773"/>
    <w:rsid w:val="006A38F5"/>
    <w:rsid w:val="006A397D"/>
    <w:rsid w:val="006A3A56"/>
    <w:rsid w:val="006A3AD9"/>
    <w:rsid w:val="006A3C36"/>
    <w:rsid w:val="006A3C93"/>
    <w:rsid w:val="006A4373"/>
    <w:rsid w:val="006A4378"/>
    <w:rsid w:val="006A446C"/>
    <w:rsid w:val="006A4581"/>
    <w:rsid w:val="006A4808"/>
    <w:rsid w:val="006A48D6"/>
    <w:rsid w:val="006A4A0C"/>
    <w:rsid w:val="006A4A1E"/>
    <w:rsid w:val="006A4C4E"/>
    <w:rsid w:val="006A4CC5"/>
    <w:rsid w:val="006A4F17"/>
    <w:rsid w:val="006A4F2C"/>
    <w:rsid w:val="006A4F55"/>
    <w:rsid w:val="006A4F5D"/>
    <w:rsid w:val="006A4F86"/>
    <w:rsid w:val="006A509B"/>
    <w:rsid w:val="006A50B4"/>
    <w:rsid w:val="006A516E"/>
    <w:rsid w:val="006A5221"/>
    <w:rsid w:val="006A5261"/>
    <w:rsid w:val="006A5589"/>
    <w:rsid w:val="006A5596"/>
    <w:rsid w:val="006A577C"/>
    <w:rsid w:val="006A57EC"/>
    <w:rsid w:val="006A589C"/>
    <w:rsid w:val="006A58BB"/>
    <w:rsid w:val="006A5A40"/>
    <w:rsid w:val="006A5E0E"/>
    <w:rsid w:val="006A5F18"/>
    <w:rsid w:val="006A61EB"/>
    <w:rsid w:val="006A6239"/>
    <w:rsid w:val="006A6355"/>
    <w:rsid w:val="006A63F8"/>
    <w:rsid w:val="006A6638"/>
    <w:rsid w:val="006A67B4"/>
    <w:rsid w:val="006A6867"/>
    <w:rsid w:val="006A69AA"/>
    <w:rsid w:val="006A6C0B"/>
    <w:rsid w:val="006A6D60"/>
    <w:rsid w:val="006A6F77"/>
    <w:rsid w:val="006A6F8F"/>
    <w:rsid w:val="006A7085"/>
    <w:rsid w:val="006A70CA"/>
    <w:rsid w:val="006A716B"/>
    <w:rsid w:val="006A71A0"/>
    <w:rsid w:val="006A7275"/>
    <w:rsid w:val="006A73FC"/>
    <w:rsid w:val="006A7448"/>
    <w:rsid w:val="006A749F"/>
    <w:rsid w:val="006A76A6"/>
    <w:rsid w:val="006A7846"/>
    <w:rsid w:val="006A7883"/>
    <w:rsid w:val="006A7AE1"/>
    <w:rsid w:val="006A7BBE"/>
    <w:rsid w:val="006A7C30"/>
    <w:rsid w:val="006A7C6A"/>
    <w:rsid w:val="006A7D3A"/>
    <w:rsid w:val="006A7DF0"/>
    <w:rsid w:val="006A7EDB"/>
    <w:rsid w:val="006B0012"/>
    <w:rsid w:val="006B01E9"/>
    <w:rsid w:val="006B03D1"/>
    <w:rsid w:val="006B03D4"/>
    <w:rsid w:val="006B04B5"/>
    <w:rsid w:val="006B055F"/>
    <w:rsid w:val="006B0644"/>
    <w:rsid w:val="006B0841"/>
    <w:rsid w:val="006B08CE"/>
    <w:rsid w:val="006B099A"/>
    <w:rsid w:val="006B0B60"/>
    <w:rsid w:val="006B0BAD"/>
    <w:rsid w:val="006B0DB0"/>
    <w:rsid w:val="006B0E3C"/>
    <w:rsid w:val="006B1314"/>
    <w:rsid w:val="006B1374"/>
    <w:rsid w:val="006B1488"/>
    <w:rsid w:val="006B158D"/>
    <w:rsid w:val="006B15E2"/>
    <w:rsid w:val="006B16E4"/>
    <w:rsid w:val="006B1767"/>
    <w:rsid w:val="006B1B30"/>
    <w:rsid w:val="006B1CCC"/>
    <w:rsid w:val="006B1D05"/>
    <w:rsid w:val="006B1EAF"/>
    <w:rsid w:val="006B1EEF"/>
    <w:rsid w:val="006B1F9C"/>
    <w:rsid w:val="006B1FC2"/>
    <w:rsid w:val="006B212C"/>
    <w:rsid w:val="006B220B"/>
    <w:rsid w:val="006B2409"/>
    <w:rsid w:val="006B25D1"/>
    <w:rsid w:val="006B283D"/>
    <w:rsid w:val="006B2D31"/>
    <w:rsid w:val="006B2D83"/>
    <w:rsid w:val="006B2E0E"/>
    <w:rsid w:val="006B2E51"/>
    <w:rsid w:val="006B2F03"/>
    <w:rsid w:val="006B2F49"/>
    <w:rsid w:val="006B2F8C"/>
    <w:rsid w:val="006B3020"/>
    <w:rsid w:val="006B32DE"/>
    <w:rsid w:val="006B3458"/>
    <w:rsid w:val="006B34F5"/>
    <w:rsid w:val="006B3516"/>
    <w:rsid w:val="006B358E"/>
    <w:rsid w:val="006B35E4"/>
    <w:rsid w:val="006B3600"/>
    <w:rsid w:val="006B361B"/>
    <w:rsid w:val="006B379E"/>
    <w:rsid w:val="006B3CAD"/>
    <w:rsid w:val="006B3E0A"/>
    <w:rsid w:val="006B3F1C"/>
    <w:rsid w:val="006B3FF6"/>
    <w:rsid w:val="006B3FF7"/>
    <w:rsid w:val="006B412C"/>
    <w:rsid w:val="006B416C"/>
    <w:rsid w:val="006B41E4"/>
    <w:rsid w:val="006B42C7"/>
    <w:rsid w:val="006B4521"/>
    <w:rsid w:val="006B4609"/>
    <w:rsid w:val="006B474E"/>
    <w:rsid w:val="006B4A58"/>
    <w:rsid w:val="006B4B69"/>
    <w:rsid w:val="006B4DD2"/>
    <w:rsid w:val="006B4E67"/>
    <w:rsid w:val="006B4EA7"/>
    <w:rsid w:val="006B4F89"/>
    <w:rsid w:val="006B4F8C"/>
    <w:rsid w:val="006B5141"/>
    <w:rsid w:val="006B5190"/>
    <w:rsid w:val="006B529B"/>
    <w:rsid w:val="006B560E"/>
    <w:rsid w:val="006B5820"/>
    <w:rsid w:val="006B5A80"/>
    <w:rsid w:val="006B5A97"/>
    <w:rsid w:val="006B5AAE"/>
    <w:rsid w:val="006B5E44"/>
    <w:rsid w:val="006B5F73"/>
    <w:rsid w:val="006B5F9B"/>
    <w:rsid w:val="006B616C"/>
    <w:rsid w:val="006B617F"/>
    <w:rsid w:val="006B6197"/>
    <w:rsid w:val="006B63B2"/>
    <w:rsid w:val="006B657D"/>
    <w:rsid w:val="006B6619"/>
    <w:rsid w:val="006B6659"/>
    <w:rsid w:val="006B666E"/>
    <w:rsid w:val="006B6719"/>
    <w:rsid w:val="006B6902"/>
    <w:rsid w:val="006B6925"/>
    <w:rsid w:val="006B6D27"/>
    <w:rsid w:val="006B6D95"/>
    <w:rsid w:val="006B6DF8"/>
    <w:rsid w:val="006B7088"/>
    <w:rsid w:val="006B7293"/>
    <w:rsid w:val="006B75B3"/>
    <w:rsid w:val="006B75C0"/>
    <w:rsid w:val="006B75DA"/>
    <w:rsid w:val="006B7650"/>
    <w:rsid w:val="006B7870"/>
    <w:rsid w:val="006B7F1F"/>
    <w:rsid w:val="006C0006"/>
    <w:rsid w:val="006C0064"/>
    <w:rsid w:val="006C015E"/>
    <w:rsid w:val="006C0291"/>
    <w:rsid w:val="006C02E3"/>
    <w:rsid w:val="006C0447"/>
    <w:rsid w:val="006C0587"/>
    <w:rsid w:val="006C05D0"/>
    <w:rsid w:val="006C0947"/>
    <w:rsid w:val="006C0C29"/>
    <w:rsid w:val="006C0C83"/>
    <w:rsid w:val="006C0C8B"/>
    <w:rsid w:val="006C0DCD"/>
    <w:rsid w:val="006C0F5A"/>
    <w:rsid w:val="006C0F7B"/>
    <w:rsid w:val="006C0F9E"/>
    <w:rsid w:val="006C0FEA"/>
    <w:rsid w:val="006C1051"/>
    <w:rsid w:val="006C10AC"/>
    <w:rsid w:val="006C1434"/>
    <w:rsid w:val="006C14B0"/>
    <w:rsid w:val="006C1635"/>
    <w:rsid w:val="006C17B5"/>
    <w:rsid w:val="006C1B6E"/>
    <w:rsid w:val="006C1D73"/>
    <w:rsid w:val="006C2164"/>
    <w:rsid w:val="006C2422"/>
    <w:rsid w:val="006C2452"/>
    <w:rsid w:val="006C259E"/>
    <w:rsid w:val="006C275C"/>
    <w:rsid w:val="006C2992"/>
    <w:rsid w:val="006C29B5"/>
    <w:rsid w:val="006C29D3"/>
    <w:rsid w:val="006C2DFF"/>
    <w:rsid w:val="006C2E3F"/>
    <w:rsid w:val="006C3043"/>
    <w:rsid w:val="006C30F7"/>
    <w:rsid w:val="006C3266"/>
    <w:rsid w:val="006C330C"/>
    <w:rsid w:val="006C3494"/>
    <w:rsid w:val="006C34BD"/>
    <w:rsid w:val="006C351A"/>
    <w:rsid w:val="006C35A3"/>
    <w:rsid w:val="006C35BF"/>
    <w:rsid w:val="006C37D6"/>
    <w:rsid w:val="006C3A0D"/>
    <w:rsid w:val="006C3A29"/>
    <w:rsid w:val="006C3B9D"/>
    <w:rsid w:val="006C3D2F"/>
    <w:rsid w:val="006C3DFD"/>
    <w:rsid w:val="006C3EF2"/>
    <w:rsid w:val="006C4062"/>
    <w:rsid w:val="006C4071"/>
    <w:rsid w:val="006C409C"/>
    <w:rsid w:val="006C42CB"/>
    <w:rsid w:val="006C441A"/>
    <w:rsid w:val="006C45FE"/>
    <w:rsid w:val="006C4693"/>
    <w:rsid w:val="006C48D9"/>
    <w:rsid w:val="006C49BA"/>
    <w:rsid w:val="006C4A4F"/>
    <w:rsid w:val="006C5248"/>
    <w:rsid w:val="006C534E"/>
    <w:rsid w:val="006C5446"/>
    <w:rsid w:val="006C5865"/>
    <w:rsid w:val="006C58F4"/>
    <w:rsid w:val="006C5AEA"/>
    <w:rsid w:val="006C5B8D"/>
    <w:rsid w:val="006C5C53"/>
    <w:rsid w:val="006C5CF1"/>
    <w:rsid w:val="006C5D31"/>
    <w:rsid w:val="006C5DB6"/>
    <w:rsid w:val="006C61F5"/>
    <w:rsid w:val="006C639D"/>
    <w:rsid w:val="006C6459"/>
    <w:rsid w:val="006C654F"/>
    <w:rsid w:val="006C6690"/>
    <w:rsid w:val="006C6770"/>
    <w:rsid w:val="006C6A6E"/>
    <w:rsid w:val="006C6D5E"/>
    <w:rsid w:val="006C6E5A"/>
    <w:rsid w:val="006C6E9D"/>
    <w:rsid w:val="006C6F0E"/>
    <w:rsid w:val="006C7053"/>
    <w:rsid w:val="006C719C"/>
    <w:rsid w:val="006C727A"/>
    <w:rsid w:val="006C7342"/>
    <w:rsid w:val="006C73C5"/>
    <w:rsid w:val="006C7866"/>
    <w:rsid w:val="006C7976"/>
    <w:rsid w:val="006C7D10"/>
    <w:rsid w:val="006C7E3C"/>
    <w:rsid w:val="006C7FD5"/>
    <w:rsid w:val="006D0032"/>
    <w:rsid w:val="006D0165"/>
    <w:rsid w:val="006D016F"/>
    <w:rsid w:val="006D06A5"/>
    <w:rsid w:val="006D0729"/>
    <w:rsid w:val="006D0C34"/>
    <w:rsid w:val="006D0CD4"/>
    <w:rsid w:val="006D0E4E"/>
    <w:rsid w:val="006D0FDA"/>
    <w:rsid w:val="006D12A1"/>
    <w:rsid w:val="006D1559"/>
    <w:rsid w:val="006D16DA"/>
    <w:rsid w:val="006D176B"/>
    <w:rsid w:val="006D1801"/>
    <w:rsid w:val="006D1912"/>
    <w:rsid w:val="006D19A5"/>
    <w:rsid w:val="006D19C1"/>
    <w:rsid w:val="006D1BD7"/>
    <w:rsid w:val="006D1E5E"/>
    <w:rsid w:val="006D1EEA"/>
    <w:rsid w:val="006D2027"/>
    <w:rsid w:val="006D2287"/>
    <w:rsid w:val="006D257A"/>
    <w:rsid w:val="006D264E"/>
    <w:rsid w:val="006D285F"/>
    <w:rsid w:val="006D2A76"/>
    <w:rsid w:val="006D2B93"/>
    <w:rsid w:val="006D2BE8"/>
    <w:rsid w:val="006D2C36"/>
    <w:rsid w:val="006D2E88"/>
    <w:rsid w:val="006D2F8B"/>
    <w:rsid w:val="006D300D"/>
    <w:rsid w:val="006D301B"/>
    <w:rsid w:val="006D30D9"/>
    <w:rsid w:val="006D315B"/>
    <w:rsid w:val="006D31E2"/>
    <w:rsid w:val="006D322D"/>
    <w:rsid w:val="006D3288"/>
    <w:rsid w:val="006D32B5"/>
    <w:rsid w:val="006D359C"/>
    <w:rsid w:val="006D36DE"/>
    <w:rsid w:val="006D37D2"/>
    <w:rsid w:val="006D3A1A"/>
    <w:rsid w:val="006D3AA1"/>
    <w:rsid w:val="006D3F8F"/>
    <w:rsid w:val="006D3FF0"/>
    <w:rsid w:val="006D4218"/>
    <w:rsid w:val="006D4277"/>
    <w:rsid w:val="006D429D"/>
    <w:rsid w:val="006D435D"/>
    <w:rsid w:val="006D43FC"/>
    <w:rsid w:val="006D44B3"/>
    <w:rsid w:val="006D4523"/>
    <w:rsid w:val="006D47F3"/>
    <w:rsid w:val="006D4874"/>
    <w:rsid w:val="006D4A54"/>
    <w:rsid w:val="006D4B59"/>
    <w:rsid w:val="006D4BB6"/>
    <w:rsid w:val="006D4D4D"/>
    <w:rsid w:val="006D4F73"/>
    <w:rsid w:val="006D4FB0"/>
    <w:rsid w:val="006D511C"/>
    <w:rsid w:val="006D5134"/>
    <w:rsid w:val="006D517D"/>
    <w:rsid w:val="006D51D2"/>
    <w:rsid w:val="006D5311"/>
    <w:rsid w:val="006D5625"/>
    <w:rsid w:val="006D56E2"/>
    <w:rsid w:val="006D574E"/>
    <w:rsid w:val="006D57AB"/>
    <w:rsid w:val="006D58DF"/>
    <w:rsid w:val="006D5A2E"/>
    <w:rsid w:val="006D5B42"/>
    <w:rsid w:val="006D5B61"/>
    <w:rsid w:val="006D5C42"/>
    <w:rsid w:val="006D5D00"/>
    <w:rsid w:val="006D5E62"/>
    <w:rsid w:val="006D6002"/>
    <w:rsid w:val="006D6101"/>
    <w:rsid w:val="006D6434"/>
    <w:rsid w:val="006D64D7"/>
    <w:rsid w:val="006D6865"/>
    <w:rsid w:val="006D69E1"/>
    <w:rsid w:val="006D6BAC"/>
    <w:rsid w:val="006D6BD3"/>
    <w:rsid w:val="006D6D5F"/>
    <w:rsid w:val="006D6EAA"/>
    <w:rsid w:val="006D711F"/>
    <w:rsid w:val="006D7314"/>
    <w:rsid w:val="006D7321"/>
    <w:rsid w:val="006D732B"/>
    <w:rsid w:val="006D73C1"/>
    <w:rsid w:val="006D76D0"/>
    <w:rsid w:val="006D7783"/>
    <w:rsid w:val="006D77CC"/>
    <w:rsid w:val="006D7B93"/>
    <w:rsid w:val="006D7C5D"/>
    <w:rsid w:val="006D7D9E"/>
    <w:rsid w:val="006E0368"/>
    <w:rsid w:val="006E0370"/>
    <w:rsid w:val="006E0386"/>
    <w:rsid w:val="006E0409"/>
    <w:rsid w:val="006E0724"/>
    <w:rsid w:val="006E09C4"/>
    <w:rsid w:val="006E0C95"/>
    <w:rsid w:val="006E0CFA"/>
    <w:rsid w:val="006E0D12"/>
    <w:rsid w:val="006E0E8A"/>
    <w:rsid w:val="006E0F49"/>
    <w:rsid w:val="006E0F9F"/>
    <w:rsid w:val="006E101B"/>
    <w:rsid w:val="006E101C"/>
    <w:rsid w:val="006E1079"/>
    <w:rsid w:val="006E109D"/>
    <w:rsid w:val="006E1275"/>
    <w:rsid w:val="006E12F0"/>
    <w:rsid w:val="006E1365"/>
    <w:rsid w:val="006E1669"/>
    <w:rsid w:val="006E17F5"/>
    <w:rsid w:val="006E1BA9"/>
    <w:rsid w:val="006E1BD8"/>
    <w:rsid w:val="006E1E18"/>
    <w:rsid w:val="006E1E7E"/>
    <w:rsid w:val="006E202F"/>
    <w:rsid w:val="006E240C"/>
    <w:rsid w:val="006E243D"/>
    <w:rsid w:val="006E2477"/>
    <w:rsid w:val="006E24FB"/>
    <w:rsid w:val="006E26AB"/>
    <w:rsid w:val="006E2778"/>
    <w:rsid w:val="006E297A"/>
    <w:rsid w:val="006E2A1C"/>
    <w:rsid w:val="006E2B3B"/>
    <w:rsid w:val="006E2BD2"/>
    <w:rsid w:val="006E2C02"/>
    <w:rsid w:val="006E2C3B"/>
    <w:rsid w:val="006E2C8A"/>
    <w:rsid w:val="006E2CA5"/>
    <w:rsid w:val="006E2DB3"/>
    <w:rsid w:val="006E2DBE"/>
    <w:rsid w:val="006E2DE6"/>
    <w:rsid w:val="006E302F"/>
    <w:rsid w:val="006E3073"/>
    <w:rsid w:val="006E3476"/>
    <w:rsid w:val="006E37CD"/>
    <w:rsid w:val="006E3834"/>
    <w:rsid w:val="006E3894"/>
    <w:rsid w:val="006E395B"/>
    <w:rsid w:val="006E39A1"/>
    <w:rsid w:val="006E3A63"/>
    <w:rsid w:val="006E3B8F"/>
    <w:rsid w:val="006E3D29"/>
    <w:rsid w:val="006E3D91"/>
    <w:rsid w:val="006E3E4F"/>
    <w:rsid w:val="006E3E5C"/>
    <w:rsid w:val="006E3E63"/>
    <w:rsid w:val="006E3F14"/>
    <w:rsid w:val="006E3F79"/>
    <w:rsid w:val="006E4084"/>
    <w:rsid w:val="006E4127"/>
    <w:rsid w:val="006E4170"/>
    <w:rsid w:val="006E4464"/>
    <w:rsid w:val="006E4473"/>
    <w:rsid w:val="006E44BD"/>
    <w:rsid w:val="006E44D1"/>
    <w:rsid w:val="006E4713"/>
    <w:rsid w:val="006E49CD"/>
    <w:rsid w:val="006E4A90"/>
    <w:rsid w:val="006E4AB0"/>
    <w:rsid w:val="006E4B3B"/>
    <w:rsid w:val="006E4BDE"/>
    <w:rsid w:val="006E4CA0"/>
    <w:rsid w:val="006E4CC2"/>
    <w:rsid w:val="006E4CFE"/>
    <w:rsid w:val="006E4D95"/>
    <w:rsid w:val="006E503B"/>
    <w:rsid w:val="006E503C"/>
    <w:rsid w:val="006E5083"/>
    <w:rsid w:val="006E526E"/>
    <w:rsid w:val="006E527F"/>
    <w:rsid w:val="006E5538"/>
    <w:rsid w:val="006E58FD"/>
    <w:rsid w:val="006E5A4B"/>
    <w:rsid w:val="006E5C23"/>
    <w:rsid w:val="006E5CD1"/>
    <w:rsid w:val="006E5DCF"/>
    <w:rsid w:val="006E5E73"/>
    <w:rsid w:val="006E5FC1"/>
    <w:rsid w:val="006E602C"/>
    <w:rsid w:val="006E63E0"/>
    <w:rsid w:val="006E64AD"/>
    <w:rsid w:val="006E6589"/>
    <w:rsid w:val="006E66EE"/>
    <w:rsid w:val="006E68E0"/>
    <w:rsid w:val="006E6A07"/>
    <w:rsid w:val="006E6BB8"/>
    <w:rsid w:val="006E6CE7"/>
    <w:rsid w:val="006E6DD5"/>
    <w:rsid w:val="006E6DF4"/>
    <w:rsid w:val="006E6F77"/>
    <w:rsid w:val="006E70D9"/>
    <w:rsid w:val="006E70F7"/>
    <w:rsid w:val="006E70FE"/>
    <w:rsid w:val="006E712C"/>
    <w:rsid w:val="006E7153"/>
    <w:rsid w:val="006E7158"/>
    <w:rsid w:val="006E71A4"/>
    <w:rsid w:val="006E71BF"/>
    <w:rsid w:val="006E728D"/>
    <w:rsid w:val="006E7360"/>
    <w:rsid w:val="006E7382"/>
    <w:rsid w:val="006E738C"/>
    <w:rsid w:val="006E7679"/>
    <w:rsid w:val="006E771B"/>
    <w:rsid w:val="006E7807"/>
    <w:rsid w:val="006E7817"/>
    <w:rsid w:val="006E7889"/>
    <w:rsid w:val="006E79C9"/>
    <w:rsid w:val="006E7AD4"/>
    <w:rsid w:val="006E7B7C"/>
    <w:rsid w:val="006E7BA0"/>
    <w:rsid w:val="006E7C27"/>
    <w:rsid w:val="006E7D7D"/>
    <w:rsid w:val="006E7E45"/>
    <w:rsid w:val="006F029B"/>
    <w:rsid w:val="006F0560"/>
    <w:rsid w:val="006F0893"/>
    <w:rsid w:val="006F08AB"/>
    <w:rsid w:val="006F08BB"/>
    <w:rsid w:val="006F0908"/>
    <w:rsid w:val="006F0A31"/>
    <w:rsid w:val="006F0AA1"/>
    <w:rsid w:val="006F0B07"/>
    <w:rsid w:val="006F0C79"/>
    <w:rsid w:val="006F0C9B"/>
    <w:rsid w:val="006F0D85"/>
    <w:rsid w:val="006F1021"/>
    <w:rsid w:val="006F104E"/>
    <w:rsid w:val="006F10F0"/>
    <w:rsid w:val="006F121A"/>
    <w:rsid w:val="006F129B"/>
    <w:rsid w:val="006F13C2"/>
    <w:rsid w:val="006F1406"/>
    <w:rsid w:val="006F1451"/>
    <w:rsid w:val="006F14C9"/>
    <w:rsid w:val="006F15B8"/>
    <w:rsid w:val="006F15FF"/>
    <w:rsid w:val="006F173D"/>
    <w:rsid w:val="006F196F"/>
    <w:rsid w:val="006F1B4A"/>
    <w:rsid w:val="006F1C3C"/>
    <w:rsid w:val="006F1D8C"/>
    <w:rsid w:val="006F2028"/>
    <w:rsid w:val="006F247E"/>
    <w:rsid w:val="006F2534"/>
    <w:rsid w:val="006F27AE"/>
    <w:rsid w:val="006F297B"/>
    <w:rsid w:val="006F29FB"/>
    <w:rsid w:val="006F2A20"/>
    <w:rsid w:val="006F2A2F"/>
    <w:rsid w:val="006F2B3F"/>
    <w:rsid w:val="006F2BAC"/>
    <w:rsid w:val="006F2E4D"/>
    <w:rsid w:val="006F2EBF"/>
    <w:rsid w:val="006F2EFD"/>
    <w:rsid w:val="006F2FA8"/>
    <w:rsid w:val="006F3178"/>
    <w:rsid w:val="006F31D3"/>
    <w:rsid w:val="006F3348"/>
    <w:rsid w:val="006F3532"/>
    <w:rsid w:val="006F354C"/>
    <w:rsid w:val="006F3609"/>
    <w:rsid w:val="006F361D"/>
    <w:rsid w:val="006F36E0"/>
    <w:rsid w:val="006F36F9"/>
    <w:rsid w:val="006F37A9"/>
    <w:rsid w:val="006F37C3"/>
    <w:rsid w:val="006F3A28"/>
    <w:rsid w:val="006F3A64"/>
    <w:rsid w:val="006F3C75"/>
    <w:rsid w:val="006F3D68"/>
    <w:rsid w:val="006F3D91"/>
    <w:rsid w:val="006F3DC8"/>
    <w:rsid w:val="006F3EA8"/>
    <w:rsid w:val="006F4023"/>
    <w:rsid w:val="006F4036"/>
    <w:rsid w:val="006F41CC"/>
    <w:rsid w:val="006F4448"/>
    <w:rsid w:val="006F4453"/>
    <w:rsid w:val="006F4785"/>
    <w:rsid w:val="006F47EE"/>
    <w:rsid w:val="006F4AF5"/>
    <w:rsid w:val="006F4B1B"/>
    <w:rsid w:val="006F4DA0"/>
    <w:rsid w:val="006F539C"/>
    <w:rsid w:val="006F5500"/>
    <w:rsid w:val="006F55DF"/>
    <w:rsid w:val="006F55EF"/>
    <w:rsid w:val="006F563B"/>
    <w:rsid w:val="006F57E7"/>
    <w:rsid w:val="006F58FD"/>
    <w:rsid w:val="006F5908"/>
    <w:rsid w:val="006F5A74"/>
    <w:rsid w:val="006F5B1F"/>
    <w:rsid w:val="006F5BB0"/>
    <w:rsid w:val="006F5E64"/>
    <w:rsid w:val="006F60B3"/>
    <w:rsid w:val="006F6116"/>
    <w:rsid w:val="006F622A"/>
    <w:rsid w:val="006F6237"/>
    <w:rsid w:val="006F6280"/>
    <w:rsid w:val="006F6293"/>
    <w:rsid w:val="006F6321"/>
    <w:rsid w:val="006F636E"/>
    <w:rsid w:val="006F6370"/>
    <w:rsid w:val="006F6452"/>
    <w:rsid w:val="006F65E1"/>
    <w:rsid w:val="006F674D"/>
    <w:rsid w:val="006F6815"/>
    <w:rsid w:val="006F6870"/>
    <w:rsid w:val="006F6887"/>
    <w:rsid w:val="006F6970"/>
    <w:rsid w:val="006F6B11"/>
    <w:rsid w:val="006F6E06"/>
    <w:rsid w:val="006F6E28"/>
    <w:rsid w:val="006F6E50"/>
    <w:rsid w:val="006F6EF0"/>
    <w:rsid w:val="006F7246"/>
    <w:rsid w:val="006F7300"/>
    <w:rsid w:val="006F7378"/>
    <w:rsid w:val="006F746E"/>
    <w:rsid w:val="006F77DA"/>
    <w:rsid w:val="006F782A"/>
    <w:rsid w:val="006F7887"/>
    <w:rsid w:val="006F7DD0"/>
    <w:rsid w:val="00700257"/>
    <w:rsid w:val="00700270"/>
    <w:rsid w:val="00700290"/>
    <w:rsid w:val="0070029A"/>
    <w:rsid w:val="007004E4"/>
    <w:rsid w:val="00700572"/>
    <w:rsid w:val="007005F3"/>
    <w:rsid w:val="00700635"/>
    <w:rsid w:val="00700745"/>
    <w:rsid w:val="00700851"/>
    <w:rsid w:val="007008A5"/>
    <w:rsid w:val="00700B22"/>
    <w:rsid w:val="00700BC2"/>
    <w:rsid w:val="00700CD8"/>
    <w:rsid w:val="00700D1B"/>
    <w:rsid w:val="00700D84"/>
    <w:rsid w:val="00700E6A"/>
    <w:rsid w:val="00700F91"/>
    <w:rsid w:val="0070111C"/>
    <w:rsid w:val="00701246"/>
    <w:rsid w:val="00701254"/>
    <w:rsid w:val="00701CF5"/>
    <w:rsid w:val="00701D80"/>
    <w:rsid w:val="00701FBB"/>
    <w:rsid w:val="0070215F"/>
    <w:rsid w:val="00702289"/>
    <w:rsid w:val="007023FD"/>
    <w:rsid w:val="00702542"/>
    <w:rsid w:val="00702643"/>
    <w:rsid w:val="00702929"/>
    <w:rsid w:val="00702F3B"/>
    <w:rsid w:val="007032E6"/>
    <w:rsid w:val="00703318"/>
    <w:rsid w:val="0070331C"/>
    <w:rsid w:val="00703478"/>
    <w:rsid w:val="007034DA"/>
    <w:rsid w:val="007035E2"/>
    <w:rsid w:val="007036C1"/>
    <w:rsid w:val="007038DB"/>
    <w:rsid w:val="00703A1B"/>
    <w:rsid w:val="00703B70"/>
    <w:rsid w:val="00703C62"/>
    <w:rsid w:val="00703E26"/>
    <w:rsid w:val="00704128"/>
    <w:rsid w:val="00704135"/>
    <w:rsid w:val="00704139"/>
    <w:rsid w:val="007041A3"/>
    <w:rsid w:val="00704519"/>
    <w:rsid w:val="0070462F"/>
    <w:rsid w:val="007049D0"/>
    <w:rsid w:val="00704E50"/>
    <w:rsid w:val="00704F58"/>
    <w:rsid w:val="0070529A"/>
    <w:rsid w:val="00705319"/>
    <w:rsid w:val="00705395"/>
    <w:rsid w:val="007053F0"/>
    <w:rsid w:val="00705569"/>
    <w:rsid w:val="007055F4"/>
    <w:rsid w:val="00705636"/>
    <w:rsid w:val="007057BB"/>
    <w:rsid w:val="007058C8"/>
    <w:rsid w:val="00705992"/>
    <w:rsid w:val="007059FE"/>
    <w:rsid w:val="00705AC9"/>
    <w:rsid w:val="00705B31"/>
    <w:rsid w:val="00705C99"/>
    <w:rsid w:val="00705DBE"/>
    <w:rsid w:val="00706118"/>
    <w:rsid w:val="00706332"/>
    <w:rsid w:val="0070638A"/>
    <w:rsid w:val="00706491"/>
    <w:rsid w:val="007064A6"/>
    <w:rsid w:val="007064BE"/>
    <w:rsid w:val="0070651F"/>
    <w:rsid w:val="007065C9"/>
    <w:rsid w:val="0070674F"/>
    <w:rsid w:val="007067E6"/>
    <w:rsid w:val="0070695B"/>
    <w:rsid w:val="0070695D"/>
    <w:rsid w:val="00706A6B"/>
    <w:rsid w:val="00706AED"/>
    <w:rsid w:val="00706C91"/>
    <w:rsid w:val="00706CCD"/>
    <w:rsid w:val="00706E29"/>
    <w:rsid w:val="00706E6C"/>
    <w:rsid w:val="00707134"/>
    <w:rsid w:val="007072AF"/>
    <w:rsid w:val="007073D6"/>
    <w:rsid w:val="007075FB"/>
    <w:rsid w:val="007076A8"/>
    <w:rsid w:val="00707702"/>
    <w:rsid w:val="0070772A"/>
    <w:rsid w:val="0070772B"/>
    <w:rsid w:val="00707982"/>
    <w:rsid w:val="00707A91"/>
    <w:rsid w:val="00707AC2"/>
    <w:rsid w:val="00707B10"/>
    <w:rsid w:val="00707BA2"/>
    <w:rsid w:val="00707BF6"/>
    <w:rsid w:val="00707E11"/>
    <w:rsid w:val="00707EA7"/>
    <w:rsid w:val="00707EAC"/>
    <w:rsid w:val="00707EF3"/>
    <w:rsid w:val="00710074"/>
    <w:rsid w:val="00710192"/>
    <w:rsid w:val="007102C0"/>
    <w:rsid w:val="007102DC"/>
    <w:rsid w:val="00710563"/>
    <w:rsid w:val="00710590"/>
    <w:rsid w:val="007106A8"/>
    <w:rsid w:val="0071073B"/>
    <w:rsid w:val="00710755"/>
    <w:rsid w:val="00710845"/>
    <w:rsid w:val="00710EDB"/>
    <w:rsid w:val="00711129"/>
    <w:rsid w:val="007112E4"/>
    <w:rsid w:val="00711358"/>
    <w:rsid w:val="007116BD"/>
    <w:rsid w:val="0071179B"/>
    <w:rsid w:val="0071185C"/>
    <w:rsid w:val="007118C8"/>
    <w:rsid w:val="00711A79"/>
    <w:rsid w:val="00711A97"/>
    <w:rsid w:val="00711CA3"/>
    <w:rsid w:val="00711CAC"/>
    <w:rsid w:val="00712029"/>
    <w:rsid w:val="00712386"/>
    <w:rsid w:val="0071240D"/>
    <w:rsid w:val="0071253C"/>
    <w:rsid w:val="00712604"/>
    <w:rsid w:val="007126B5"/>
    <w:rsid w:val="00712941"/>
    <w:rsid w:val="00712EB3"/>
    <w:rsid w:val="0071326B"/>
    <w:rsid w:val="00713426"/>
    <w:rsid w:val="007139BA"/>
    <w:rsid w:val="00713A22"/>
    <w:rsid w:val="00713A4B"/>
    <w:rsid w:val="00713BE9"/>
    <w:rsid w:val="00713C2F"/>
    <w:rsid w:val="00713D06"/>
    <w:rsid w:val="00713D5B"/>
    <w:rsid w:val="00713D69"/>
    <w:rsid w:val="00713F1A"/>
    <w:rsid w:val="00713F82"/>
    <w:rsid w:val="007140B7"/>
    <w:rsid w:val="0071435A"/>
    <w:rsid w:val="00714389"/>
    <w:rsid w:val="00714461"/>
    <w:rsid w:val="00714675"/>
    <w:rsid w:val="007148DC"/>
    <w:rsid w:val="00714A13"/>
    <w:rsid w:val="00714F8A"/>
    <w:rsid w:val="007151E2"/>
    <w:rsid w:val="007154B0"/>
    <w:rsid w:val="007154BC"/>
    <w:rsid w:val="00715624"/>
    <w:rsid w:val="00715645"/>
    <w:rsid w:val="007156BC"/>
    <w:rsid w:val="007157A9"/>
    <w:rsid w:val="007157CC"/>
    <w:rsid w:val="00715830"/>
    <w:rsid w:val="00715956"/>
    <w:rsid w:val="00715A88"/>
    <w:rsid w:val="00715AE6"/>
    <w:rsid w:val="00715AF0"/>
    <w:rsid w:val="00715BF1"/>
    <w:rsid w:val="00715EB6"/>
    <w:rsid w:val="00715F1A"/>
    <w:rsid w:val="007161AD"/>
    <w:rsid w:val="00716239"/>
    <w:rsid w:val="007164A2"/>
    <w:rsid w:val="007164C7"/>
    <w:rsid w:val="007166ED"/>
    <w:rsid w:val="007167A5"/>
    <w:rsid w:val="00716AAA"/>
    <w:rsid w:val="00716B16"/>
    <w:rsid w:val="00716B32"/>
    <w:rsid w:val="00716B3A"/>
    <w:rsid w:val="00716BF9"/>
    <w:rsid w:val="00716C6A"/>
    <w:rsid w:val="00716D10"/>
    <w:rsid w:val="00716ED4"/>
    <w:rsid w:val="00716FBC"/>
    <w:rsid w:val="007171A9"/>
    <w:rsid w:val="007171AC"/>
    <w:rsid w:val="007172CF"/>
    <w:rsid w:val="00717333"/>
    <w:rsid w:val="007173D6"/>
    <w:rsid w:val="007173EC"/>
    <w:rsid w:val="00717462"/>
    <w:rsid w:val="0071754E"/>
    <w:rsid w:val="00717553"/>
    <w:rsid w:val="007178EC"/>
    <w:rsid w:val="00717989"/>
    <w:rsid w:val="007179C9"/>
    <w:rsid w:val="00717A1A"/>
    <w:rsid w:val="00717A7B"/>
    <w:rsid w:val="00717A8E"/>
    <w:rsid w:val="00717B78"/>
    <w:rsid w:val="00717BE8"/>
    <w:rsid w:val="00717C0F"/>
    <w:rsid w:val="00717D07"/>
    <w:rsid w:val="00717DD9"/>
    <w:rsid w:val="00717E54"/>
    <w:rsid w:val="00717E83"/>
    <w:rsid w:val="00717EF8"/>
    <w:rsid w:val="00720008"/>
    <w:rsid w:val="00720067"/>
    <w:rsid w:val="00720076"/>
    <w:rsid w:val="007201D0"/>
    <w:rsid w:val="007202E1"/>
    <w:rsid w:val="00720354"/>
    <w:rsid w:val="00720446"/>
    <w:rsid w:val="0072052E"/>
    <w:rsid w:val="007205AD"/>
    <w:rsid w:val="00720637"/>
    <w:rsid w:val="0072063E"/>
    <w:rsid w:val="0072068D"/>
    <w:rsid w:val="00720B03"/>
    <w:rsid w:val="00720B85"/>
    <w:rsid w:val="00720BA1"/>
    <w:rsid w:val="00720BCC"/>
    <w:rsid w:val="00720D1A"/>
    <w:rsid w:val="00720FD9"/>
    <w:rsid w:val="0072103A"/>
    <w:rsid w:val="00721119"/>
    <w:rsid w:val="007211E2"/>
    <w:rsid w:val="00721226"/>
    <w:rsid w:val="00721304"/>
    <w:rsid w:val="0072138F"/>
    <w:rsid w:val="00721429"/>
    <w:rsid w:val="007215D2"/>
    <w:rsid w:val="00721844"/>
    <w:rsid w:val="00721986"/>
    <w:rsid w:val="00721BE4"/>
    <w:rsid w:val="00721C5A"/>
    <w:rsid w:val="00721CF5"/>
    <w:rsid w:val="00721E4A"/>
    <w:rsid w:val="00721FC3"/>
    <w:rsid w:val="007221E2"/>
    <w:rsid w:val="00722329"/>
    <w:rsid w:val="00722396"/>
    <w:rsid w:val="007223B6"/>
    <w:rsid w:val="00722429"/>
    <w:rsid w:val="00722727"/>
    <w:rsid w:val="0072274C"/>
    <w:rsid w:val="007228E5"/>
    <w:rsid w:val="00722A4E"/>
    <w:rsid w:val="00722C72"/>
    <w:rsid w:val="00722E03"/>
    <w:rsid w:val="00722E23"/>
    <w:rsid w:val="00722E92"/>
    <w:rsid w:val="0072307B"/>
    <w:rsid w:val="0072319E"/>
    <w:rsid w:val="0072343F"/>
    <w:rsid w:val="00723611"/>
    <w:rsid w:val="007236A8"/>
    <w:rsid w:val="007237FE"/>
    <w:rsid w:val="00723842"/>
    <w:rsid w:val="0072388B"/>
    <w:rsid w:val="0072391A"/>
    <w:rsid w:val="00723930"/>
    <w:rsid w:val="0072395C"/>
    <w:rsid w:val="00723BBD"/>
    <w:rsid w:val="00723D3C"/>
    <w:rsid w:val="00723EB1"/>
    <w:rsid w:val="00723F92"/>
    <w:rsid w:val="007240E9"/>
    <w:rsid w:val="00724109"/>
    <w:rsid w:val="00724239"/>
    <w:rsid w:val="007243CA"/>
    <w:rsid w:val="0072451B"/>
    <w:rsid w:val="0072465D"/>
    <w:rsid w:val="007247E2"/>
    <w:rsid w:val="007247F8"/>
    <w:rsid w:val="00724B2D"/>
    <w:rsid w:val="00724D5B"/>
    <w:rsid w:val="00724DD3"/>
    <w:rsid w:val="00724E0D"/>
    <w:rsid w:val="00724EA8"/>
    <w:rsid w:val="00724F0A"/>
    <w:rsid w:val="00724F87"/>
    <w:rsid w:val="00725007"/>
    <w:rsid w:val="00725016"/>
    <w:rsid w:val="00725037"/>
    <w:rsid w:val="007250F8"/>
    <w:rsid w:val="00725183"/>
    <w:rsid w:val="007251E3"/>
    <w:rsid w:val="007257C4"/>
    <w:rsid w:val="007259BE"/>
    <w:rsid w:val="00725A81"/>
    <w:rsid w:val="00725AAA"/>
    <w:rsid w:val="00725E8B"/>
    <w:rsid w:val="00725FB8"/>
    <w:rsid w:val="007260D6"/>
    <w:rsid w:val="0072616D"/>
    <w:rsid w:val="007261E0"/>
    <w:rsid w:val="0072629B"/>
    <w:rsid w:val="007262AB"/>
    <w:rsid w:val="00726586"/>
    <w:rsid w:val="007265F5"/>
    <w:rsid w:val="007266C0"/>
    <w:rsid w:val="007267C7"/>
    <w:rsid w:val="00726894"/>
    <w:rsid w:val="0072692F"/>
    <w:rsid w:val="00726C38"/>
    <w:rsid w:val="00726CDD"/>
    <w:rsid w:val="00726DDA"/>
    <w:rsid w:val="00726DEC"/>
    <w:rsid w:val="00726F13"/>
    <w:rsid w:val="00726F87"/>
    <w:rsid w:val="007270DD"/>
    <w:rsid w:val="0072756A"/>
    <w:rsid w:val="007278E5"/>
    <w:rsid w:val="0072799A"/>
    <w:rsid w:val="00727A16"/>
    <w:rsid w:val="00727DD9"/>
    <w:rsid w:val="00727EC8"/>
    <w:rsid w:val="0073000E"/>
    <w:rsid w:val="007300EF"/>
    <w:rsid w:val="007303F7"/>
    <w:rsid w:val="0073047C"/>
    <w:rsid w:val="007304DA"/>
    <w:rsid w:val="007306A0"/>
    <w:rsid w:val="00730885"/>
    <w:rsid w:val="007308DB"/>
    <w:rsid w:val="00730BBB"/>
    <w:rsid w:val="00730E88"/>
    <w:rsid w:val="00730F38"/>
    <w:rsid w:val="00731046"/>
    <w:rsid w:val="0073117A"/>
    <w:rsid w:val="007312FE"/>
    <w:rsid w:val="007313A0"/>
    <w:rsid w:val="007316C5"/>
    <w:rsid w:val="007316D0"/>
    <w:rsid w:val="00731806"/>
    <w:rsid w:val="00731945"/>
    <w:rsid w:val="0073199E"/>
    <w:rsid w:val="007319C4"/>
    <w:rsid w:val="00731C3B"/>
    <w:rsid w:val="00731D38"/>
    <w:rsid w:val="00732075"/>
    <w:rsid w:val="007322D0"/>
    <w:rsid w:val="00732314"/>
    <w:rsid w:val="00732353"/>
    <w:rsid w:val="00732354"/>
    <w:rsid w:val="0073242F"/>
    <w:rsid w:val="0073245D"/>
    <w:rsid w:val="0073260A"/>
    <w:rsid w:val="007326D9"/>
    <w:rsid w:val="00732996"/>
    <w:rsid w:val="007329E3"/>
    <w:rsid w:val="00732AD8"/>
    <w:rsid w:val="00732BE7"/>
    <w:rsid w:val="00732C03"/>
    <w:rsid w:val="00732C36"/>
    <w:rsid w:val="0073306E"/>
    <w:rsid w:val="0073310A"/>
    <w:rsid w:val="00733239"/>
    <w:rsid w:val="007332FA"/>
    <w:rsid w:val="00733383"/>
    <w:rsid w:val="0073340B"/>
    <w:rsid w:val="00733692"/>
    <w:rsid w:val="007337E3"/>
    <w:rsid w:val="0073385D"/>
    <w:rsid w:val="00733891"/>
    <w:rsid w:val="00733A03"/>
    <w:rsid w:val="00733CB1"/>
    <w:rsid w:val="00733CDE"/>
    <w:rsid w:val="00733E13"/>
    <w:rsid w:val="00733EAC"/>
    <w:rsid w:val="00733EC0"/>
    <w:rsid w:val="00733EF4"/>
    <w:rsid w:val="0073411F"/>
    <w:rsid w:val="00734294"/>
    <w:rsid w:val="00734314"/>
    <w:rsid w:val="0073431B"/>
    <w:rsid w:val="00734474"/>
    <w:rsid w:val="007346CE"/>
    <w:rsid w:val="007346D9"/>
    <w:rsid w:val="007348D5"/>
    <w:rsid w:val="00734992"/>
    <w:rsid w:val="007349C8"/>
    <w:rsid w:val="00734BDD"/>
    <w:rsid w:val="00734D9E"/>
    <w:rsid w:val="00734EA7"/>
    <w:rsid w:val="00735029"/>
    <w:rsid w:val="0073535C"/>
    <w:rsid w:val="00735844"/>
    <w:rsid w:val="007358FD"/>
    <w:rsid w:val="00735957"/>
    <w:rsid w:val="00735AE0"/>
    <w:rsid w:val="00735B02"/>
    <w:rsid w:val="00735B83"/>
    <w:rsid w:val="00735C37"/>
    <w:rsid w:val="00735DCA"/>
    <w:rsid w:val="00735DED"/>
    <w:rsid w:val="00735E19"/>
    <w:rsid w:val="00735EF7"/>
    <w:rsid w:val="007360F6"/>
    <w:rsid w:val="00736371"/>
    <w:rsid w:val="00736383"/>
    <w:rsid w:val="00736406"/>
    <w:rsid w:val="0073675A"/>
    <w:rsid w:val="0073682E"/>
    <w:rsid w:val="00736A15"/>
    <w:rsid w:val="00736A63"/>
    <w:rsid w:val="00736A90"/>
    <w:rsid w:val="00736C8D"/>
    <w:rsid w:val="00736CDB"/>
    <w:rsid w:val="00736EC5"/>
    <w:rsid w:val="00736FF9"/>
    <w:rsid w:val="00737054"/>
    <w:rsid w:val="0073713C"/>
    <w:rsid w:val="00737197"/>
    <w:rsid w:val="0073719B"/>
    <w:rsid w:val="0073720F"/>
    <w:rsid w:val="007372DC"/>
    <w:rsid w:val="00737458"/>
    <w:rsid w:val="00737772"/>
    <w:rsid w:val="007377ED"/>
    <w:rsid w:val="0073780F"/>
    <w:rsid w:val="00737862"/>
    <w:rsid w:val="00737874"/>
    <w:rsid w:val="00737BB0"/>
    <w:rsid w:val="00737CC5"/>
    <w:rsid w:val="00737D09"/>
    <w:rsid w:val="00737DB6"/>
    <w:rsid w:val="00737FF7"/>
    <w:rsid w:val="0074005A"/>
    <w:rsid w:val="007401E3"/>
    <w:rsid w:val="00740614"/>
    <w:rsid w:val="00740672"/>
    <w:rsid w:val="007406BE"/>
    <w:rsid w:val="007406EF"/>
    <w:rsid w:val="0074075B"/>
    <w:rsid w:val="0074082C"/>
    <w:rsid w:val="0074087D"/>
    <w:rsid w:val="007408A8"/>
    <w:rsid w:val="00740936"/>
    <w:rsid w:val="00740B13"/>
    <w:rsid w:val="00740B9D"/>
    <w:rsid w:val="00740C64"/>
    <w:rsid w:val="00741182"/>
    <w:rsid w:val="007413B0"/>
    <w:rsid w:val="00741402"/>
    <w:rsid w:val="00741448"/>
    <w:rsid w:val="007414EF"/>
    <w:rsid w:val="00741515"/>
    <w:rsid w:val="00741544"/>
    <w:rsid w:val="007416D4"/>
    <w:rsid w:val="007416EC"/>
    <w:rsid w:val="0074176C"/>
    <w:rsid w:val="0074180F"/>
    <w:rsid w:val="00741C84"/>
    <w:rsid w:val="00741EF2"/>
    <w:rsid w:val="00742032"/>
    <w:rsid w:val="0074205F"/>
    <w:rsid w:val="0074224D"/>
    <w:rsid w:val="007423CB"/>
    <w:rsid w:val="0074252A"/>
    <w:rsid w:val="00742900"/>
    <w:rsid w:val="00742A05"/>
    <w:rsid w:val="00742AA8"/>
    <w:rsid w:val="00742ABF"/>
    <w:rsid w:val="00742C89"/>
    <w:rsid w:val="00742CAC"/>
    <w:rsid w:val="00742FD6"/>
    <w:rsid w:val="00743004"/>
    <w:rsid w:val="00743018"/>
    <w:rsid w:val="00743037"/>
    <w:rsid w:val="00743121"/>
    <w:rsid w:val="00743287"/>
    <w:rsid w:val="00743729"/>
    <w:rsid w:val="00743787"/>
    <w:rsid w:val="00743B1C"/>
    <w:rsid w:val="00743C96"/>
    <w:rsid w:val="00743CEF"/>
    <w:rsid w:val="00743D34"/>
    <w:rsid w:val="00743DD4"/>
    <w:rsid w:val="00743EEF"/>
    <w:rsid w:val="0074420A"/>
    <w:rsid w:val="00744359"/>
    <w:rsid w:val="007443DF"/>
    <w:rsid w:val="007445BE"/>
    <w:rsid w:val="00744751"/>
    <w:rsid w:val="00744992"/>
    <w:rsid w:val="00744B75"/>
    <w:rsid w:val="00744BAC"/>
    <w:rsid w:val="00744FD3"/>
    <w:rsid w:val="00744FE8"/>
    <w:rsid w:val="00744FFB"/>
    <w:rsid w:val="007450D4"/>
    <w:rsid w:val="0074528D"/>
    <w:rsid w:val="007455F1"/>
    <w:rsid w:val="00745781"/>
    <w:rsid w:val="007459F2"/>
    <w:rsid w:val="00745A3A"/>
    <w:rsid w:val="00745DB8"/>
    <w:rsid w:val="00745E6B"/>
    <w:rsid w:val="00745F0E"/>
    <w:rsid w:val="0074604F"/>
    <w:rsid w:val="007461D1"/>
    <w:rsid w:val="00746203"/>
    <w:rsid w:val="007463F3"/>
    <w:rsid w:val="007463F4"/>
    <w:rsid w:val="0074640A"/>
    <w:rsid w:val="00746454"/>
    <w:rsid w:val="007465F8"/>
    <w:rsid w:val="0074684F"/>
    <w:rsid w:val="00746933"/>
    <w:rsid w:val="00746A3A"/>
    <w:rsid w:val="00746A92"/>
    <w:rsid w:val="00746B39"/>
    <w:rsid w:val="00746B97"/>
    <w:rsid w:val="00746F9B"/>
    <w:rsid w:val="007472DE"/>
    <w:rsid w:val="007473F0"/>
    <w:rsid w:val="007474EA"/>
    <w:rsid w:val="007475DB"/>
    <w:rsid w:val="00747727"/>
    <w:rsid w:val="00747735"/>
    <w:rsid w:val="00747762"/>
    <w:rsid w:val="0074783A"/>
    <w:rsid w:val="00747929"/>
    <w:rsid w:val="00747A94"/>
    <w:rsid w:val="00747C85"/>
    <w:rsid w:val="00747D04"/>
    <w:rsid w:val="00747D09"/>
    <w:rsid w:val="00747D85"/>
    <w:rsid w:val="00747DA2"/>
    <w:rsid w:val="007502E6"/>
    <w:rsid w:val="007503FE"/>
    <w:rsid w:val="00750464"/>
    <w:rsid w:val="00750688"/>
    <w:rsid w:val="00750F77"/>
    <w:rsid w:val="0075106C"/>
    <w:rsid w:val="007511C2"/>
    <w:rsid w:val="00751474"/>
    <w:rsid w:val="0075155E"/>
    <w:rsid w:val="0075167C"/>
    <w:rsid w:val="0075177C"/>
    <w:rsid w:val="00751795"/>
    <w:rsid w:val="00751814"/>
    <w:rsid w:val="00751909"/>
    <w:rsid w:val="00751982"/>
    <w:rsid w:val="00751A14"/>
    <w:rsid w:val="00751BC2"/>
    <w:rsid w:val="00751E3F"/>
    <w:rsid w:val="0075204C"/>
    <w:rsid w:val="00752154"/>
    <w:rsid w:val="0075223D"/>
    <w:rsid w:val="007522DE"/>
    <w:rsid w:val="00752364"/>
    <w:rsid w:val="00752485"/>
    <w:rsid w:val="00752868"/>
    <w:rsid w:val="00752ABB"/>
    <w:rsid w:val="00752B11"/>
    <w:rsid w:val="00752B8F"/>
    <w:rsid w:val="00752C71"/>
    <w:rsid w:val="00752CD2"/>
    <w:rsid w:val="00752D12"/>
    <w:rsid w:val="00752EA6"/>
    <w:rsid w:val="00753041"/>
    <w:rsid w:val="00753197"/>
    <w:rsid w:val="00753269"/>
    <w:rsid w:val="00753462"/>
    <w:rsid w:val="007534BF"/>
    <w:rsid w:val="00753680"/>
    <w:rsid w:val="00753766"/>
    <w:rsid w:val="007537B6"/>
    <w:rsid w:val="00753A4E"/>
    <w:rsid w:val="00753C21"/>
    <w:rsid w:val="00753D9E"/>
    <w:rsid w:val="00753EDB"/>
    <w:rsid w:val="00753FD5"/>
    <w:rsid w:val="00754083"/>
    <w:rsid w:val="0075419C"/>
    <w:rsid w:val="00754295"/>
    <w:rsid w:val="007542AB"/>
    <w:rsid w:val="007544A7"/>
    <w:rsid w:val="0075456F"/>
    <w:rsid w:val="007545A7"/>
    <w:rsid w:val="0075477F"/>
    <w:rsid w:val="007549EA"/>
    <w:rsid w:val="00754A20"/>
    <w:rsid w:val="00754BFA"/>
    <w:rsid w:val="00754E30"/>
    <w:rsid w:val="00754EF4"/>
    <w:rsid w:val="00754EF7"/>
    <w:rsid w:val="00755436"/>
    <w:rsid w:val="0075548E"/>
    <w:rsid w:val="00755520"/>
    <w:rsid w:val="00755618"/>
    <w:rsid w:val="0075566B"/>
    <w:rsid w:val="007557F6"/>
    <w:rsid w:val="00755A07"/>
    <w:rsid w:val="00755A54"/>
    <w:rsid w:val="00755B1B"/>
    <w:rsid w:val="00755B1C"/>
    <w:rsid w:val="00755B23"/>
    <w:rsid w:val="00755B49"/>
    <w:rsid w:val="00755CEF"/>
    <w:rsid w:val="00755D96"/>
    <w:rsid w:val="00755EA1"/>
    <w:rsid w:val="00755EF6"/>
    <w:rsid w:val="00756101"/>
    <w:rsid w:val="00756202"/>
    <w:rsid w:val="007564A3"/>
    <w:rsid w:val="007565CB"/>
    <w:rsid w:val="00756A66"/>
    <w:rsid w:val="00756AE0"/>
    <w:rsid w:val="00756B91"/>
    <w:rsid w:val="00756BC2"/>
    <w:rsid w:val="00756C4B"/>
    <w:rsid w:val="00756C63"/>
    <w:rsid w:val="00756CD9"/>
    <w:rsid w:val="00756E81"/>
    <w:rsid w:val="00756F01"/>
    <w:rsid w:val="00756F20"/>
    <w:rsid w:val="00756F2A"/>
    <w:rsid w:val="00757029"/>
    <w:rsid w:val="00757034"/>
    <w:rsid w:val="0075708B"/>
    <w:rsid w:val="0075722E"/>
    <w:rsid w:val="007573A6"/>
    <w:rsid w:val="00757513"/>
    <w:rsid w:val="007575AD"/>
    <w:rsid w:val="00757926"/>
    <w:rsid w:val="00757967"/>
    <w:rsid w:val="00757970"/>
    <w:rsid w:val="00757B60"/>
    <w:rsid w:val="00757D33"/>
    <w:rsid w:val="00757E5D"/>
    <w:rsid w:val="00760072"/>
    <w:rsid w:val="007601A1"/>
    <w:rsid w:val="007601D5"/>
    <w:rsid w:val="0076020E"/>
    <w:rsid w:val="00760247"/>
    <w:rsid w:val="007603B5"/>
    <w:rsid w:val="007605EC"/>
    <w:rsid w:val="0076063D"/>
    <w:rsid w:val="00760645"/>
    <w:rsid w:val="007607AF"/>
    <w:rsid w:val="00760BB8"/>
    <w:rsid w:val="00760CDF"/>
    <w:rsid w:val="00760DF2"/>
    <w:rsid w:val="007610CB"/>
    <w:rsid w:val="0076121B"/>
    <w:rsid w:val="007612B5"/>
    <w:rsid w:val="00761317"/>
    <w:rsid w:val="00761340"/>
    <w:rsid w:val="0076167F"/>
    <w:rsid w:val="00761972"/>
    <w:rsid w:val="007619E3"/>
    <w:rsid w:val="00761CC5"/>
    <w:rsid w:val="00761CFF"/>
    <w:rsid w:val="00761D59"/>
    <w:rsid w:val="00761F64"/>
    <w:rsid w:val="00762211"/>
    <w:rsid w:val="007622A0"/>
    <w:rsid w:val="0076232E"/>
    <w:rsid w:val="00762479"/>
    <w:rsid w:val="00762642"/>
    <w:rsid w:val="00762706"/>
    <w:rsid w:val="007629D1"/>
    <w:rsid w:val="00762D3D"/>
    <w:rsid w:val="00762DB3"/>
    <w:rsid w:val="00763380"/>
    <w:rsid w:val="007634C5"/>
    <w:rsid w:val="007634ED"/>
    <w:rsid w:val="007634F9"/>
    <w:rsid w:val="00763547"/>
    <w:rsid w:val="007635E3"/>
    <w:rsid w:val="00763C70"/>
    <w:rsid w:val="00763C91"/>
    <w:rsid w:val="00763EF5"/>
    <w:rsid w:val="00763EFA"/>
    <w:rsid w:val="007641B4"/>
    <w:rsid w:val="007642C1"/>
    <w:rsid w:val="00764316"/>
    <w:rsid w:val="007644C8"/>
    <w:rsid w:val="00764768"/>
    <w:rsid w:val="00764887"/>
    <w:rsid w:val="007648B4"/>
    <w:rsid w:val="007648EA"/>
    <w:rsid w:val="007649B2"/>
    <w:rsid w:val="00764A2E"/>
    <w:rsid w:val="00764ADF"/>
    <w:rsid w:val="00764CB7"/>
    <w:rsid w:val="00764E45"/>
    <w:rsid w:val="00764F1C"/>
    <w:rsid w:val="00764FE1"/>
    <w:rsid w:val="0076509D"/>
    <w:rsid w:val="0076523F"/>
    <w:rsid w:val="00765258"/>
    <w:rsid w:val="007653C7"/>
    <w:rsid w:val="007653D8"/>
    <w:rsid w:val="007653EC"/>
    <w:rsid w:val="007654D1"/>
    <w:rsid w:val="00765540"/>
    <w:rsid w:val="007655E8"/>
    <w:rsid w:val="00765673"/>
    <w:rsid w:val="007656B4"/>
    <w:rsid w:val="007657A2"/>
    <w:rsid w:val="00765A21"/>
    <w:rsid w:val="00765A4F"/>
    <w:rsid w:val="00765B10"/>
    <w:rsid w:val="00765B1A"/>
    <w:rsid w:val="00765D8B"/>
    <w:rsid w:val="00765DC9"/>
    <w:rsid w:val="0076600C"/>
    <w:rsid w:val="007661D5"/>
    <w:rsid w:val="00766300"/>
    <w:rsid w:val="00766667"/>
    <w:rsid w:val="007666F8"/>
    <w:rsid w:val="0076671A"/>
    <w:rsid w:val="00766A21"/>
    <w:rsid w:val="00766AD9"/>
    <w:rsid w:val="00766B24"/>
    <w:rsid w:val="00766BC6"/>
    <w:rsid w:val="00766CCB"/>
    <w:rsid w:val="00766E29"/>
    <w:rsid w:val="00766EBD"/>
    <w:rsid w:val="00766F18"/>
    <w:rsid w:val="00766F4D"/>
    <w:rsid w:val="00766F50"/>
    <w:rsid w:val="00766FF9"/>
    <w:rsid w:val="007672A5"/>
    <w:rsid w:val="00767340"/>
    <w:rsid w:val="0076747A"/>
    <w:rsid w:val="00767533"/>
    <w:rsid w:val="0076757E"/>
    <w:rsid w:val="007677A0"/>
    <w:rsid w:val="007679E7"/>
    <w:rsid w:val="00767B96"/>
    <w:rsid w:val="00767C4D"/>
    <w:rsid w:val="00767DCC"/>
    <w:rsid w:val="00767E3C"/>
    <w:rsid w:val="0077013F"/>
    <w:rsid w:val="00770500"/>
    <w:rsid w:val="00770AF5"/>
    <w:rsid w:val="00770BA2"/>
    <w:rsid w:val="00770C39"/>
    <w:rsid w:val="00770CED"/>
    <w:rsid w:val="00770F91"/>
    <w:rsid w:val="00771074"/>
    <w:rsid w:val="0077116F"/>
    <w:rsid w:val="0077118B"/>
    <w:rsid w:val="00771361"/>
    <w:rsid w:val="007713B6"/>
    <w:rsid w:val="007713B8"/>
    <w:rsid w:val="007715E0"/>
    <w:rsid w:val="0077160D"/>
    <w:rsid w:val="0077186C"/>
    <w:rsid w:val="00771BF9"/>
    <w:rsid w:val="00771C38"/>
    <w:rsid w:val="00771E04"/>
    <w:rsid w:val="00771F42"/>
    <w:rsid w:val="007721AD"/>
    <w:rsid w:val="007721CD"/>
    <w:rsid w:val="0077220A"/>
    <w:rsid w:val="00772241"/>
    <w:rsid w:val="007723A7"/>
    <w:rsid w:val="0077267A"/>
    <w:rsid w:val="0077269B"/>
    <w:rsid w:val="00772721"/>
    <w:rsid w:val="007727E5"/>
    <w:rsid w:val="007729E0"/>
    <w:rsid w:val="00772BB0"/>
    <w:rsid w:val="00772ED4"/>
    <w:rsid w:val="007731C8"/>
    <w:rsid w:val="007731F2"/>
    <w:rsid w:val="0077320B"/>
    <w:rsid w:val="00773227"/>
    <w:rsid w:val="00773272"/>
    <w:rsid w:val="0077330E"/>
    <w:rsid w:val="00773657"/>
    <w:rsid w:val="00773662"/>
    <w:rsid w:val="007737C1"/>
    <w:rsid w:val="007739D6"/>
    <w:rsid w:val="00773BA3"/>
    <w:rsid w:val="00773C19"/>
    <w:rsid w:val="00773D58"/>
    <w:rsid w:val="00773E5E"/>
    <w:rsid w:val="00773EC8"/>
    <w:rsid w:val="0077428E"/>
    <w:rsid w:val="00774336"/>
    <w:rsid w:val="007748B3"/>
    <w:rsid w:val="00774AF7"/>
    <w:rsid w:val="00774C3D"/>
    <w:rsid w:val="00774F34"/>
    <w:rsid w:val="00774FAC"/>
    <w:rsid w:val="00775168"/>
    <w:rsid w:val="007753A5"/>
    <w:rsid w:val="007754EC"/>
    <w:rsid w:val="0077595E"/>
    <w:rsid w:val="007759F2"/>
    <w:rsid w:val="00775A9B"/>
    <w:rsid w:val="00775CB5"/>
    <w:rsid w:val="00775DD0"/>
    <w:rsid w:val="00775E45"/>
    <w:rsid w:val="00775EB7"/>
    <w:rsid w:val="00775F67"/>
    <w:rsid w:val="0077613C"/>
    <w:rsid w:val="007761A0"/>
    <w:rsid w:val="007761C2"/>
    <w:rsid w:val="0077636B"/>
    <w:rsid w:val="0077646E"/>
    <w:rsid w:val="00776556"/>
    <w:rsid w:val="00776668"/>
    <w:rsid w:val="00776A7B"/>
    <w:rsid w:val="00776B40"/>
    <w:rsid w:val="0077719A"/>
    <w:rsid w:val="00777330"/>
    <w:rsid w:val="00777340"/>
    <w:rsid w:val="00777558"/>
    <w:rsid w:val="007775B5"/>
    <w:rsid w:val="00777771"/>
    <w:rsid w:val="0077781A"/>
    <w:rsid w:val="00777C6B"/>
    <w:rsid w:val="00777C92"/>
    <w:rsid w:val="00777D17"/>
    <w:rsid w:val="00777EC8"/>
    <w:rsid w:val="00777F0B"/>
    <w:rsid w:val="00780098"/>
    <w:rsid w:val="007801F1"/>
    <w:rsid w:val="00780290"/>
    <w:rsid w:val="007802CF"/>
    <w:rsid w:val="007802F8"/>
    <w:rsid w:val="00780311"/>
    <w:rsid w:val="00780407"/>
    <w:rsid w:val="0078041F"/>
    <w:rsid w:val="007805D3"/>
    <w:rsid w:val="007808C4"/>
    <w:rsid w:val="007808C8"/>
    <w:rsid w:val="0078092E"/>
    <w:rsid w:val="00780986"/>
    <w:rsid w:val="00780E7D"/>
    <w:rsid w:val="00780EF5"/>
    <w:rsid w:val="007810FE"/>
    <w:rsid w:val="0078126C"/>
    <w:rsid w:val="0078151A"/>
    <w:rsid w:val="00781611"/>
    <w:rsid w:val="00781703"/>
    <w:rsid w:val="00781903"/>
    <w:rsid w:val="007819D7"/>
    <w:rsid w:val="00781A53"/>
    <w:rsid w:val="00781ECB"/>
    <w:rsid w:val="00781ECE"/>
    <w:rsid w:val="00781F74"/>
    <w:rsid w:val="007820F1"/>
    <w:rsid w:val="007821F7"/>
    <w:rsid w:val="00782599"/>
    <w:rsid w:val="007825B8"/>
    <w:rsid w:val="0078273A"/>
    <w:rsid w:val="0078273C"/>
    <w:rsid w:val="00782826"/>
    <w:rsid w:val="0078286C"/>
    <w:rsid w:val="00782963"/>
    <w:rsid w:val="00782DF4"/>
    <w:rsid w:val="00782ED3"/>
    <w:rsid w:val="007831F6"/>
    <w:rsid w:val="007833B5"/>
    <w:rsid w:val="007834FE"/>
    <w:rsid w:val="0078358D"/>
    <w:rsid w:val="00783681"/>
    <w:rsid w:val="007836D9"/>
    <w:rsid w:val="007839BA"/>
    <w:rsid w:val="007839E0"/>
    <w:rsid w:val="00783CBB"/>
    <w:rsid w:val="00783ECF"/>
    <w:rsid w:val="0078432C"/>
    <w:rsid w:val="00784354"/>
    <w:rsid w:val="00784368"/>
    <w:rsid w:val="0078446C"/>
    <w:rsid w:val="00784632"/>
    <w:rsid w:val="0078467C"/>
    <w:rsid w:val="007846C7"/>
    <w:rsid w:val="00784820"/>
    <w:rsid w:val="00784926"/>
    <w:rsid w:val="0078494D"/>
    <w:rsid w:val="007849C7"/>
    <w:rsid w:val="00784B2A"/>
    <w:rsid w:val="00784B86"/>
    <w:rsid w:val="00784BA7"/>
    <w:rsid w:val="00784C7E"/>
    <w:rsid w:val="00784D0C"/>
    <w:rsid w:val="00784E8D"/>
    <w:rsid w:val="00784F05"/>
    <w:rsid w:val="00784FAF"/>
    <w:rsid w:val="00784FF3"/>
    <w:rsid w:val="0078505C"/>
    <w:rsid w:val="00785070"/>
    <w:rsid w:val="007851D2"/>
    <w:rsid w:val="00785205"/>
    <w:rsid w:val="00785291"/>
    <w:rsid w:val="007854D8"/>
    <w:rsid w:val="007855B0"/>
    <w:rsid w:val="0078566C"/>
    <w:rsid w:val="007856B4"/>
    <w:rsid w:val="0078590D"/>
    <w:rsid w:val="00785940"/>
    <w:rsid w:val="0078596D"/>
    <w:rsid w:val="00785A69"/>
    <w:rsid w:val="00785A70"/>
    <w:rsid w:val="00785DA0"/>
    <w:rsid w:val="00785F72"/>
    <w:rsid w:val="00786205"/>
    <w:rsid w:val="00786267"/>
    <w:rsid w:val="007862B4"/>
    <w:rsid w:val="00786362"/>
    <w:rsid w:val="00786679"/>
    <w:rsid w:val="0078678E"/>
    <w:rsid w:val="0078683C"/>
    <w:rsid w:val="00786A91"/>
    <w:rsid w:val="00786B1E"/>
    <w:rsid w:val="00786B3D"/>
    <w:rsid w:val="00786CD9"/>
    <w:rsid w:val="00787310"/>
    <w:rsid w:val="0078795C"/>
    <w:rsid w:val="00787BC1"/>
    <w:rsid w:val="00787CFE"/>
    <w:rsid w:val="00787D55"/>
    <w:rsid w:val="00787D56"/>
    <w:rsid w:val="00787DE8"/>
    <w:rsid w:val="00787F8F"/>
    <w:rsid w:val="00790133"/>
    <w:rsid w:val="00790296"/>
    <w:rsid w:val="007904DC"/>
    <w:rsid w:val="007905A5"/>
    <w:rsid w:val="00790AE3"/>
    <w:rsid w:val="00790E7A"/>
    <w:rsid w:val="00790E83"/>
    <w:rsid w:val="00790E99"/>
    <w:rsid w:val="00790EAF"/>
    <w:rsid w:val="00790EB1"/>
    <w:rsid w:val="00790F2C"/>
    <w:rsid w:val="00791092"/>
    <w:rsid w:val="007910E4"/>
    <w:rsid w:val="0079126E"/>
    <w:rsid w:val="007913E3"/>
    <w:rsid w:val="0079152C"/>
    <w:rsid w:val="00791586"/>
    <w:rsid w:val="007915E4"/>
    <w:rsid w:val="007918B3"/>
    <w:rsid w:val="00791B5A"/>
    <w:rsid w:val="00791C17"/>
    <w:rsid w:val="00792079"/>
    <w:rsid w:val="00792105"/>
    <w:rsid w:val="00792326"/>
    <w:rsid w:val="007923A7"/>
    <w:rsid w:val="007923E1"/>
    <w:rsid w:val="00792576"/>
    <w:rsid w:val="007926D0"/>
    <w:rsid w:val="00792891"/>
    <w:rsid w:val="00792A1F"/>
    <w:rsid w:val="00792AC9"/>
    <w:rsid w:val="00792F59"/>
    <w:rsid w:val="00792F75"/>
    <w:rsid w:val="0079310D"/>
    <w:rsid w:val="0079334F"/>
    <w:rsid w:val="00793567"/>
    <w:rsid w:val="007936F5"/>
    <w:rsid w:val="00793731"/>
    <w:rsid w:val="007937D4"/>
    <w:rsid w:val="00793910"/>
    <w:rsid w:val="00793C86"/>
    <w:rsid w:val="00793D82"/>
    <w:rsid w:val="00793E84"/>
    <w:rsid w:val="00794155"/>
    <w:rsid w:val="007941DD"/>
    <w:rsid w:val="007943A0"/>
    <w:rsid w:val="00794408"/>
    <w:rsid w:val="007944AB"/>
    <w:rsid w:val="00794624"/>
    <w:rsid w:val="00794628"/>
    <w:rsid w:val="00794714"/>
    <w:rsid w:val="00794792"/>
    <w:rsid w:val="00794ADD"/>
    <w:rsid w:val="00794F69"/>
    <w:rsid w:val="00794FF0"/>
    <w:rsid w:val="0079514E"/>
    <w:rsid w:val="007951B4"/>
    <w:rsid w:val="007951C3"/>
    <w:rsid w:val="00795246"/>
    <w:rsid w:val="007952FE"/>
    <w:rsid w:val="00795505"/>
    <w:rsid w:val="00795523"/>
    <w:rsid w:val="007956D7"/>
    <w:rsid w:val="00795842"/>
    <w:rsid w:val="00795918"/>
    <w:rsid w:val="00795C07"/>
    <w:rsid w:val="00795C77"/>
    <w:rsid w:val="00795D94"/>
    <w:rsid w:val="00795DBE"/>
    <w:rsid w:val="00795E15"/>
    <w:rsid w:val="00795E62"/>
    <w:rsid w:val="00795FBE"/>
    <w:rsid w:val="00796139"/>
    <w:rsid w:val="007962FE"/>
    <w:rsid w:val="00796376"/>
    <w:rsid w:val="0079648D"/>
    <w:rsid w:val="007964DB"/>
    <w:rsid w:val="007964F7"/>
    <w:rsid w:val="00796576"/>
    <w:rsid w:val="007966A2"/>
    <w:rsid w:val="007968CB"/>
    <w:rsid w:val="00796AF5"/>
    <w:rsid w:val="00796B06"/>
    <w:rsid w:val="00796D06"/>
    <w:rsid w:val="00796D29"/>
    <w:rsid w:val="00796E17"/>
    <w:rsid w:val="007970A5"/>
    <w:rsid w:val="007970D7"/>
    <w:rsid w:val="00797380"/>
    <w:rsid w:val="00797584"/>
    <w:rsid w:val="007977DE"/>
    <w:rsid w:val="007977FD"/>
    <w:rsid w:val="00797997"/>
    <w:rsid w:val="00797CB8"/>
    <w:rsid w:val="00797DC5"/>
    <w:rsid w:val="007A000E"/>
    <w:rsid w:val="007A0116"/>
    <w:rsid w:val="007A02F5"/>
    <w:rsid w:val="007A0380"/>
    <w:rsid w:val="007A0465"/>
    <w:rsid w:val="007A0770"/>
    <w:rsid w:val="007A0913"/>
    <w:rsid w:val="007A09E7"/>
    <w:rsid w:val="007A0BB9"/>
    <w:rsid w:val="007A0DA3"/>
    <w:rsid w:val="007A0ED7"/>
    <w:rsid w:val="007A0EDA"/>
    <w:rsid w:val="007A0F85"/>
    <w:rsid w:val="007A0FFD"/>
    <w:rsid w:val="007A127E"/>
    <w:rsid w:val="007A135D"/>
    <w:rsid w:val="007A137D"/>
    <w:rsid w:val="007A139E"/>
    <w:rsid w:val="007A13BC"/>
    <w:rsid w:val="007A14EF"/>
    <w:rsid w:val="007A1793"/>
    <w:rsid w:val="007A17AB"/>
    <w:rsid w:val="007A17D9"/>
    <w:rsid w:val="007A1AE3"/>
    <w:rsid w:val="007A1AFA"/>
    <w:rsid w:val="007A1B02"/>
    <w:rsid w:val="007A1C6F"/>
    <w:rsid w:val="007A1D40"/>
    <w:rsid w:val="007A2064"/>
    <w:rsid w:val="007A21AE"/>
    <w:rsid w:val="007A2206"/>
    <w:rsid w:val="007A2280"/>
    <w:rsid w:val="007A2559"/>
    <w:rsid w:val="007A26D6"/>
    <w:rsid w:val="007A2766"/>
    <w:rsid w:val="007A27CD"/>
    <w:rsid w:val="007A2863"/>
    <w:rsid w:val="007A2AA5"/>
    <w:rsid w:val="007A2B6A"/>
    <w:rsid w:val="007A2BE7"/>
    <w:rsid w:val="007A2D31"/>
    <w:rsid w:val="007A2F8D"/>
    <w:rsid w:val="007A2FC2"/>
    <w:rsid w:val="007A30A6"/>
    <w:rsid w:val="007A30BF"/>
    <w:rsid w:val="007A3195"/>
    <w:rsid w:val="007A35DE"/>
    <w:rsid w:val="007A366F"/>
    <w:rsid w:val="007A384F"/>
    <w:rsid w:val="007A3A02"/>
    <w:rsid w:val="007A3A98"/>
    <w:rsid w:val="007A3B6F"/>
    <w:rsid w:val="007A3C9D"/>
    <w:rsid w:val="007A3CE5"/>
    <w:rsid w:val="007A3E32"/>
    <w:rsid w:val="007A3EF9"/>
    <w:rsid w:val="007A415A"/>
    <w:rsid w:val="007A4173"/>
    <w:rsid w:val="007A426D"/>
    <w:rsid w:val="007A460D"/>
    <w:rsid w:val="007A4610"/>
    <w:rsid w:val="007A478D"/>
    <w:rsid w:val="007A49BF"/>
    <w:rsid w:val="007A49FB"/>
    <w:rsid w:val="007A4A20"/>
    <w:rsid w:val="007A4B57"/>
    <w:rsid w:val="007A4C3A"/>
    <w:rsid w:val="007A4CDA"/>
    <w:rsid w:val="007A4D39"/>
    <w:rsid w:val="007A4FB4"/>
    <w:rsid w:val="007A5160"/>
    <w:rsid w:val="007A53B5"/>
    <w:rsid w:val="007A5416"/>
    <w:rsid w:val="007A552A"/>
    <w:rsid w:val="007A56E5"/>
    <w:rsid w:val="007A57B2"/>
    <w:rsid w:val="007A5824"/>
    <w:rsid w:val="007A5853"/>
    <w:rsid w:val="007A588E"/>
    <w:rsid w:val="007A58FE"/>
    <w:rsid w:val="007A59A3"/>
    <w:rsid w:val="007A59F8"/>
    <w:rsid w:val="007A59FA"/>
    <w:rsid w:val="007A5B79"/>
    <w:rsid w:val="007A5BF6"/>
    <w:rsid w:val="007A5D32"/>
    <w:rsid w:val="007A5DB7"/>
    <w:rsid w:val="007A6044"/>
    <w:rsid w:val="007A6111"/>
    <w:rsid w:val="007A612C"/>
    <w:rsid w:val="007A667D"/>
    <w:rsid w:val="007A67F9"/>
    <w:rsid w:val="007A68E3"/>
    <w:rsid w:val="007A6A47"/>
    <w:rsid w:val="007A6C92"/>
    <w:rsid w:val="007A74E6"/>
    <w:rsid w:val="007A7739"/>
    <w:rsid w:val="007A7949"/>
    <w:rsid w:val="007A795D"/>
    <w:rsid w:val="007A79C8"/>
    <w:rsid w:val="007A7B13"/>
    <w:rsid w:val="007A7B79"/>
    <w:rsid w:val="007A7B9D"/>
    <w:rsid w:val="007A7DE5"/>
    <w:rsid w:val="007A7E47"/>
    <w:rsid w:val="007A7F8A"/>
    <w:rsid w:val="007A7FEA"/>
    <w:rsid w:val="007A7FEB"/>
    <w:rsid w:val="007B00B5"/>
    <w:rsid w:val="007B0243"/>
    <w:rsid w:val="007B042E"/>
    <w:rsid w:val="007B04A6"/>
    <w:rsid w:val="007B0622"/>
    <w:rsid w:val="007B0647"/>
    <w:rsid w:val="007B0653"/>
    <w:rsid w:val="007B075D"/>
    <w:rsid w:val="007B097F"/>
    <w:rsid w:val="007B0E35"/>
    <w:rsid w:val="007B0EF7"/>
    <w:rsid w:val="007B0F58"/>
    <w:rsid w:val="007B108E"/>
    <w:rsid w:val="007B11E2"/>
    <w:rsid w:val="007B13AE"/>
    <w:rsid w:val="007B13F6"/>
    <w:rsid w:val="007B1579"/>
    <w:rsid w:val="007B1634"/>
    <w:rsid w:val="007B1673"/>
    <w:rsid w:val="007B179B"/>
    <w:rsid w:val="007B1833"/>
    <w:rsid w:val="007B18E2"/>
    <w:rsid w:val="007B198E"/>
    <w:rsid w:val="007B1A5B"/>
    <w:rsid w:val="007B1B6A"/>
    <w:rsid w:val="007B1B86"/>
    <w:rsid w:val="007B1D5B"/>
    <w:rsid w:val="007B1D9B"/>
    <w:rsid w:val="007B1D9D"/>
    <w:rsid w:val="007B1DB2"/>
    <w:rsid w:val="007B1E5E"/>
    <w:rsid w:val="007B20D6"/>
    <w:rsid w:val="007B22B7"/>
    <w:rsid w:val="007B233E"/>
    <w:rsid w:val="007B23BD"/>
    <w:rsid w:val="007B2427"/>
    <w:rsid w:val="007B290E"/>
    <w:rsid w:val="007B296B"/>
    <w:rsid w:val="007B298D"/>
    <w:rsid w:val="007B2992"/>
    <w:rsid w:val="007B2A2D"/>
    <w:rsid w:val="007B2B70"/>
    <w:rsid w:val="007B2BDF"/>
    <w:rsid w:val="007B2BE9"/>
    <w:rsid w:val="007B2C0C"/>
    <w:rsid w:val="007B2C5C"/>
    <w:rsid w:val="007B3267"/>
    <w:rsid w:val="007B32A6"/>
    <w:rsid w:val="007B32E9"/>
    <w:rsid w:val="007B3326"/>
    <w:rsid w:val="007B351B"/>
    <w:rsid w:val="007B35E9"/>
    <w:rsid w:val="007B3873"/>
    <w:rsid w:val="007B38A3"/>
    <w:rsid w:val="007B3931"/>
    <w:rsid w:val="007B395B"/>
    <w:rsid w:val="007B39CC"/>
    <w:rsid w:val="007B3A1D"/>
    <w:rsid w:val="007B3A46"/>
    <w:rsid w:val="007B3AF1"/>
    <w:rsid w:val="007B3C27"/>
    <w:rsid w:val="007B3C62"/>
    <w:rsid w:val="007B3CD4"/>
    <w:rsid w:val="007B3D4C"/>
    <w:rsid w:val="007B3F34"/>
    <w:rsid w:val="007B3FC5"/>
    <w:rsid w:val="007B405F"/>
    <w:rsid w:val="007B4072"/>
    <w:rsid w:val="007B421F"/>
    <w:rsid w:val="007B425A"/>
    <w:rsid w:val="007B43B7"/>
    <w:rsid w:val="007B446B"/>
    <w:rsid w:val="007B47F4"/>
    <w:rsid w:val="007B4801"/>
    <w:rsid w:val="007B4875"/>
    <w:rsid w:val="007B4966"/>
    <w:rsid w:val="007B4B5E"/>
    <w:rsid w:val="007B4DFB"/>
    <w:rsid w:val="007B4E8B"/>
    <w:rsid w:val="007B4EBF"/>
    <w:rsid w:val="007B4EE3"/>
    <w:rsid w:val="007B4FE9"/>
    <w:rsid w:val="007B5002"/>
    <w:rsid w:val="007B506B"/>
    <w:rsid w:val="007B5196"/>
    <w:rsid w:val="007B528E"/>
    <w:rsid w:val="007B533A"/>
    <w:rsid w:val="007B58E8"/>
    <w:rsid w:val="007B5A1B"/>
    <w:rsid w:val="007B5A1C"/>
    <w:rsid w:val="007B5C36"/>
    <w:rsid w:val="007B5CBD"/>
    <w:rsid w:val="007B5F83"/>
    <w:rsid w:val="007B5FC6"/>
    <w:rsid w:val="007B6204"/>
    <w:rsid w:val="007B623B"/>
    <w:rsid w:val="007B6343"/>
    <w:rsid w:val="007B6371"/>
    <w:rsid w:val="007B6422"/>
    <w:rsid w:val="007B65F6"/>
    <w:rsid w:val="007B661A"/>
    <w:rsid w:val="007B665E"/>
    <w:rsid w:val="007B6810"/>
    <w:rsid w:val="007B6A70"/>
    <w:rsid w:val="007B6AAC"/>
    <w:rsid w:val="007B6B66"/>
    <w:rsid w:val="007B6BA0"/>
    <w:rsid w:val="007B6C19"/>
    <w:rsid w:val="007B6D42"/>
    <w:rsid w:val="007B6F1A"/>
    <w:rsid w:val="007B6F59"/>
    <w:rsid w:val="007B6F6A"/>
    <w:rsid w:val="007B7030"/>
    <w:rsid w:val="007B706B"/>
    <w:rsid w:val="007B7201"/>
    <w:rsid w:val="007B7266"/>
    <w:rsid w:val="007B7539"/>
    <w:rsid w:val="007B75CE"/>
    <w:rsid w:val="007B780E"/>
    <w:rsid w:val="007B7B88"/>
    <w:rsid w:val="007B7C0C"/>
    <w:rsid w:val="007B7D7F"/>
    <w:rsid w:val="007B7F17"/>
    <w:rsid w:val="007B7F6B"/>
    <w:rsid w:val="007B7F80"/>
    <w:rsid w:val="007C01ED"/>
    <w:rsid w:val="007C0233"/>
    <w:rsid w:val="007C024A"/>
    <w:rsid w:val="007C028D"/>
    <w:rsid w:val="007C02A5"/>
    <w:rsid w:val="007C0324"/>
    <w:rsid w:val="007C046E"/>
    <w:rsid w:val="007C0547"/>
    <w:rsid w:val="007C0617"/>
    <w:rsid w:val="007C0691"/>
    <w:rsid w:val="007C06D5"/>
    <w:rsid w:val="007C0788"/>
    <w:rsid w:val="007C0812"/>
    <w:rsid w:val="007C0CE0"/>
    <w:rsid w:val="007C0DE6"/>
    <w:rsid w:val="007C0F12"/>
    <w:rsid w:val="007C0FF7"/>
    <w:rsid w:val="007C119D"/>
    <w:rsid w:val="007C1371"/>
    <w:rsid w:val="007C14B6"/>
    <w:rsid w:val="007C151F"/>
    <w:rsid w:val="007C1659"/>
    <w:rsid w:val="007C1673"/>
    <w:rsid w:val="007C17E1"/>
    <w:rsid w:val="007C190E"/>
    <w:rsid w:val="007C1966"/>
    <w:rsid w:val="007C19C5"/>
    <w:rsid w:val="007C19CC"/>
    <w:rsid w:val="007C1B27"/>
    <w:rsid w:val="007C1F54"/>
    <w:rsid w:val="007C22CE"/>
    <w:rsid w:val="007C232D"/>
    <w:rsid w:val="007C23DB"/>
    <w:rsid w:val="007C253D"/>
    <w:rsid w:val="007C259C"/>
    <w:rsid w:val="007C25AD"/>
    <w:rsid w:val="007C25F9"/>
    <w:rsid w:val="007C2624"/>
    <w:rsid w:val="007C2644"/>
    <w:rsid w:val="007C2845"/>
    <w:rsid w:val="007C296B"/>
    <w:rsid w:val="007C2AA5"/>
    <w:rsid w:val="007C2B46"/>
    <w:rsid w:val="007C2BED"/>
    <w:rsid w:val="007C2C7A"/>
    <w:rsid w:val="007C2D4E"/>
    <w:rsid w:val="007C2D7A"/>
    <w:rsid w:val="007C2F62"/>
    <w:rsid w:val="007C2FCB"/>
    <w:rsid w:val="007C30F8"/>
    <w:rsid w:val="007C31D9"/>
    <w:rsid w:val="007C3203"/>
    <w:rsid w:val="007C3289"/>
    <w:rsid w:val="007C339A"/>
    <w:rsid w:val="007C33DB"/>
    <w:rsid w:val="007C34CD"/>
    <w:rsid w:val="007C36D3"/>
    <w:rsid w:val="007C372D"/>
    <w:rsid w:val="007C38E5"/>
    <w:rsid w:val="007C391B"/>
    <w:rsid w:val="007C397A"/>
    <w:rsid w:val="007C3AC5"/>
    <w:rsid w:val="007C3F53"/>
    <w:rsid w:val="007C453C"/>
    <w:rsid w:val="007C45BF"/>
    <w:rsid w:val="007C469F"/>
    <w:rsid w:val="007C48E8"/>
    <w:rsid w:val="007C4D60"/>
    <w:rsid w:val="007C4DBE"/>
    <w:rsid w:val="007C4E0C"/>
    <w:rsid w:val="007C4E2E"/>
    <w:rsid w:val="007C55ED"/>
    <w:rsid w:val="007C5F11"/>
    <w:rsid w:val="007C5F82"/>
    <w:rsid w:val="007C610C"/>
    <w:rsid w:val="007C61AF"/>
    <w:rsid w:val="007C625E"/>
    <w:rsid w:val="007C63E8"/>
    <w:rsid w:val="007C652B"/>
    <w:rsid w:val="007C6572"/>
    <w:rsid w:val="007C6725"/>
    <w:rsid w:val="007C67F3"/>
    <w:rsid w:val="007C6887"/>
    <w:rsid w:val="007C68F7"/>
    <w:rsid w:val="007C69E2"/>
    <w:rsid w:val="007C6A9D"/>
    <w:rsid w:val="007C6BCF"/>
    <w:rsid w:val="007C6CA1"/>
    <w:rsid w:val="007C6D71"/>
    <w:rsid w:val="007C6DDC"/>
    <w:rsid w:val="007C6E0C"/>
    <w:rsid w:val="007C70B3"/>
    <w:rsid w:val="007C7206"/>
    <w:rsid w:val="007C727F"/>
    <w:rsid w:val="007C72AF"/>
    <w:rsid w:val="007C72CA"/>
    <w:rsid w:val="007C740C"/>
    <w:rsid w:val="007C7507"/>
    <w:rsid w:val="007C754A"/>
    <w:rsid w:val="007C773E"/>
    <w:rsid w:val="007C77B7"/>
    <w:rsid w:val="007C7981"/>
    <w:rsid w:val="007C7C0B"/>
    <w:rsid w:val="007C7D5C"/>
    <w:rsid w:val="007C7E6A"/>
    <w:rsid w:val="007D0148"/>
    <w:rsid w:val="007D0357"/>
    <w:rsid w:val="007D03BF"/>
    <w:rsid w:val="007D0772"/>
    <w:rsid w:val="007D0904"/>
    <w:rsid w:val="007D09F1"/>
    <w:rsid w:val="007D0B68"/>
    <w:rsid w:val="007D0C36"/>
    <w:rsid w:val="007D0C46"/>
    <w:rsid w:val="007D0C9F"/>
    <w:rsid w:val="007D0CF8"/>
    <w:rsid w:val="007D0DC2"/>
    <w:rsid w:val="007D1004"/>
    <w:rsid w:val="007D1041"/>
    <w:rsid w:val="007D11AE"/>
    <w:rsid w:val="007D1291"/>
    <w:rsid w:val="007D13B3"/>
    <w:rsid w:val="007D141A"/>
    <w:rsid w:val="007D155E"/>
    <w:rsid w:val="007D1701"/>
    <w:rsid w:val="007D1973"/>
    <w:rsid w:val="007D1AEF"/>
    <w:rsid w:val="007D1BDF"/>
    <w:rsid w:val="007D20CA"/>
    <w:rsid w:val="007D20D4"/>
    <w:rsid w:val="007D20E7"/>
    <w:rsid w:val="007D2135"/>
    <w:rsid w:val="007D21E3"/>
    <w:rsid w:val="007D241E"/>
    <w:rsid w:val="007D264B"/>
    <w:rsid w:val="007D2662"/>
    <w:rsid w:val="007D2C04"/>
    <w:rsid w:val="007D2C94"/>
    <w:rsid w:val="007D328A"/>
    <w:rsid w:val="007D36B4"/>
    <w:rsid w:val="007D3917"/>
    <w:rsid w:val="007D3B8F"/>
    <w:rsid w:val="007D3E93"/>
    <w:rsid w:val="007D3F2B"/>
    <w:rsid w:val="007D3FFC"/>
    <w:rsid w:val="007D40AA"/>
    <w:rsid w:val="007D4159"/>
    <w:rsid w:val="007D42C8"/>
    <w:rsid w:val="007D4429"/>
    <w:rsid w:val="007D44D0"/>
    <w:rsid w:val="007D45F6"/>
    <w:rsid w:val="007D460F"/>
    <w:rsid w:val="007D46C0"/>
    <w:rsid w:val="007D47B6"/>
    <w:rsid w:val="007D4866"/>
    <w:rsid w:val="007D4911"/>
    <w:rsid w:val="007D49C5"/>
    <w:rsid w:val="007D4A3A"/>
    <w:rsid w:val="007D4AE8"/>
    <w:rsid w:val="007D4FDE"/>
    <w:rsid w:val="007D5070"/>
    <w:rsid w:val="007D5153"/>
    <w:rsid w:val="007D51D1"/>
    <w:rsid w:val="007D534E"/>
    <w:rsid w:val="007D53B3"/>
    <w:rsid w:val="007D551D"/>
    <w:rsid w:val="007D5530"/>
    <w:rsid w:val="007D5577"/>
    <w:rsid w:val="007D560D"/>
    <w:rsid w:val="007D5641"/>
    <w:rsid w:val="007D5764"/>
    <w:rsid w:val="007D57F2"/>
    <w:rsid w:val="007D5845"/>
    <w:rsid w:val="007D5A74"/>
    <w:rsid w:val="007D5A8D"/>
    <w:rsid w:val="007D5CB1"/>
    <w:rsid w:val="007D620F"/>
    <w:rsid w:val="007D6319"/>
    <w:rsid w:val="007D633E"/>
    <w:rsid w:val="007D6353"/>
    <w:rsid w:val="007D6662"/>
    <w:rsid w:val="007D667C"/>
    <w:rsid w:val="007D6DC1"/>
    <w:rsid w:val="007D6E7C"/>
    <w:rsid w:val="007D6F36"/>
    <w:rsid w:val="007D6FF0"/>
    <w:rsid w:val="007D70D5"/>
    <w:rsid w:val="007D76BF"/>
    <w:rsid w:val="007D776C"/>
    <w:rsid w:val="007D7789"/>
    <w:rsid w:val="007D788C"/>
    <w:rsid w:val="007D7941"/>
    <w:rsid w:val="007D7A21"/>
    <w:rsid w:val="007D7A37"/>
    <w:rsid w:val="007D7A47"/>
    <w:rsid w:val="007D7D32"/>
    <w:rsid w:val="007D7D82"/>
    <w:rsid w:val="007D7E8A"/>
    <w:rsid w:val="007D7F4A"/>
    <w:rsid w:val="007E02E8"/>
    <w:rsid w:val="007E04AA"/>
    <w:rsid w:val="007E04C7"/>
    <w:rsid w:val="007E04CA"/>
    <w:rsid w:val="007E060B"/>
    <w:rsid w:val="007E0B3E"/>
    <w:rsid w:val="007E0B8B"/>
    <w:rsid w:val="007E0C8C"/>
    <w:rsid w:val="007E0E31"/>
    <w:rsid w:val="007E0E3B"/>
    <w:rsid w:val="007E0FAD"/>
    <w:rsid w:val="007E106B"/>
    <w:rsid w:val="007E1099"/>
    <w:rsid w:val="007E10AD"/>
    <w:rsid w:val="007E11FA"/>
    <w:rsid w:val="007E12B9"/>
    <w:rsid w:val="007E1391"/>
    <w:rsid w:val="007E143F"/>
    <w:rsid w:val="007E1454"/>
    <w:rsid w:val="007E1491"/>
    <w:rsid w:val="007E15B6"/>
    <w:rsid w:val="007E15C2"/>
    <w:rsid w:val="007E1702"/>
    <w:rsid w:val="007E1791"/>
    <w:rsid w:val="007E196C"/>
    <w:rsid w:val="007E19DB"/>
    <w:rsid w:val="007E1A31"/>
    <w:rsid w:val="007E1B21"/>
    <w:rsid w:val="007E1B91"/>
    <w:rsid w:val="007E1BDD"/>
    <w:rsid w:val="007E1C89"/>
    <w:rsid w:val="007E1CD5"/>
    <w:rsid w:val="007E1D0B"/>
    <w:rsid w:val="007E1EF8"/>
    <w:rsid w:val="007E20C5"/>
    <w:rsid w:val="007E21F4"/>
    <w:rsid w:val="007E22B9"/>
    <w:rsid w:val="007E23D9"/>
    <w:rsid w:val="007E276D"/>
    <w:rsid w:val="007E284D"/>
    <w:rsid w:val="007E2A60"/>
    <w:rsid w:val="007E2B9F"/>
    <w:rsid w:val="007E2BC9"/>
    <w:rsid w:val="007E2CF0"/>
    <w:rsid w:val="007E2DDE"/>
    <w:rsid w:val="007E2E15"/>
    <w:rsid w:val="007E2ECC"/>
    <w:rsid w:val="007E2F01"/>
    <w:rsid w:val="007E2F94"/>
    <w:rsid w:val="007E30F9"/>
    <w:rsid w:val="007E32DF"/>
    <w:rsid w:val="007E35A9"/>
    <w:rsid w:val="007E36C0"/>
    <w:rsid w:val="007E38C1"/>
    <w:rsid w:val="007E3978"/>
    <w:rsid w:val="007E39FE"/>
    <w:rsid w:val="007E3B42"/>
    <w:rsid w:val="007E3CAB"/>
    <w:rsid w:val="007E3F19"/>
    <w:rsid w:val="007E4014"/>
    <w:rsid w:val="007E40A5"/>
    <w:rsid w:val="007E414B"/>
    <w:rsid w:val="007E43B5"/>
    <w:rsid w:val="007E4488"/>
    <w:rsid w:val="007E44B1"/>
    <w:rsid w:val="007E4653"/>
    <w:rsid w:val="007E4839"/>
    <w:rsid w:val="007E4988"/>
    <w:rsid w:val="007E4B10"/>
    <w:rsid w:val="007E4B3D"/>
    <w:rsid w:val="007E4D5E"/>
    <w:rsid w:val="007E4FE0"/>
    <w:rsid w:val="007E502D"/>
    <w:rsid w:val="007E5041"/>
    <w:rsid w:val="007E5047"/>
    <w:rsid w:val="007E5132"/>
    <w:rsid w:val="007E5375"/>
    <w:rsid w:val="007E5383"/>
    <w:rsid w:val="007E5487"/>
    <w:rsid w:val="007E55C5"/>
    <w:rsid w:val="007E5631"/>
    <w:rsid w:val="007E5824"/>
    <w:rsid w:val="007E5854"/>
    <w:rsid w:val="007E5890"/>
    <w:rsid w:val="007E58B6"/>
    <w:rsid w:val="007E58F3"/>
    <w:rsid w:val="007E5AF5"/>
    <w:rsid w:val="007E5B14"/>
    <w:rsid w:val="007E5F78"/>
    <w:rsid w:val="007E5FCA"/>
    <w:rsid w:val="007E5FD5"/>
    <w:rsid w:val="007E6031"/>
    <w:rsid w:val="007E60F7"/>
    <w:rsid w:val="007E6193"/>
    <w:rsid w:val="007E624E"/>
    <w:rsid w:val="007E6408"/>
    <w:rsid w:val="007E64C8"/>
    <w:rsid w:val="007E6675"/>
    <w:rsid w:val="007E66CC"/>
    <w:rsid w:val="007E6822"/>
    <w:rsid w:val="007E6865"/>
    <w:rsid w:val="007E6955"/>
    <w:rsid w:val="007E6988"/>
    <w:rsid w:val="007E69B8"/>
    <w:rsid w:val="007E6B43"/>
    <w:rsid w:val="007E6B52"/>
    <w:rsid w:val="007E6CA6"/>
    <w:rsid w:val="007E6DAC"/>
    <w:rsid w:val="007E6E3E"/>
    <w:rsid w:val="007E6EC1"/>
    <w:rsid w:val="007E6F0C"/>
    <w:rsid w:val="007E71F2"/>
    <w:rsid w:val="007E721B"/>
    <w:rsid w:val="007E7527"/>
    <w:rsid w:val="007E76AD"/>
    <w:rsid w:val="007E7AB4"/>
    <w:rsid w:val="007E7ACC"/>
    <w:rsid w:val="007E7B4F"/>
    <w:rsid w:val="007E7B76"/>
    <w:rsid w:val="007E7C12"/>
    <w:rsid w:val="007E7DE3"/>
    <w:rsid w:val="007E7DE6"/>
    <w:rsid w:val="007E7E8E"/>
    <w:rsid w:val="007E7F63"/>
    <w:rsid w:val="007F00AF"/>
    <w:rsid w:val="007F00EF"/>
    <w:rsid w:val="007F03A9"/>
    <w:rsid w:val="007F05C3"/>
    <w:rsid w:val="007F0862"/>
    <w:rsid w:val="007F09AD"/>
    <w:rsid w:val="007F0BF1"/>
    <w:rsid w:val="007F0D2E"/>
    <w:rsid w:val="007F0F5E"/>
    <w:rsid w:val="007F1076"/>
    <w:rsid w:val="007F127B"/>
    <w:rsid w:val="007F12A8"/>
    <w:rsid w:val="007F12CF"/>
    <w:rsid w:val="007F1595"/>
    <w:rsid w:val="007F1696"/>
    <w:rsid w:val="007F1778"/>
    <w:rsid w:val="007F1800"/>
    <w:rsid w:val="007F1805"/>
    <w:rsid w:val="007F1A83"/>
    <w:rsid w:val="007F1D1E"/>
    <w:rsid w:val="007F1DB6"/>
    <w:rsid w:val="007F1E91"/>
    <w:rsid w:val="007F235A"/>
    <w:rsid w:val="007F29AC"/>
    <w:rsid w:val="007F2BA8"/>
    <w:rsid w:val="007F2C9C"/>
    <w:rsid w:val="007F2D3A"/>
    <w:rsid w:val="007F2D6B"/>
    <w:rsid w:val="007F2EEB"/>
    <w:rsid w:val="007F2F64"/>
    <w:rsid w:val="007F3032"/>
    <w:rsid w:val="007F33A6"/>
    <w:rsid w:val="007F344F"/>
    <w:rsid w:val="007F35AD"/>
    <w:rsid w:val="007F3653"/>
    <w:rsid w:val="007F37AC"/>
    <w:rsid w:val="007F386C"/>
    <w:rsid w:val="007F39AD"/>
    <w:rsid w:val="007F3A1A"/>
    <w:rsid w:val="007F3C39"/>
    <w:rsid w:val="007F3DE7"/>
    <w:rsid w:val="007F3E36"/>
    <w:rsid w:val="007F4158"/>
    <w:rsid w:val="007F4179"/>
    <w:rsid w:val="007F4202"/>
    <w:rsid w:val="007F44FA"/>
    <w:rsid w:val="007F45B7"/>
    <w:rsid w:val="007F45F0"/>
    <w:rsid w:val="007F45FF"/>
    <w:rsid w:val="007F466B"/>
    <w:rsid w:val="007F496A"/>
    <w:rsid w:val="007F4BFA"/>
    <w:rsid w:val="007F4C58"/>
    <w:rsid w:val="007F4D69"/>
    <w:rsid w:val="007F5049"/>
    <w:rsid w:val="007F51DF"/>
    <w:rsid w:val="007F51E5"/>
    <w:rsid w:val="007F51EA"/>
    <w:rsid w:val="007F5249"/>
    <w:rsid w:val="007F5337"/>
    <w:rsid w:val="007F540F"/>
    <w:rsid w:val="007F5547"/>
    <w:rsid w:val="007F5846"/>
    <w:rsid w:val="007F58F4"/>
    <w:rsid w:val="007F5B9C"/>
    <w:rsid w:val="007F5C38"/>
    <w:rsid w:val="007F5CB2"/>
    <w:rsid w:val="007F6032"/>
    <w:rsid w:val="007F60E6"/>
    <w:rsid w:val="007F61BE"/>
    <w:rsid w:val="007F688C"/>
    <w:rsid w:val="007F68F6"/>
    <w:rsid w:val="007F6976"/>
    <w:rsid w:val="007F6A60"/>
    <w:rsid w:val="007F6AC0"/>
    <w:rsid w:val="007F6E3F"/>
    <w:rsid w:val="007F6EA7"/>
    <w:rsid w:val="007F6FC7"/>
    <w:rsid w:val="007F70E7"/>
    <w:rsid w:val="007F710C"/>
    <w:rsid w:val="007F713F"/>
    <w:rsid w:val="007F71AC"/>
    <w:rsid w:val="007F74CF"/>
    <w:rsid w:val="007F74F1"/>
    <w:rsid w:val="007F75BC"/>
    <w:rsid w:val="007F75C0"/>
    <w:rsid w:val="007F782D"/>
    <w:rsid w:val="007F78BF"/>
    <w:rsid w:val="007F78E9"/>
    <w:rsid w:val="007F7BA0"/>
    <w:rsid w:val="007F7CC4"/>
    <w:rsid w:val="007F7EAA"/>
    <w:rsid w:val="007F7F13"/>
    <w:rsid w:val="00800045"/>
    <w:rsid w:val="008003D5"/>
    <w:rsid w:val="0080041E"/>
    <w:rsid w:val="00800808"/>
    <w:rsid w:val="0080086C"/>
    <w:rsid w:val="00800A2E"/>
    <w:rsid w:val="00800C7F"/>
    <w:rsid w:val="00800C9A"/>
    <w:rsid w:val="00800E74"/>
    <w:rsid w:val="00800EB0"/>
    <w:rsid w:val="00800EEA"/>
    <w:rsid w:val="00800FC7"/>
    <w:rsid w:val="00800FFA"/>
    <w:rsid w:val="00801003"/>
    <w:rsid w:val="008011BA"/>
    <w:rsid w:val="00801294"/>
    <w:rsid w:val="00801324"/>
    <w:rsid w:val="00801348"/>
    <w:rsid w:val="0080137B"/>
    <w:rsid w:val="00801576"/>
    <w:rsid w:val="00801722"/>
    <w:rsid w:val="00801756"/>
    <w:rsid w:val="00801AFF"/>
    <w:rsid w:val="00801BA2"/>
    <w:rsid w:val="00801D1C"/>
    <w:rsid w:val="00801EEA"/>
    <w:rsid w:val="00801F31"/>
    <w:rsid w:val="00801FB4"/>
    <w:rsid w:val="008021D7"/>
    <w:rsid w:val="008021F1"/>
    <w:rsid w:val="00802262"/>
    <w:rsid w:val="008022F1"/>
    <w:rsid w:val="0080241E"/>
    <w:rsid w:val="008026C1"/>
    <w:rsid w:val="008028AE"/>
    <w:rsid w:val="00802A10"/>
    <w:rsid w:val="00802B32"/>
    <w:rsid w:val="00802E11"/>
    <w:rsid w:val="00802E36"/>
    <w:rsid w:val="00802FF5"/>
    <w:rsid w:val="008030E0"/>
    <w:rsid w:val="008032C0"/>
    <w:rsid w:val="008034E8"/>
    <w:rsid w:val="00803720"/>
    <w:rsid w:val="008037CF"/>
    <w:rsid w:val="00803A46"/>
    <w:rsid w:val="00803C97"/>
    <w:rsid w:val="00803DE0"/>
    <w:rsid w:val="00804009"/>
    <w:rsid w:val="00804145"/>
    <w:rsid w:val="008043A5"/>
    <w:rsid w:val="0080447D"/>
    <w:rsid w:val="008045A2"/>
    <w:rsid w:val="008045AC"/>
    <w:rsid w:val="00804824"/>
    <w:rsid w:val="008048E0"/>
    <w:rsid w:val="00804A1C"/>
    <w:rsid w:val="00804AA1"/>
    <w:rsid w:val="00804B6B"/>
    <w:rsid w:val="00804C9E"/>
    <w:rsid w:val="00804D4F"/>
    <w:rsid w:val="00804E22"/>
    <w:rsid w:val="00804EAD"/>
    <w:rsid w:val="00805294"/>
    <w:rsid w:val="008052B0"/>
    <w:rsid w:val="00805336"/>
    <w:rsid w:val="0080540D"/>
    <w:rsid w:val="008054C3"/>
    <w:rsid w:val="00805710"/>
    <w:rsid w:val="00805822"/>
    <w:rsid w:val="00805CF6"/>
    <w:rsid w:val="008060DE"/>
    <w:rsid w:val="008062A0"/>
    <w:rsid w:val="00806339"/>
    <w:rsid w:val="008063C3"/>
    <w:rsid w:val="008063F3"/>
    <w:rsid w:val="00806404"/>
    <w:rsid w:val="008065DF"/>
    <w:rsid w:val="008066FF"/>
    <w:rsid w:val="00806816"/>
    <w:rsid w:val="00806834"/>
    <w:rsid w:val="00806D1E"/>
    <w:rsid w:val="00806D9D"/>
    <w:rsid w:val="00806FDF"/>
    <w:rsid w:val="0080702A"/>
    <w:rsid w:val="0080717F"/>
    <w:rsid w:val="0080731D"/>
    <w:rsid w:val="008073F0"/>
    <w:rsid w:val="0080748E"/>
    <w:rsid w:val="00807503"/>
    <w:rsid w:val="0080752F"/>
    <w:rsid w:val="00807620"/>
    <w:rsid w:val="00807869"/>
    <w:rsid w:val="00807886"/>
    <w:rsid w:val="0080799A"/>
    <w:rsid w:val="00807B1B"/>
    <w:rsid w:val="00807D67"/>
    <w:rsid w:val="00807DC2"/>
    <w:rsid w:val="008102D2"/>
    <w:rsid w:val="008103AC"/>
    <w:rsid w:val="0081048F"/>
    <w:rsid w:val="0081091A"/>
    <w:rsid w:val="00810AB2"/>
    <w:rsid w:val="00810C3E"/>
    <w:rsid w:val="00810F0A"/>
    <w:rsid w:val="00811157"/>
    <w:rsid w:val="00811387"/>
    <w:rsid w:val="008113C3"/>
    <w:rsid w:val="008113E4"/>
    <w:rsid w:val="008114CB"/>
    <w:rsid w:val="0081153F"/>
    <w:rsid w:val="00811776"/>
    <w:rsid w:val="00811C4F"/>
    <w:rsid w:val="00811C95"/>
    <w:rsid w:val="00811DA4"/>
    <w:rsid w:val="00811FF4"/>
    <w:rsid w:val="00812121"/>
    <w:rsid w:val="008121DC"/>
    <w:rsid w:val="00812270"/>
    <w:rsid w:val="008123FC"/>
    <w:rsid w:val="008125DE"/>
    <w:rsid w:val="00812640"/>
    <w:rsid w:val="00812721"/>
    <w:rsid w:val="008127AB"/>
    <w:rsid w:val="008128DE"/>
    <w:rsid w:val="00812947"/>
    <w:rsid w:val="00812A98"/>
    <w:rsid w:val="00812ACC"/>
    <w:rsid w:val="00812C8E"/>
    <w:rsid w:val="00812CF3"/>
    <w:rsid w:val="00812E42"/>
    <w:rsid w:val="00812FC5"/>
    <w:rsid w:val="00813407"/>
    <w:rsid w:val="008136C7"/>
    <w:rsid w:val="008136F7"/>
    <w:rsid w:val="00813A66"/>
    <w:rsid w:val="00813E60"/>
    <w:rsid w:val="00813E68"/>
    <w:rsid w:val="00813EE0"/>
    <w:rsid w:val="00813F06"/>
    <w:rsid w:val="0081404B"/>
    <w:rsid w:val="008140C9"/>
    <w:rsid w:val="008140DE"/>
    <w:rsid w:val="00814285"/>
    <w:rsid w:val="008143CC"/>
    <w:rsid w:val="00814443"/>
    <w:rsid w:val="0081444D"/>
    <w:rsid w:val="0081458E"/>
    <w:rsid w:val="0081470A"/>
    <w:rsid w:val="00814719"/>
    <w:rsid w:val="008147D6"/>
    <w:rsid w:val="00814885"/>
    <w:rsid w:val="00814BA1"/>
    <w:rsid w:val="00814D80"/>
    <w:rsid w:val="00814F4C"/>
    <w:rsid w:val="00814FBC"/>
    <w:rsid w:val="008150D3"/>
    <w:rsid w:val="008153D3"/>
    <w:rsid w:val="0081545F"/>
    <w:rsid w:val="008155A8"/>
    <w:rsid w:val="008155CE"/>
    <w:rsid w:val="00815D1D"/>
    <w:rsid w:val="00815D79"/>
    <w:rsid w:val="00815F07"/>
    <w:rsid w:val="0081610F"/>
    <w:rsid w:val="0081624F"/>
    <w:rsid w:val="008162FC"/>
    <w:rsid w:val="008164A5"/>
    <w:rsid w:val="00816518"/>
    <w:rsid w:val="008165DC"/>
    <w:rsid w:val="008167AD"/>
    <w:rsid w:val="00816CB5"/>
    <w:rsid w:val="00816CB9"/>
    <w:rsid w:val="00816D3E"/>
    <w:rsid w:val="00816D4C"/>
    <w:rsid w:val="00816DF9"/>
    <w:rsid w:val="008170AB"/>
    <w:rsid w:val="00817154"/>
    <w:rsid w:val="00817240"/>
    <w:rsid w:val="0081725D"/>
    <w:rsid w:val="00817267"/>
    <w:rsid w:val="008172CC"/>
    <w:rsid w:val="008179CA"/>
    <w:rsid w:val="00817B6C"/>
    <w:rsid w:val="00817C18"/>
    <w:rsid w:val="00817CD9"/>
    <w:rsid w:val="00817D4C"/>
    <w:rsid w:val="00817F33"/>
    <w:rsid w:val="008200B8"/>
    <w:rsid w:val="0082014B"/>
    <w:rsid w:val="00820275"/>
    <w:rsid w:val="008202F2"/>
    <w:rsid w:val="008202F3"/>
    <w:rsid w:val="00820434"/>
    <w:rsid w:val="008204EE"/>
    <w:rsid w:val="008205A6"/>
    <w:rsid w:val="008205FC"/>
    <w:rsid w:val="0082066F"/>
    <w:rsid w:val="00820696"/>
    <w:rsid w:val="0082072F"/>
    <w:rsid w:val="008207B8"/>
    <w:rsid w:val="00820D3A"/>
    <w:rsid w:val="00821076"/>
    <w:rsid w:val="008210CF"/>
    <w:rsid w:val="00821157"/>
    <w:rsid w:val="008213D6"/>
    <w:rsid w:val="0082140D"/>
    <w:rsid w:val="00821513"/>
    <w:rsid w:val="00821563"/>
    <w:rsid w:val="00821645"/>
    <w:rsid w:val="0082167B"/>
    <w:rsid w:val="008217DA"/>
    <w:rsid w:val="00821889"/>
    <w:rsid w:val="008219C5"/>
    <w:rsid w:val="00821BB3"/>
    <w:rsid w:val="00821C3F"/>
    <w:rsid w:val="00821CB8"/>
    <w:rsid w:val="00821CC5"/>
    <w:rsid w:val="00821ED2"/>
    <w:rsid w:val="00821FAB"/>
    <w:rsid w:val="00821FB4"/>
    <w:rsid w:val="008220E0"/>
    <w:rsid w:val="00822138"/>
    <w:rsid w:val="008222E4"/>
    <w:rsid w:val="0082247B"/>
    <w:rsid w:val="008225CF"/>
    <w:rsid w:val="0082262F"/>
    <w:rsid w:val="008226B0"/>
    <w:rsid w:val="0082272A"/>
    <w:rsid w:val="00822BB8"/>
    <w:rsid w:val="00822C00"/>
    <w:rsid w:val="00822F7A"/>
    <w:rsid w:val="0082308C"/>
    <w:rsid w:val="0082311F"/>
    <w:rsid w:val="00823248"/>
    <w:rsid w:val="0082326C"/>
    <w:rsid w:val="00823282"/>
    <w:rsid w:val="008232F0"/>
    <w:rsid w:val="00823315"/>
    <w:rsid w:val="00823474"/>
    <w:rsid w:val="00823547"/>
    <w:rsid w:val="00823632"/>
    <w:rsid w:val="008236AE"/>
    <w:rsid w:val="00823DF7"/>
    <w:rsid w:val="00824390"/>
    <w:rsid w:val="008245B1"/>
    <w:rsid w:val="008246BA"/>
    <w:rsid w:val="008248E1"/>
    <w:rsid w:val="00824A70"/>
    <w:rsid w:val="00824D76"/>
    <w:rsid w:val="00824D8F"/>
    <w:rsid w:val="00824ECF"/>
    <w:rsid w:val="00824EDB"/>
    <w:rsid w:val="00824EE2"/>
    <w:rsid w:val="00824F63"/>
    <w:rsid w:val="00825265"/>
    <w:rsid w:val="00825344"/>
    <w:rsid w:val="008254BD"/>
    <w:rsid w:val="00825581"/>
    <w:rsid w:val="00825588"/>
    <w:rsid w:val="0082566D"/>
    <w:rsid w:val="00825681"/>
    <w:rsid w:val="0082573B"/>
    <w:rsid w:val="00825787"/>
    <w:rsid w:val="00825800"/>
    <w:rsid w:val="00825CE2"/>
    <w:rsid w:val="00825D24"/>
    <w:rsid w:val="00825DDA"/>
    <w:rsid w:val="00825EE1"/>
    <w:rsid w:val="00825F06"/>
    <w:rsid w:val="00825F63"/>
    <w:rsid w:val="00825FBB"/>
    <w:rsid w:val="00826113"/>
    <w:rsid w:val="008262B5"/>
    <w:rsid w:val="00826341"/>
    <w:rsid w:val="008264D2"/>
    <w:rsid w:val="008264ED"/>
    <w:rsid w:val="00826506"/>
    <w:rsid w:val="00826633"/>
    <w:rsid w:val="00826716"/>
    <w:rsid w:val="00826A15"/>
    <w:rsid w:val="00826B55"/>
    <w:rsid w:val="00826D2C"/>
    <w:rsid w:val="00827100"/>
    <w:rsid w:val="00827222"/>
    <w:rsid w:val="00827314"/>
    <w:rsid w:val="00827516"/>
    <w:rsid w:val="00827547"/>
    <w:rsid w:val="008278A2"/>
    <w:rsid w:val="00827AEB"/>
    <w:rsid w:val="00830311"/>
    <w:rsid w:val="008308DE"/>
    <w:rsid w:val="00830910"/>
    <w:rsid w:val="0083099D"/>
    <w:rsid w:val="00830A05"/>
    <w:rsid w:val="00830A31"/>
    <w:rsid w:val="00830C4A"/>
    <w:rsid w:val="00830EF7"/>
    <w:rsid w:val="00831022"/>
    <w:rsid w:val="008310C1"/>
    <w:rsid w:val="008311CD"/>
    <w:rsid w:val="008311FB"/>
    <w:rsid w:val="0083121C"/>
    <w:rsid w:val="0083135A"/>
    <w:rsid w:val="008314EF"/>
    <w:rsid w:val="008314F2"/>
    <w:rsid w:val="008316B8"/>
    <w:rsid w:val="008317EF"/>
    <w:rsid w:val="0083180B"/>
    <w:rsid w:val="00831908"/>
    <w:rsid w:val="0083190E"/>
    <w:rsid w:val="00831A98"/>
    <w:rsid w:val="00831BAA"/>
    <w:rsid w:val="00831BC9"/>
    <w:rsid w:val="00831C77"/>
    <w:rsid w:val="00831C98"/>
    <w:rsid w:val="00831D85"/>
    <w:rsid w:val="00831F8E"/>
    <w:rsid w:val="00831FA1"/>
    <w:rsid w:val="00832214"/>
    <w:rsid w:val="00832377"/>
    <w:rsid w:val="008323A5"/>
    <w:rsid w:val="008323C1"/>
    <w:rsid w:val="008324CC"/>
    <w:rsid w:val="008324E7"/>
    <w:rsid w:val="00832742"/>
    <w:rsid w:val="0083284D"/>
    <w:rsid w:val="00832CF4"/>
    <w:rsid w:val="00832DBF"/>
    <w:rsid w:val="00832DE0"/>
    <w:rsid w:val="00832ED3"/>
    <w:rsid w:val="00832EDC"/>
    <w:rsid w:val="00832EF0"/>
    <w:rsid w:val="00832F62"/>
    <w:rsid w:val="00833056"/>
    <w:rsid w:val="0083319D"/>
    <w:rsid w:val="00833255"/>
    <w:rsid w:val="00833482"/>
    <w:rsid w:val="008334F3"/>
    <w:rsid w:val="008335CB"/>
    <w:rsid w:val="008336DC"/>
    <w:rsid w:val="0083370D"/>
    <w:rsid w:val="0083377E"/>
    <w:rsid w:val="008337D6"/>
    <w:rsid w:val="0083392F"/>
    <w:rsid w:val="00833CBB"/>
    <w:rsid w:val="00833CE1"/>
    <w:rsid w:val="00834080"/>
    <w:rsid w:val="008341BE"/>
    <w:rsid w:val="0083430C"/>
    <w:rsid w:val="0083436D"/>
    <w:rsid w:val="008343B3"/>
    <w:rsid w:val="00834400"/>
    <w:rsid w:val="00834482"/>
    <w:rsid w:val="0083467A"/>
    <w:rsid w:val="0083494D"/>
    <w:rsid w:val="008349B4"/>
    <w:rsid w:val="00834A1B"/>
    <w:rsid w:val="00834A8E"/>
    <w:rsid w:val="00834C65"/>
    <w:rsid w:val="00834DEB"/>
    <w:rsid w:val="00834F79"/>
    <w:rsid w:val="00835091"/>
    <w:rsid w:val="0083513A"/>
    <w:rsid w:val="00835154"/>
    <w:rsid w:val="008351F2"/>
    <w:rsid w:val="008352CF"/>
    <w:rsid w:val="00835331"/>
    <w:rsid w:val="0083543E"/>
    <w:rsid w:val="008356E2"/>
    <w:rsid w:val="00835727"/>
    <w:rsid w:val="00835AFD"/>
    <w:rsid w:val="00835B7E"/>
    <w:rsid w:val="00835FFA"/>
    <w:rsid w:val="00836089"/>
    <w:rsid w:val="00836225"/>
    <w:rsid w:val="00836378"/>
    <w:rsid w:val="00836385"/>
    <w:rsid w:val="0083643A"/>
    <w:rsid w:val="008364D5"/>
    <w:rsid w:val="0083655D"/>
    <w:rsid w:val="0083668E"/>
    <w:rsid w:val="00836853"/>
    <w:rsid w:val="00836F3E"/>
    <w:rsid w:val="0083700A"/>
    <w:rsid w:val="008370BC"/>
    <w:rsid w:val="008370F8"/>
    <w:rsid w:val="008372A2"/>
    <w:rsid w:val="008373A9"/>
    <w:rsid w:val="00837527"/>
    <w:rsid w:val="0083763A"/>
    <w:rsid w:val="0083776A"/>
    <w:rsid w:val="0083786E"/>
    <w:rsid w:val="0083791E"/>
    <w:rsid w:val="00837AAD"/>
    <w:rsid w:val="00837C00"/>
    <w:rsid w:val="00837E5F"/>
    <w:rsid w:val="00840100"/>
    <w:rsid w:val="00840165"/>
    <w:rsid w:val="00840303"/>
    <w:rsid w:val="0084036D"/>
    <w:rsid w:val="00840372"/>
    <w:rsid w:val="008405CB"/>
    <w:rsid w:val="008406D1"/>
    <w:rsid w:val="00840705"/>
    <w:rsid w:val="00840892"/>
    <w:rsid w:val="008408CB"/>
    <w:rsid w:val="008409BC"/>
    <w:rsid w:val="00840C63"/>
    <w:rsid w:val="00840CAC"/>
    <w:rsid w:val="00840CEB"/>
    <w:rsid w:val="00840CF7"/>
    <w:rsid w:val="00840D59"/>
    <w:rsid w:val="00840D63"/>
    <w:rsid w:val="008412B2"/>
    <w:rsid w:val="0084138E"/>
    <w:rsid w:val="0084144E"/>
    <w:rsid w:val="008414FD"/>
    <w:rsid w:val="00841529"/>
    <w:rsid w:val="0084186A"/>
    <w:rsid w:val="0084190D"/>
    <w:rsid w:val="00841986"/>
    <w:rsid w:val="008419B9"/>
    <w:rsid w:val="00841E61"/>
    <w:rsid w:val="008425AC"/>
    <w:rsid w:val="008426A1"/>
    <w:rsid w:val="008428BC"/>
    <w:rsid w:val="008428FF"/>
    <w:rsid w:val="00842A4B"/>
    <w:rsid w:val="00842B3C"/>
    <w:rsid w:val="00842C26"/>
    <w:rsid w:val="00842E1A"/>
    <w:rsid w:val="00842E9E"/>
    <w:rsid w:val="00842EEC"/>
    <w:rsid w:val="00842F11"/>
    <w:rsid w:val="00843054"/>
    <w:rsid w:val="00843147"/>
    <w:rsid w:val="00843277"/>
    <w:rsid w:val="0084339B"/>
    <w:rsid w:val="008436D4"/>
    <w:rsid w:val="00843BC2"/>
    <w:rsid w:val="00843BC3"/>
    <w:rsid w:val="00843BE4"/>
    <w:rsid w:val="00843DFA"/>
    <w:rsid w:val="00843F5E"/>
    <w:rsid w:val="00843F9C"/>
    <w:rsid w:val="008441F4"/>
    <w:rsid w:val="00844204"/>
    <w:rsid w:val="00844459"/>
    <w:rsid w:val="00844537"/>
    <w:rsid w:val="008445EE"/>
    <w:rsid w:val="008448F1"/>
    <w:rsid w:val="00844A76"/>
    <w:rsid w:val="00844ED0"/>
    <w:rsid w:val="00844FA8"/>
    <w:rsid w:val="00845012"/>
    <w:rsid w:val="008451E0"/>
    <w:rsid w:val="00845219"/>
    <w:rsid w:val="00845249"/>
    <w:rsid w:val="008452AB"/>
    <w:rsid w:val="008454C9"/>
    <w:rsid w:val="008455F1"/>
    <w:rsid w:val="008456A0"/>
    <w:rsid w:val="0084583C"/>
    <w:rsid w:val="00845987"/>
    <w:rsid w:val="00845B31"/>
    <w:rsid w:val="00845D6D"/>
    <w:rsid w:val="00845E09"/>
    <w:rsid w:val="00845E49"/>
    <w:rsid w:val="00845FD2"/>
    <w:rsid w:val="00846046"/>
    <w:rsid w:val="00846195"/>
    <w:rsid w:val="008461DF"/>
    <w:rsid w:val="0084635C"/>
    <w:rsid w:val="008463D3"/>
    <w:rsid w:val="008463FB"/>
    <w:rsid w:val="0084654B"/>
    <w:rsid w:val="00846808"/>
    <w:rsid w:val="0084688A"/>
    <w:rsid w:val="008468F1"/>
    <w:rsid w:val="00846951"/>
    <w:rsid w:val="0084698D"/>
    <w:rsid w:val="008469AB"/>
    <w:rsid w:val="008469EB"/>
    <w:rsid w:val="00846A94"/>
    <w:rsid w:val="00846ACC"/>
    <w:rsid w:val="00846BE2"/>
    <w:rsid w:val="00846EB2"/>
    <w:rsid w:val="00846ED1"/>
    <w:rsid w:val="00846FD5"/>
    <w:rsid w:val="008470E5"/>
    <w:rsid w:val="00847247"/>
    <w:rsid w:val="00847331"/>
    <w:rsid w:val="00847810"/>
    <w:rsid w:val="00847B26"/>
    <w:rsid w:val="00847D0B"/>
    <w:rsid w:val="00847EBD"/>
    <w:rsid w:val="00847EFE"/>
    <w:rsid w:val="00847FC2"/>
    <w:rsid w:val="008501E7"/>
    <w:rsid w:val="0085031A"/>
    <w:rsid w:val="00850336"/>
    <w:rsid w:val="0085036E"/>
    <w:rsid w:val="00850383"/>
    <w:rsid w:val="0085038F"/>
    <w:rsid w:val="00850483"/>
    <w:rsid w:val="008506C1"/>
    <w:rsid w:val="0085077E"/>
    <w:rsid w:val="008509DE"/>
    <w:rsid w:val="008509E0"/>
    <w:rsid w:val="00850AF7"/>
    <w:rsid w:val="00850B5E"/>
    <w:rsid w:val="00850D67"/>
    <w:rsid w:val="00850EE7"/>
    <w:rsid w:val="00850F07"/>
    <w:rsid w:val="00850F49"/>
    <w:rsid w:val="008510BC"/>
    <w:rsid w:val="00851127"/>
    <w:rsid w:val="008511FD"/>
    <w:rsid w:val="00851272"/>
    <w:rsid w:val="00851404"/>
    <w:rsid w:val="00851422"/>
    <w:rsid w:val="008516E7"/>
    <w:rsid w:val="0085183E"/>
    <w:rsid w:val="00851919"/>
    <w:rsid w:val="00851A8F"/>
    <w:rsid w:val="00851AFB"/>
    <w:rsid w:val="00851CBB"/>
    <w:rsid w:val="00851D7B"/>
    <w:rsid w:val="00851F68"/>
    <w:rsid w:val="00851FBB"/>
    <w:rsid w:val="0085201B"/>
    <w:rsid w:val="0085211B"/>
    <w:rsid w:val="008521A8"/>
    <w:rsid w:val="008521B4"/>
    <w:rsid w:val="00852659"/>
    <w:rsid w:val="00852827"/>
    <w:rsid w:val="00852C52"/>
    <w:rsid w:val="00852D9C"/>
    <w:rsid w:val="00852F2C"/>
    <w:rsid w:val="00852FC7"/>
    <w:rsid w:val="00853135"/>
    <w:rsid w:val="00853168"/>
    <w:rsid w:val="00853398"/>
    <w:rsid w:val="008536EA"/>
    <w:rsid w:val="00853859"/>
    <w:rsid w:val="008539C3"/>
    <w:rsid w:val="008539CC"/>
    <w:rsid w:val="00853A31"/>
    <w:rsid w:val="00853BC0"/>
    <w:rsid w:val="00853BCF"/>
    <w:rsid w:val="00853C69"/>
    <w:rsid w:val="00853E09"/>
    <w:rsid w:val="00853F28"/>
    <w:rsid w:val="00853F93"/>
    <w:rsid w:val="008541CB"/>
    <w:rsid w:val="0085429C"/>
    <w:rsid w:val="008542FF"/>
    <w:rsid w:val="00854467"/>
    <w:rsid w:val="00854626"/>
    <w:rsid w:val="0085466E"/>
    <w:rsid w:val="0085480B"/>
    <w:rsid w:val="0085490A"/>
    <w:rsid w:val="00854BEF"/>
    <w:rsid w:val="00854C61"/>
    <w:rsid w:val="00854C72"/>
    <w:rsid w:val="00854DD8"/>
    <w:rsid w:val="00854FF8"/>
    <w:rsid w:val="008550CC"/>
    <w:rsid w:val="00855317"/>
    <w:rsid w:val="008554FA"/>
    <w:rsid w:val="00855578"/>
    <w:rsid w:val="00855591"/>
    <w:rsid w:val="00855849"/>
    <w:rsid w:val="0085587C"/>
    <w:rsid w:val="008558F1"/>
    <w:rsid w:val="00855A61"/>
    <w:rsid w:val="00855AAC"/>
    <w:rsid w:val="00855AEE"/>
    <w:rsid w:val="00855B30"/>
    <w:rsid w:val="00855C11"/>
    <w:rsid w:val="00855DE7"/>
    <w:rsid w:val="00855E84"/>
    <w:rsid w:val="00855ED1"/>
    <w:rsid w:val="00855EF6"/>
    <w:rsid w:val="00855FA8"/>
    <w:rsid w:val="00855FAC"/>
    <w:rsid w:val="0085606C"/>
    <w:rsid w:val="0085639E"/>
    <w:rsid w:val="008564F8"/>
    <w:rsid w:val="00856602"/>
    <w:rsid w:val="0085663B"/>
    <w:rsid w:val="00856714"/>
    <w:rsid w:val="0085682E"/>
    <w:rsid w:val="0085684B"/>
    <w:rsid w:val="00856A70"/>
    <w:rsid w:val="00856ABC"/>
    <w:rsid w:val="00856BA7"/>
    <w:rsid w:val="00856E1B"/>
    <w:rsid w:val="00856EB2"/>
    <w:rsid w:val="00856EC8"/>
    <w:rsid w:val="00856F3F"/>
    <w:rsid w:val="00856F6F"/>
    <w:rsid w:val="0085710D"/>
    <w:rsid w:val="00857133"/>
    <w:rsid w:val="00857202"/>
    <w:rsid w:val="00857209"/>
    <w:rsid w:val="00857271"/>
    <w:rsid w:val="008572BC"/>
    <w:rsid w:val="0085777F"/>
    <w:rsid w:val="00857947"/>
    <w:rsid w:val="00857C35"/>
    <w:rsid w:val="00857D00"/>
    <w:rsid w:val="00857FE2"/>
    <w:rsid w:val="00860042"/>
    <w:rsid w:val="00860479"/>
    <w:rsid w:val="00860543"/>
    <w:rsid w:val="0086056D"/>
    <w:rsid w:val="008606D0"/>
    <w:rsid w:val="008607B8"/>
    <w:rsid w:val="00860841"/>
    <w:rsid w:val="008608CF"/>
    <w:rsid w:val="008609C1"/>
    <w:rsid w:val="00860A05"/>
    <w:rsid w:val="00860A39"/>
    <w:rsid w:val="00860E0A"/>
    <w:rsid w:val="00860FC9"/>
    <w:rsid w:val="008610F7"/>
    <w:rsid w:val="0086133B"/>
    <w:rsid w:val="00861453"/>
    <w:rsid w:val="008616CD"/>
    <w:rsid w:val="008617AB"/>
    <w:rsid w:val="00861917"/>
    <w:rsid w:val="00861A64"/>
    <w:rsid w:val="00861C74"/>
    <w:rsid w:val="00861D44"/>
    <w:rsid w:val="00861F1A"/>
    <w:rsid w:val="00861F9D"/>
    <w:rsid w:val="0086221E"/>
    <w:rsid w:val="00862263"/>
    <w:rsid w:val="00862331"/>
    <w:rsid w:val="00862358"/>
    <w:rsid w:val="0086250D"/>
    <w:rsid w:val="0086256C"/>
    <w:rsid w:val="008627D0"/>
    <w:rsid w:val="0086292E"/>
    <w:rsid w:val="0086297E"/>
    <w:rsid w:val="00862AA9"/>
    <w:rsid w:val="00862AF0"/>
    <w:rsid w:val="00862B47"/>
    <w:rsid w:val="00862CEA"/>
    <w:rsid w:val="00862D8A"/>
    <w:rsid w:val="0086300F"/>
    <w:rsid w:val="008630D1"/>
    <w:rsid w:val="00863105"/>
    <w:rsid w:val="0086316E"/>
    <w:rsid w:val="00863213"/>
    <w:rsid w:val="00863277"/>
    <w:rsid w:val="0086361C"/>
    <w:rsid w:val="00863A11"/>
    <w:rsid w:val="00863A54"/>
    <w:rsid w:val="00863B1C"/>
    <w:rsid w:val="00863C79"/>
    <w:rsid w:val="00863D80"/>
    <w:rsid w:val="00863E1B"/>
    <w:rsid w:val="00863E79"/>
    <w:rsid w:val="00863F4A"/>
    <w:rsid w:val="0086463F"/>
    <w:rsid w:val="0086464A"/>
    <w:rsid w:val="00864679"/>
    <w:rsid w:val="008646B6"/>
    <w:rsid w:val="008647A4"/>
    <w:rsid w:val="008647F1"/>
    <w:rsid w:val="0086492A"/>
    <w:rsid w:val="00864982"/>
    <w:rsid w:val="00864B22"/>
    <w:rsid w:val="00864D66"/>
    <w:rsid w:val="00864E66"/>
    <w:rsid w:val="00864FC1"/>
    <w:rsid w:val="008651FD"/>
    <w:rsid w:val="0086521C"/>
    <w:rsid w:val="0086522B"/>
    <w:rsid w:val="00865292"/>
    <w:rsid w:val="008656BE"/>
    <w:rsid w:val="008656F1"/>
    <w:rsid w:val="008658FC"/>
    <w:rsid w:val="008659CF"/>
    <w:rsid w:val="00865AEE"/>
    <w:rsid w:val="00865BC6"/>
    <w:rsid w:val="00865D2B"/>
    <w:rsid w:val="00865D35"/>
    <w:rsid w:val="00865F7A"/>
    <w:rsid w:val="00866053"/>
    <w:rsid w:val="00866362"/>
    <w:rsid w:val="00866451"/>
    <w:rsid w:val="0086645C"/>
    <w:rsid w:val="008664C2"/>
    <w:rsid w:val="00866573"/>
    <w:rsid w:val="0086660D"/>
    <w:rsid w:val="00866661"/>
    <w:rsid w:val="0086679F"/>
    <w:rsid w:val="008668A7"/>
    <w:rsid w:val="0086694E"/>
    <w:rsid w:val="00866970"/>
    <w:rsid w:val="008669A1"/>
    <w:rsid w:val="00866A0A"/>
    <w:rsid w:val="00866ACB"/>
    <w:rsid w:val="00866C63"/>
    <w:rsid w:val="00866D58"/>
    <w:rsid w:val="00866E0B"/>
    <w:rsid w:val="00866ED3"/>
    <w:rsid w:val="00867064"/>
    <w:rsid w:val="00867188"/>
    <w:rsid w:val="008673B4"/>
    <w:rsid w:val="008673BC"/>
    <w:rsid w:val="0086741B"/>
    <w:rsid w:val="0086750F"/>
    <w:rsid w:val="00867565"/>
    <w:rsid w:val="00867572"/>
    <w:rsid w:val="00867700"/>
    <w:rsid w:val="00867794"/>
    <w:rsid w:val="00867807"/>
    <w:rsid w:val="008678D0"/>
    <w:rsid w:val="0086797B"/>
    <w:rsid w:val="00867AED"/>
    <w:rsid w:val="00867B1B"/>
    <w:rsid w:val="00867B36"/>
    <w:rsid w:val="00867CD9"/>
    <w:rsid w:val="00867D5A"/>
    <w:rsid w:val="00867E3D"/>
    <w:rsid w:val="00867E5B"/>
    <w:rsid w:val="008700FE"/>
    <w:rsid w:val="00870120"/>
    <w:rsid w:val="00870291"/>
    <w:rsid w:val="008702BB"/>
    <w:rsid w:val="00870402"/>
    <w:rsid w:val="008705B8"/>
    <w:rsid w:val="008705BD"/>
    <w:rsid w:val="00870751"/>
    <w:rsid w:val="0087098B"/>
    <w:rsid w:val="00870B40"/>
    <w:rsid w:val="00870D53"/>
    <w:rsid w:val="00871193"/>
    <w:rsid w:val="008711E7"/>
    <w:rsid w:val="0087144D"/>
    <w:rsid w:val="008714A8"/>
    <w:rsid w:val="008715AB"/>
    <w:rsid w:val="0087173D"/>
    <w:rsid w:val="00871BBE"/>
    <w:rsid w:val="00871E26"/>
    <w:rsid w:val="00871E8B"/>
    <w:rsid w:val="00871EC9"/>
    <w:rsid w:val="0087213A"/>
    <w:rsid w:val="0087226F"/>
    <w:rsid w:val="00872352"/>
    <w:rsid w:val="0087239D"/>
    <w:rsid w:val="008723E3"/>
    <w:rsid w:val="008728E0"/>
    <w:rsid w:val="008728F8"/>
    <w:rsid w:val="00872A15"/>
    <w:rsid w:val="00872B65"/>
    <w:rsid w:val="00872B70"/>
    <w:rsid w:val="00872C26"/>
    <w:rsid w:val="00872D67"/>
    <w:rsid w:val="00872DF7"/>
    <w:rsid w:val="00872E40"/>
    <w:rsid w:val="00872F7E"/>
    <w:rsid w:val="0087313B"/>
    <w:rsid w:val="008732B4"/>
    <w:rsid w:val="008733DE"/>
    <w:rsid w:val="00873739"/>
    <w:rsid w:val="0087398E"/>
    <w:rsid w:val="00873ACC"/>
    <w:rsid w:val="00873B58"/>
    <w:rsid w:val="00873B8E"/>
    <w:rsid w:val="00873CEC"/>
    <w:rsid w:val="00873E8C"/>
    <w:rsid w:val="00873F12"/>
    <w:rsid w:val="00873FF8"/>
    <w:rsid w:val="008741E7"/>
    <w:rsid w:val="00874376"/>
    <w:rsid w:val="0087450E"/>
    <w:rsid w:val="008745AD"/>
    <w:rsid w:val="008745D9"/>
    <w:rsid w:val="008749C0"/>
    <w:rsid w:val="00874B84"/>
    <w:rsid w:val="00874BC2"/>
    <w:rsid w:val="00874D2B"/>
    <w:rsid w:val="00874E3E"/>
    <w:rsid w:val="00874F76"/>
    <w:rsid w:val="0087500B"/>
    <w:rsid w:val="008752C1"/>
    <w:rsid w:val="00875397"/>
    <w:rsid w:val="008754E5"/>
    <w:rsid w:val="0087559E"/>
    <w:rsid w:val="008755E5"/>
    <w:rsid w:val="008756E7"/>
    <w:rsid w:val="00875708"/>
    <w:rsid w:val="008757AB"/>
    <w:rsid w:val="008757DE"/>
    <w:rsid w:val="008757E1"/>
    <w:rsid w:val="008759CA"/>
    <w:rsid w:val="00875A41"/>
    <w:rsid w:val="00875A4C"/>
    <w:rsid w:val="00875DE8"/>
    <w:rsid w:val="00875DEB"/>
    <w:rsid w:val="00875EAC"/>
    <w:rsid w:val="00876149"/>
    <w:rsid w:val="0087642C"/>
    <w:rsid w:val="008765B1"/>
    <w:rsid w:val="00876633"/>
    <w:rsid w:val="0087664C"/>
    <w:rsid w:val="0087671C"/>
    <w:rsid w:val="00876B44"/>
    <w:rsid w:val="00876B9A"/>
    <w:rsid w:val="00876C4F"/>
    <w:rsid w:val="00876C5F"/>
    <w:rsid w:val="00876D48"/>
    <w:rsid w:val="00876D74"/>
    <w:rsid w:val="00876F84"/>
    <w:rsid w:val="008773C5"/>
    <w:rsid w:val="008777A8"/>
    <w:rsid w:val="00877AA6"/>
    <w:rsid w:val="00877AED"/>
    <w:rsid w:val="00877BED"/>
    <w:rsid w:val="00877C78"/>
    <w:rsid w:val="00877D5C"/>
    <w:rsid w:val="00877D70"/>
    <w:rsid w:val="00877E9E"/>
    <w:rsid w:val="00877EF0"/>
    <w:rsid w:val="0088007E"/>
    <w:rsid w:val="00880414"/>
    <w:rsid w:val="008804B1"/>
    <w:rsid w:val="008804B7"/>
    <w:rsid w:val="00880611"/>
    <w:rsid w:val="00880780"/>
    <w:rsid w:val="00880B97"/>
    <w:rsid w:val="00880CB3"/>
    <w:rsid w:val="00880CC7"/>
    <w:rsid w:val="00880D1F"/>
    <w:rsid w:val="00880E97"/>
    <w:rsid w:val="00880F06"/>
    <w:rsid w:val="00881160"/>
    <w:rsid w:val="0088170A"/>
    <w:rsid w:val="008817C5"/>
    <w:rsid w:val="00881A1D"/>
    <w:rsid w:val="00881A61"/>
    <w:rsid w:val="00881ABE"/>
    <w:rsid w:val="00881E3F"/>
    <w:rsid w:val="00881EC0"/>
    <w:rsid w:val="00881F17"/>
    <w:rsid w:val="00882040"/>
    <w:rsid w:val="00882125"/>
    <w:rsid w:val="008821A1"/>
    <w:rsid w:val="00882461"/>
    <w:rsid w:val="00882819"/>
    <w:rsid w:val="008828C0"/>
    <w:rsid w:val="00882AE6"/>
    <w:rsid w:val="00882CDA"/>
    <w:rsid w:val="00883390"/>
    <w:rsid w:val="008833E9"/>
    <w:rsid w:val="00883426"/>
    <w:rsid w:val="008836C6"/>
    <w:rsid w:val="00883B75"/>
    <w:rsid w:val="00883C46"/>
    <w:rsid w:val="00883C6B"/>
    <w:rsid w:val="00883E4D"/>
    <w:rsid w:val="00883ECD"/>
    <w:rsid w:val="00883F73"/>
    <w:rsid w:val="00883F93"/>
    <w:rsid w:val="0088407E"/>
    <w:rsid w:val="00884086"/>
    <w:rsid w:val="008840D6"/>
    <w:rsid w:val="00884233"/>
    <w:rsid w:val="008843DB"/>
    <w:rsid w:val="0088444F"/>
    <w:rsid w:val="0088448D"/>
    <w:rsid w:val="008844B0"/>
    <w:rsid w:val="0088450C"/>
    <w:rsid w:val="008845CC"/>
    <w:rsid w:val="0088469A"/>
    <w:rsid w:val="008846C7"/>
    <w:rsid w:val="0088475B"/>
    <w:rsid w:val="008847F1"/>
    <w:rsid w:val="008847F9"/>
    <w:rsid w:val="008848A4"/>
    <w:rsid w:val="0088492D"/>
    <w:rsid w:val="00884B1F"/>
    <w:rsid w:val="00884D01"/>
    <w:rsid w:val="00884D63"/>
    <w:rsid w:val="00884D8F"/>
    <w:rsid w:val="00884DA8"/>
    <w:rsid w:val="00884F06"/>
    <w:rsid w:val="0088534E"/>
    <w:rsid w:val="00885369"/>
    <w:rsid w:val="008853B0"/>
    <w:rsid w:val="00885458"/>
    <w:rsid w:val="008854D1"/>
    <w:rsid w:val="0088551F"/>
    <w:rsid w:val="008855BD"/>
    <w:rsid w:val="00885679"/>
    <w:rsid w:val="0088573B"/>
    <w:rsid w:val="0088583B"/>
    <w:rsid w:val="00885885"/>
    <w:rsid w:val="00885958"/>
    <w:rsid w:val="00885AB5"/>
    <w:rsid w:val="00885BE4"/>
    <w:rsid w:val="00885D68"/>
    <w:rsid w:val="00885E08"/>
    <w:rsid w:val="00886056"/>
    <w:rsid w:val="008862F5"/>
    <w:rsid w:val="00886322"/>
    <w:rsid w:val="008864B8"/>
    <w:rsid w:val="008865CA"/>
    <w:rsid w:val="00886610"/>
    <w:rsid w:val="00886A75"/>
    <w:rsid w:val="00886A9D"/>
    <w:rsid w:val="00886B82"/>
    <w:rsid w:val="00886C0E"/>
    <w:rsid w:val="00886DFA"/>
    <w:rsid w:val="00886E94"/>
    <w:rsid w:val="00886EA7"/>
    <w:rsid w:val="00886F22"/>
    <w:rsid w:val="008870AC"/>
    <w:rsid w:val="0088713B"/>
    <w:rsid w:val="00887163"/>
    <w:rsid w:val="008872E1"/>
    <w:rsid w:val="0088736A"/>
    <w:rsid w:val="008873B3"/>
    <w:rsid w:val="00887484"/>
    <w:rsid w:val="008876AA"/>
    <w:rsid w:val="00887776"/>
    <w:rsid w:val="00887836"/>
    <w:rsid w:val="008878D5"/>
    <w:rsid w:val="008879C8"/>
    <w:rsid w:val="00887AB8"/>
    <w:rsid w:val="00887F44"/>
    <w:rsid w:val="00887FDD"/>
    <w:rsid w:val="008901CA"/>
    <w:rsid w:val="008901FB"/>
    <w:rsid w:val="00890239"/>
    <w:rsid w:val="00890255"/>
    <w:rsid w:val="0089031F"/>
    <w:rsid w:val="0089051A"/>
    <w:rsid w:val="008906FE"/>
    <w:rsid w:val="00890821"/>
    <w:rsid w:val="00890888"/>
    <w:rsid w:val="008908A0"/>
    <w:rsid w:val="00890A64"/>
    <w:rsid w:val="00890ACE"/>
    <w:rsid w:val="00890BC5"/>
    <w:rsid w:val="008911D6"/>
    <w:rsid w:val="008911FF"/>
    <w:rsid w:val="008914A1"/>
    <w:rsid w:val="00891753"/>
    <w:rsid w:val="00891840"/>
    <w:rsid w:val="00891B5A"/>
    <w:rsid w:val="00891EEF"/>
    <w:rsid w:val="00891FBA"/>
    <w:rsid w:val="0089216B"/>
    <w:rsid w:val="00892229"/>
    <w:rsid w:val="0089225E"/>
    <w:rsid w:val="00892385"/>
    <w:rsid w:val="008924B9"/>
    <w:rsid w:val="008924C7"/>
    <w:rsid w:val="008924E3"/>
    <w:rsid w:val="0089263E"/>
    <w:rsid w:val="00892673"/>
    <w:rsid w:val="008926BF"/>
    <w:rsid w:val="00892992"/>
    <w:rsid w:val="00892A16"/>
    <w:rsid w:val="00892A85"/>
    <w:rsid w:val="00892C1E"/>
    <w:rsid w:val="0089312C"/>
    <w:rsid w:val="008931C0"/>
    <w:rsid w:val="00893258"/>
    <w:rsid w:val="0089333A"/>
    <w:rsid w:val="00893410"/>
    <w:rsid w:val="00893782"/>
    <w:rsid w:val="00893D8E"/>
    <w:rsid w:val="00893EC4"/>
    <w:rsid w:val="008943AE"/>
    <w:rsid w:val="00894414"/>
    <w:rsid w:val="00894454"/>
    <w:rsid w:val="0089458A"/>
    <w:rsid w:val="008946A9"/>
    <w:rsid w:val="00894728"/>
    <w:rsid w:val="00894745"/>
    <w:rsid w:val="00894ACF"/>
    <w:rsid w:val="00894ADC"/>
    <w:rsid w:val="00894BD9"/>
    <w:rsid w:val="00894CD0"/>
    <w:rsid w:val="00894CE0"/>
    <w:rsid w:val="00894D91"/>
    <w:rsid w:val="00894E08"/>
    <w:rsid w:val="00894E1B"/>
    <w:rsid w:val="00894EE3"/>
    <w:rsid w:val="00894EF4"/>
    <w:rsid w:val="00894F7B"/>
    <w:rsid w:val="008953F2"/>
    <w:rsid w:val="0089551F"/>
    <w:rsid w:val="00895569"/>
    <w:rsid w:val="008959E7"/>
    <w:rsid w:val="00895A67"/>
    <w:rsid w:val="00895C9C"/>
    <w:rsid w:val="00895D4B"/>
    <w:rsid w:val="00895EB0"/>
    <w:rsid w:val="00895F09"/>
    <w:rsid w:val="00895FC4"/>
    <w:rsid w:val="00896310"/>
    <w:rsid w:val="00896483"/>
    <w:rsid w:val="0089658B"/>
    <w:rsid w:val="00896629"/>
    <w:rsid w:val="0089664B"/>
    <w:rsid w:val="008966A4"/>
    <w:rsid w:val="0089676F"/>
    <w:rsid w:val="00896839"/>
    <w:rsid w:val="00896985"/>
    <w:rsid w:val="00896A2A"/>
    <w:rsid w:val="00896A57"/>
    <w:rsid w:val="00896C79"/>
    <w:rsid w:val="00896CF2"/>
    <w:rsid w:val="00897048"/>
    <w:rsid w:val="008970D9"/>
    <w:rsid w:val="008971B2"/>
    <w:rsid w:val="00897520"/>
    <w:rsid w:val="0089761B"/>
    <w:rsid w:val="00897627"/>
    <w:rsid w:val="00897656"/>
    <w:rsid w:val="0089766D"/>
    <w:rsid w:val="00897726"/>
    <w:rsid w:val="00897A78"/>
    <w:rsid w:val="00897B3F"/>
    <w:rsid w:val="00897FFE"/>
    <w:rsid w:val="008A002C"/>
    <w:rsid w:val="008A01E6"/>
    <w:rsid w:val="008A01E8"/>
    <w:rsid w:val="008A025F"/>
    <w:rsid w:val="008A0284"/>
    <w:rsid w:val="008A05D2"/>
    <w:rsid w:val="008A05EB"/>
    <w:rsid w:val="008A0691"/>
    <w:rsid w:val="008A07C0"/>
    <w:rsid w:val="008A07C5"/>
    <w:rsid w:val="008A0A46"/>
    <w:rsid w:val="008A0B3D"/>
    <w:rsid w:val="008A0D25"/>
    <w:rsid w:val="008A10E9"/>
    <w:rsid w:val="008A1245"/>
    <w:rsid w:val="008A13BD"/>
    <w:rsid w:val="008A148D"/>
    <w:rsid w:val="008A151B"/>
    <w:rsid w:val="008A1606"/>
    <w:rsid w:val="008A167A"/>
    <w:rsid w:val="008A179D"/>
    <w:rsid w:val="008A1A1F"/>
    <w:rsid w:val="008A1C44"/>
    <w:rsid w:val="008A1C7B"/>
    <w:rsid w:val="008A1C8A"/>
    <w:rsid w:val="008A1DA3"/>
    <w:rsid w:val="008A1E35"/>
    <w:rsid w:val="008A1EF6"/>
    <w:rsid w:val="008A22C2"/>
    <w:rsid w:val="008A2622"/>
    <w:rsid w:val="008A2694"/>
    <w:rsid w:val="008A26F0"/>
    <w:rsid w:val="008A2748"/>
    <w:rsid w:val="008A27CD"/>
    <w:rsid w:val="008A2927"/>
    <w:rsid w:val="008A292F"/>
    <w:rsid w:val="008A2B6F"/>
    <w:rsid w:val="008A2CAC"/>
    <w:rsid w:val="008A2CEA"/>
    <w:rsid w:val="008A2D8C"/>
    <w:rsid w:val="008A2DB8"/>
    <w:rsid w:val="008A3044"/>
    <w:rsid w:val="008A30A6"/>
    <w:rsid w:val="008A32CC"/>
    <w:rsid w:val="008A3360"/>
    <w:rsid w:val="008A34A1"/>
    <w:rsid w:val="008A3504"/>
    <w:rsid w:val="008A3521"/>
    <w:rsid w:val="008A35FD"/>
    <w:rsid w:val="008A3701"/>
    <w:rsid w:val="008A382D"/>
    <w:rsid w:val="008A392E"/>
    <w:rsid w:val="008A3AC5"/>
    <w:rsid w:val="008A3B95"/>
    <w:rsid w:val="008A3C8C"/>
    <w:rsid w:val="008A3D03"/>
    <w:rsid w:val="008A3D96"/>
    <w:rsid w:val="008A3FA7"/>
    <w:rsid w:val="008A3FAC"/>
    <w:rsid w:val="008A3FF5"/>
    <w:rsid w:val="008A401D"/>
    <w:rsid w:val="008A456D"/>
    <w:rsid w:val="008A47D7"/>
    <w:rsid w:val="008A4984"/>
    <w:rsid w:val="008A4B3C"/>
    <w:rsid w:val="008A4E1D"/>
    <w:rsid w:val="008A536C"/>
    <w:rsid w:val="008A572B"/>
    <w:rsid w:val="008A572E"/>
    <w:rsid w:val="008A5774"/>
    <w:rsid w:val="008A5861"/>
    <w:rsid w:val="008A5B49"/>
    <w:rsid w:val="008A5CA4"/>
    <w:rsid w:val="008A5F91"/>
    <w:rsid w:val="008A62A4"/>
    <w:rsid w:val="008A6430"/>
    <w:rsid w:val="008A649B"/>
    <w:rsid w:val="008A658A"/>
    <w:rsid w:val="008A65A2"/>
    <w:rsid w:val="008A676F"/>
    <w:rsid w:val="008A67FC"/>
    <w:rsid w:val="008A6AC8"/>
    <w:rsid w:val="008A6C06"/>
    <w:rsid w:val="008A6DD4"/>
    <w:rsid w:val="008A6DE3"/>
    <w:rsid w:val="008A6F98"/>
    <w:rsid w:val="008A7209"/>
    <w:rsid w:val="008A72E0"/>
    <w:rsid w:val="008A73D3"/>
    <w:rsid w:val="008A768E"/>
    <w:rsid w:val="008A7906"/>
    <w:rsid w:val="008A7C00"/>
    <w:rsid w:val="008A7ED3"/>
    <w:rsid w:val="008A7F8A"/>
    <w:rsid w:val="008B0006"/>
    <w:rsid w:val="008B00B5"/>
    <w:rsid w:val="008B00BF"/>
    <w:rsid w:val="008B00FF"/>
    <w:rsid w:val="008B01B0"/>
    <w:rsid w:val="008B0248"/>
    <w:rsid w:val="008B0384"/>
    <w:rsid w:val="008B04D6"/>
    <w:rsid w:val="008B078D"/>
    <w:rsid w:val="008B0BA2"/>
    <w:rsid w:val="008B0BDF"/>
    <w:rsid w:val="008B0E2D"/>
    <w:rsid w:val="008B0EED"/>
    <w:rsid w:val="008B1080"/>
    <w:rsid w:val="008B110D"/>
    <w:rsid w:val="008B1122"/>
    <w:rsid w:val="008B1325"/>
    <w:rsid w:val="008B155A"/>
    <w:rsid w:val="008B162F"/>
    <w:rsid w:val="008B16DC"/>
    <w:rsid w:val="008B199A"/>
    <w:rsid w:val="008B19C4"/>
    <w:rsid w:val="008B19C5"/>
    <w:rsid w:val="008B1A0F"/>
    <w:rsid w:val="008B1AFB"/>
    <w:rsid w:val="008B1B00"/>
    <w:rsid w:val="008B1B1E"/>
    <w:rsid w:val="008B1C42"/>
    <w:rsid w:val="008B1E02"/>
    <w:rsid w:val="008B1EA4"/>
    <w:rsid w:val="008B2086"/>
    <w:rsid w:val="008B2105"/>
    <w:rsid w:val="008B218F"/>
    <w:rsid w:val="008B22F4"/>
    <w:rsid w:val="008B24B0"/>
    <w:rsid w:val="008B24C6"/>
    <w:rsid w:val="008B255B"/>
    <w:rsid w:val="008B265D"/>
    <w:rsid w:val="008B2751"/>
    <w:rsid w:val="008B2885"/>
    <w:rsid w:val="008B2A69"/>
    <w:rsid w:val="008B2B7E"/>
    <w:rsid w:val="008B2CCF"/>
    <w:rsid w:val="008B2EDE"/>
    <w:rsid w:val="008B3001"/>
    <w:rsid w:val="008B305E"/>
    <w:rsid w:val="008B318C"/>
    <w:rsid w:val="008B328C"/>
    <w:rsid w:val="008B3291"/>
    <w:rsid w:val="008B3603"/>
    <w:rsid w:val="008B39E6"/>
    <w:rsid w:val="008B3CAA"/>
    <w:rsid w:val="008B3E14"/>
    <w:rsid w:val="008B3E37"/>
    <w:rsid w:val="008B3EDA"/>
    <w:rsid w:val="008B3F31"/>
    <w:rsid w:val="008B42B9"/>
    <w:rsid w:val="008B42F4"/>
    <w:rsid w:val="008B42FF"/>
    <w:rsid w:val="008B4328"/>
    <w:rsid w:val="008B4368"/>
    <w:rsid w:val="008B43BC"/>
    <w:rsid w:val="008B45EF"/>
    <w:rsid w:val="008B46C0"/>
    <w:rsid w:val="008B47A5"/>
    <w:rsid w:val="008B49E9"/>
    <w:rsid w:val="008B4B78"/>
    <w:rsid w:val="008B4D15"/>
    <w:rsid w:val="008B4D5B"/>
    <w:rsid w:val="008B4E66"/>
    <w:rsid w:val="008B4FE9"/>
    <w:rsid w:val="008B50BB"/>
    <w:rsid w:val="008B5146"/>
    <w:rsid w:val="008B52AC"/>
    <w:rsid w:val="008B544C"/>
    <w:rsid w:val="008B54F2"/>
    <w:rsid w:val="008B5579"/>
    <w:rsid w:val="008B55E4"/>
    <w:rsid w:val="008B56B3"/>
    <w:rsid w:val="008B5905"/>
    <w:rsid w:val="008B5D3A"/>
    <w:rsid w:val="008B5E2D"/>
    <w:rsid w:val="008B5F53"/>
    <w:rsid w:val="008B60C5"/>
    <w:rsid w:val="008B60CB"/>
    <w:rsid w:val="008B6171"/>
    <w:rsid w:val="008B62EF"/>
    <w:rsid w:val="008B6490"/>
    <w:rsid w:val="008B68EC"/>
    <w:rsid w:val="008B6A69"/>
    <w:rsid w:val="008B6DE6"/>
    <w:rsid w:val="008B6E63"/>
    <w:rsid w:val="008B6E67"/>
    <w:rsid w:val="008B6F06"/>
    <w:rsid w:val="008B6F87"/>
    <w:rsid w:val="008B71E1"/>
    <w:rsid w:val="008B73F0"/>
    <w:rsid w:val="008B7564"/>
    <w:rsid w:val="008B75E3"/>
    <w:rsid w:val="008B77AC"/>
    <w:rsid w:val="008B78AD"/>
    <w:rsid w:val="008B78C5"/>
    <w:rsid w:val="008B7A6E"/>
    <w:rsid w:val="008B7BA4"/>
    <w:rsid w:val="008B7E9F"/>
    <w:rsid w:val="008B7FB4"/>
    <w:rsid w:val="008C00CE"/>
    <w:rsid w:val="008C0349"/>
    <w:rsid w:val="008C04FD"/>
    <w:rsid w:val="008C0513"/>
    <w:rsid w:val="008C0580"/>
    <w:rsid w:val="008C05DA"/>
    <w:rsid w:val="008C07B7"/>
    <w:rsid w:val="008C0992"/>
    <w:rsid w:val="008C0E20"/>
    <w:rsid w:val="008C10C1"/>
    <w:rsid w:val="008C15A2"/>
    <w:rsid w:val="008C15B1"/>
    <w:rsid w:val="008C15F1"/>
    <w:rsid w:val="008C161F"/>
    <w:rsid w:val="008C1692"/>
    <w:rsid w:val="008C171E"/>
    <w:rsid w:val="008C17A6"/>
    <w:rsid w:val="008C183E"/>
    <w:rsid w:val="008C186E"/>
    <w:rsid w:val="008C18F4"/>
    <w:rsid w:val="008C19AD"/>
    <w:rsid w:val="008C1B6C"/>
    <w:rsid w:val="008C1BE4"/>
    <w:rsid w:val="008C1CCA"/>
    <w:rsid w:val="008C1D74"/>
    <w:rsid w:val="008C1F8F"/>
    <w:rsid w:val="008C2009"/>
    <w:rsid w:val="008C2317"/>
    <w:rsid w:val="008C2424"/>
    <w:rsid w:val="008C259C"/>
    <w:rsid w:val="008C2743"/>
    <w:rsid w:val="008C2BB1"/>
    <w:rsid w:val="008C2C24"/>
    <w:rsid w:val="008C2D4A"/>
    <w:rsid w:val="008C2E6A"/>
    <w:rsid w:val="008C2F1E"/>
    <w:rsid w:val="008C2FD4"/>
    <w:rsid w:val="008C313F"/>
    <w:rsid w:val="008C31B0"/>
    <w:rsid w:val="008C366A"/>
    <w:rsid w:val="008C367F"/>
    <w:rsid w:val="008C393C"/>
    <w:rsid w:val="008C39C2"/>
    <w:rsid w:val="008C3E8C"/>
    <w:rsid w:val="008C413E"/>
    <w:rsid w:val="008C44A0"/>
    <w:rsid w:val="008C4544"/>
    <w:rsid w:val="008C461D"/>
    <w:rsid w:val="008C46B1"/>
    <w:rsid w:val="008C46B2"/>
    <w:rsid w:val="008C4A40"/>
    <w:rsid w:val="008C4B8F"/>
    <w:rsid w:val="008C4FFF"/>
    <w:rsid w:val="008C5006"/>
    <w:rsid w:val="008C5050"/>
    <w:rsid w:val="008C50BE"/>
    <w:rsid w:val="008C50FB"/>
    <w:rsid w:val="008C51A0"/>
    <w:rsid w:val="008C5450"/>
    <w:rsid w:val="008C5473"/>
    <w:rsid w:val="008C5566"/>
    <w:rsid w:val="008C568F"/>
    <w:rsid w:val="008C5779"/>
    <w:rsid w:val="008C57CE"/>
    <w:rsid w:val="008C5962"/>
    <w:rsid w:val="008C596F"/>
    <w:rsid w:val="008C5A0B"/>
    <w:rsid w:val="008C5AAF"/>
    <w:rsid w:val="008C5AB6"/>
    <w:rsid w:val="008C5B8F"/>
    <w:rsid w:val="008C5D8A"/>
    <w:rsid w:val="008C5F1A"/>
    <w:rsid w:val="008C6158"/>
    <w:rsid w:val="008C62BC"/>
    <w:rsid w:val="008C6584"/>
    <w:rsid w:val="008C659A"/>
    <w:rsid w:val="008C65E6"/>
    <w:rsid w:val="008C663A"/>
    <w:rsid w:val="008C66D2"/>
    <w:rsid w:val="008C6C4D"/>
    <w:rsid w:val="008C6CB7"/>
    <w:rsid w:val="008C6E05"/>
    <w:rsid w:val="008C6E86"/>
    <w:rsid w:val="008C6F55"/>
    <w:rsid w:val="008C70BC"/>
    <w:rsid w:val="008C71DA"/>
    <w:rsid w:val="008C71F0"/>
    <w:rsid w:val="008C76A9"/>
    <w:rsid w:val="008C76C2"/>
    <w:rsid w:val="008C7985"/>
    <w:rsid w:val="008C799E"/>
    <w:rsid w:val="008C79D8"/>
    <w:rsid w:val="008C7A30"/>
    <w:rsid w:val="008C7ACA"/>
    <w:rsid w:val="008C7B2E"/>
    <w:rsid w:val="008C7F0E"/>
    <w:rsid w:val="008D01BB"/>
    <w:rsid w:val="008D01F3"/>
    <w:rsid w:val="008D0246"/>
    <w:rsid w:val="008D02ED"/>
    <w:rsid w:val="008D0688"/>
    <w:rsid w:val="008D0689"/>
    <w:rsid w:val="008D0800"/>
    <w:rsid w:val="008D0810"/>
    <w:rsid w:val="008D0874"/>
    <w:rsid w:val="008D0928"/>
    <w:rsid w:val="008D0B16"/>
    <w:rsid w:val="008D0B9D"/>
    <w:rsid w:val="008D0D52"/>
    <w:rsid w:val="008D0E6C"/>
    <w:rsid w:val="008D0FC4"/>
    <w:rsid w:val="008D10BA"/>
    <w:rsid w:val="008D10ED"/>
    <w:rsid w:val="008D12AA"/>
    <w:rsid w:val="008D14E2"/>
    <w:rsid w:val="008D150F"/>
    <w:rsid w:val="008D16CE"/>
    <w:rsid w:val="008D1705"/>
    <w:rsid w:val="008D1A2E"/>
    <w:rsid w:val="008D1CA9"/>
    <w:rsid w:val="008D1F0F"/>
    <w:rsid w:val="008D1F83"/>
    <w:rsid w:val="008D208B"/>
    <w:rsid w:val="008D2154"/>
    <w:rsid w:val="008D21FD"/>
    <w:rsid w:val="008D22A7"/>
    <w:rsid w:val="008D2337"/>
    <w:rsid w:val="008D2453"/>
    <w:rsid w:val="008D2727"/>
    <w:rsid w:val="008D2A63"/>
    <w:rsid w:val="008D2B4C"/>
    <w:rsid w:val="008D2BE0"/>
    <w:rsid w:val="008D2C9B"/>
    <w:rsid w:val="008D2F83"/>
    <w:rsid w:val="008D2F98"/>
    <w:rsid w:val="008D31A9"/>
    <w:rsid w:val="008D31AD"/>
    <w:rsid w:val="008D34D6"/>
    <w:rsid w:val="008D3785"/>
    <w:rsid w:val="008D38FF"/>
    <w:rsid w:val="008D391A"/>
    <w:rsid w:val="008D3A43"/>
    <w:rsid w:val="008D3B7A"/>
    <w:rsid w:val="008D3FFF"/>
    <w:rsid w:val="008D425B"/>
    <w:rsid w:val="008D426A"/>
    <w:rsid w:val="008D4294"/>
    <w:rsid w:val="008D434B"/>
    <w:rsid w:val="008D447A"/>
    <w:rsid w:val="008D44AE"/>
    <w:rsid w:val="008D47E4"/>
    <w:rsid w:val="008D4823"/>
    <w:rsid w:val="008D4A11"/>
    <w:rsid w:val="008D4DC9"/>
    <w:rsid w:val="008D4F42"/>
    <w:rsid w:val="008D4FD0"/>
    <w:rsid w:val="008D500B"/>
    <w:rsid w:val="008D50D8"/>
    <w:rsid w:val="008D55D3"/>
    <w:rsid w:val="008D56C7"/>
    <w:rsid w:val="008D56FA"/>
    <w:rsid w:val="008D5769"/>
    <w:rsid w:val="008D5880"/>
    <w:rsid w:val="008D59A7"/>
    <w:rsid w:val="008D5B16"/>
    <w:rsid w:val="008D6139"/>
    <w:rsid w:val="008D6212"/>
    <w:rsid w:val="008D63EA"/>
    <w:rsid w:val="008D662C"/>
    <w:rsid w:val="008D6667"/>
    <w:rsid w:val="008D680A"/>
    <w:rsid w:val="008D6B31"/>
    <w:rsid w:val="008D6BE3"/>
    <w:rsid w:val="008D6C90"/>
    <w:rsid w:val="008D6E3F"/>
    <w:rsid w:val="008D6FC2"/>
    <w:rsid w:val="008D703A"/>
    <w:rsid w:val="008D7080"/>
    <w:rsid w:val="008D728A"/>
    <w:rsid w:val="008D7338"/>
    <w:rsid w:val="008D7375"/>
    <w:rsid w:val="008D7496"/>
    <w:rsid w:val="008D786F"/>
    <w:rsid w:val="008D7929"/>
    <w:rsid w:val="008D7AA0"/>
    <w:rsid w:val="008D7B0E"/>
    <w:rsid w:val="008D7B72"/>
    <w:rsid w:val="008D7BBC"/>
    <w:rsid w:val="008D7BC7"/>
    <w:rsid w:val="008D7BCA"/>
    <w:rsid w:val="008D7CDB"/>
    <w:rsid w:val="008D7DC9"/>
    <w:rsid w:val="008D7FA5"/>
    <w:rsid w:val="008E039A"/>
    <w:rsid w:val="008E0513"/>
    <w:rsid w:val="008E0559"/>
    <w:rsid w:val="008E05A5"/>
    <w:rsid w:val="008E074D"/>
    <w:rsid w:val="008E0829"/>
    <w:rsid w:val="008E08CA"/>
    <w:rsid w:val="008E0C74"/>
    <w:rsid w:val="008E0E13"/>
    <w:rsid w:val="008E0E6E"/>
    <w:rsid w:val="008E0EC7"/>
    <w:rsid w:val="008E1080"/>
    <w:rsid w:val="008E12C8"/>
    <w:rsid w:val="008E161C"/>
    <w:rsid w:val="008E197C"/>
    <w:rsid w:val="008E211B"/>
    <w:rsid w:val="008E21C2"/>
    <w:rsid w:val="008E22AD"/>
    <w:rsid w:val="008E22EC"/>
    <w:rsid w:val="008E2350"/>
    <w:rsid w:val="008E2384"/>
    <w:rsid w:val="008E2414"/>
    <w:rsid w:val="008E2650"/>
    <w:rsid w:val="008E2770"/>
    <w:rsid w:val="008E2903"/>
    <w:rsid w:val="008E2998"/>
    <w:rsid w:val="008E2AB5"/>
    <w:rsid w:val="008E2ABF"/>
    <w:rsid w:val="008E2D29"/>
    <w:rsid w:val="008E2D5E"/>
    <w:rsid w:val="008E2EA9"/>
    <w:rsid w:val="008E2F91"/>
    <w:rsid w:val="008E3054"/>
    <w:rsid w:val="008E315C"/>
    <w:rsid w:val="008E32D6"/>
    <w:rsid w:val="008E35A6"/>
    <w:rsid w:val="008E35BF"/>
    <w:rsid w:val="008E377C"/>
    <w:rsid w:val="008E3802"/>
    <w:rsid w:val="008E3929"/>
    <w:rsid w:val="008E3B65"/>
    <w:rsid w:val="008E3CA9"/>
    <w:rsid w:val="008E3D38"/>
    <w:rsid w:val="008E3DF4"/>
    <w:rsid w:val="008E3E83"/>
    <w:rsid w:val="008E3F9D"/>
    <w:rsid w:val="008E3FEE"/>
    <w:rsid w:val="008E3FFA"/>
    <w:rsid w:val="008E4242"/>
    <w:rsid w:val="008E429A"/>
    <w:rsid w:val="008E42DF"/>
    <w:rsid w:val="008E4302"/>
    <w:rsid w:val="008E439E"/>
    <w:rsid w:val="008E4833"/>
    <w:rsid w:val="008E492C"/>
    <w:rsid w:val="008E4B20"/>
    <w:rsid w:val="008E4C8E"/>
    <w:rsid w:val="008E4CA9"/>
    <w:rsid w:val="008E4E91"/>
    <w:rsid w:val="008E4EA2"/>
    <w:rsid w:val="008E4FA7"/>
    <w:rsid w:val="008E4FF2"/>
    <w:rsid w:val="008E4FF9"/>
    <w:rsid w:val="008E5043"/>
    <w:rsid w:val="008E5197"/>
    <w:rsid w:val="008E53B4"/>
    <w:rsid w:val="008E543F"/>
    <w:rsid w:val="008E5586"/>
    <w:rsid w:val="008E587F"/>
    <w:rsid w:val="008E5A7D"/>
    <w:rsid w:val="008E5B4C"/>
    <w:rsid w:val="008E5D21"/>
    <w:rsid w:val="008E5D9F"/>
    <w:rsid w:val="008E5E65"/>
    <w:rsid w:val="008E602C"/>
    <w:rsid w:val="008E6646"/>
    <w:rsid w:val="008E6725"/>
    <w:rsid w:val="008E6824"/>
    <w:rsid w:val="008E6873"/>
    <w:rsid w:val="008E688E"/>
    <w:rsid w:val="008E68B3"/>
    <w:rsid w:val="008E6BE7"/>
    <w:rsid w:val="008E6BEF"/>
    <w:rsid w:val="008E6BF9"/>
    <w:rsid w:val="008E6C72"/>
    <w:rsid w:val="008E6DF3"/>
    <w:rsid w:val="008E6E6A"/>
    <w:rsid w:val="008E6EAB"/>
    <w:rsid w:val="008E7293"/>
    <w:rsid w:val="008E73FD"/>
    <w:rsid w:val="008E759C"/>
    <w:rsid w:val="008E75E7"/>
    <w:rsid w:val="008E7ACA"/>
    <w:rsid w:val="008E7C01"/>
    <w:rsid w:val="008E7CC4"/>
    <w:rsid w:val="008E7DF0"/>
    <w:rsid w:val="008E7F5F"/>
    <w:rsid w:val="008F0019"/>
    <w:rsid w:val="008F0151"/>
    <w:rsid w:val="008F0279"/>
    <w:rsid w:val="008F02AB"/>
    <w:rsid w:val="008F0374"/>
    <w:rsid w:val="008F0450"/>
    <w:rsid w:val="008F04A6"/>
    <w:rsid w:val="008F05EA"/>
    <w:rsid w:val="008F06B8"/>
    <w:rsid w:val="008F0776"/>
    <w:rsid w:val="008F07D1"/>
    <w:rsid w:val="008F0A07"/>
    <w:rsid w:val="008F0B46"/>
    <w:rsid w:val="008F0B77"/>
    <w:rsid w:val="008F0BCD"/>
    <w:rsid w:val="008F0C42"/>
    <w:rsid w:val="008F0C45"/>
    <w:rsid w:val="008F1011"/>
    <w:rsid w:val="008F128B"/>
    <w:rsid w:val="008F141F"/>
    <w:rsid w:val="008F183C"/>
    <w:rsid w:val="008F1871"/>
    <w:rsid w:val="008F193C"/>
    <w:rsid w:val="008F1966"/>
    <w:rsid w:val="008F19BA"/>
    <w:rsid w:val="008F1A10"/>
    <w:rsid w:val="008F1B6F"/>
    <w:rsid w:val="008F1B9C"/>
    <w:rsid w:val="008F1BE9"/>
    <w:rsid w:val="008F1D91"/>
    <w:rsid w:val="008F1F4A"/>
    <w:rsid w:val="008F22D3"/>
    <w:rsid w:val="008F22D5"/>
    <w:rsid w:val="008F2422"/>
    <w:rsid w:val="008F2577"/>
    <w:rsid w:val="008F2670"/>
    <w:rsid w:val="008F2672"/>
    <w:rsid w:val="008F2675"/>
    <w:rsid w:val="008F2713"/>
    <w:rsid w:val="008F2A71"/>
    <w:rsid w:val="008F2AFB"/>
    <w:rsid w:val="008F2C88"/>
    <w:rsid w:val="008F2E43"/>
    <w:rsid w:val="008F2EAB"/>
    <w:rsid w:val="008F2EB3"/>
    <w:rsid w:val="008F3014"/>
    <w:rsid w:val="008F31C0"/>
    <w:rsid w:val="008F31E0"/>
    <w:rsid w:val="008F320E"/>
    <w:rsid w:val="008F3334"/>
    <w:rsid w:val="008F336B"/>
    <w:rsid w:val="008F36A6"/>
    <w:rsid w:val="008F36F2"/>
    <w:rsid w:val="008F38D3"/>
    <w:rsid w:val="008F3A8D"/>
    <w:rsid w:val="008F3D13"/>
    <w:rsid w:val="008F3D91"/>
    <w:rsid w:val="008F3DF7"/>
    <w:rsid w:val="008F3F54"/>
    <w:rsid w:val="008F40F3"/>
    <w:rsid w:val="008F426D"/>
    <w:rsid w:val="008F43DC"/>
    <w:rsid w:val="008F45B0"/>
    <w:rsid w:val="008F45B5"/>
    <w:rsid w:val="008F4711"/>
    <w:rsid w:val="008F485C"/>
    <w:rsid w:val="008F4888"/>
    <w:rsid w:val="008F4C16"/>
    <w:rsid w:val="008F4DC0"/>
    <w:rsid w:val="008F4EB1"/>
    <w:rsid w:val="008F4FA9"/>
    <w:rsid w:val="008F510C"/>
    <w:rsid w:val="008F5357"/>
    <w:rsid w:val="008F5732"/>
    <w:rsid w:val="008F5771"/>
    <w:rsid w:val="008F5900"/>
    <w:rsid w:val="008F5937"/>
    <w:rsid w:val="008F599E"/>
    <w:rsid w:val="008F5B61"/>
    <w:rsid w:val="008F5DA4"/>
    <w:rsid w:val="008F5F67"/>
    <w:rsid w:val="008F5FAA"/>
    <w:rsid w:val="008F603E"/>
    <w:rsid w:val="008F61A6"/>
    <w:rsid w:val="008F625B"/>
    <w:rsid w:val="008F628C"/>
    <w:rsid w:val="008F64DC"/>
    <w:rsid w:val="008F679F"/>
    <w:rsid w:val="008F6B5B"/>
    <w:rsid w:val="008F6B9A"/>
    <w:rsid w:val="008F6ED4"/>
    <w:rsid w:val="008F701A"/>
    <w:rsid w:val="008F7090"/>
    <w:rsid w:val="008F743B"/>
    <w:rsid w:val="008F7551"/>
    <w:rsid w:val="008F7874"/>
    <w:rsid w:val="008F7A9B"/>
    <w:rsid w:val="008F7BE4"/>
    <w:rsid w:val="008F7E64"/>
    <w:rsid w:val="008F7F93"/>
    <w:rsid w:val="008F7FBB"/>
    <w:rsid w:val="009003A8"/>
    <w:rsid w:val="009004B3"/>
    <w:rsid w:val="0090069E"/>
    <w:rsid w:val="009006D7"/>
    <w:rsid w:val="009006F4"/>
    <w:rsid w:val="00900859"/>
    <w:rsid w:val="009009B1"/>
    <w:rsid w:val="00900A54"/>
    <w:rsid w:val="00900ABD"/>
    <w:rsid w:val="00900B83"/>
    <w:rsid w:val="00900B9C"/>
    <w:rsid w:val="00900C2A"/>
    <w:rsid w:val="00900C48"/>
    <w:rsid w:val="00900F41"/>
    <w:rsid w:val="0090102C"/>
    <w:rsid w:val="00901253"/>
    <w:rsid w:val="00901290"/>
    <w:rsid w:val="00901500"/>
    <w:rsid w:val="009015B5"/>
    <w:rsid w:val="009015B7"/>
    <w:rsid w:val="009015E4"/>
    <w:rsid w:val="0090193E"/>
    <w:rsid w:val="00901AC7"/>
    <w:rsid w:val="00901AC9"/>
    <w:rsid w:val="00901CBC"/>
    <w:rsid w:val="00901F06"/>
    <w:rsid w:val="00901F30"/>
    <w:rsid w:val="009020D9"/>
    <w:rsid w:val="00902177"/>
    <w:rsid w:val="00902392"/>
    <w:rsid w:val="009023F3"/>
    <w:rsid w:val="00902423"/>
    <w:rsid w:val="00902459"/>
    <w:rsid w:val="00902469"/>
    <w:rsid w:val="0090252D"/>
    <w:rsid w:val="0090253A"/>
    <w:rsid w:val="009025FC"/>
    <w:rsid w:val="00902612"/>
    <w:rsid w:val="00902655"/>
    <w:rsid w:val="0090267E"/>
    <w:rsid w:val="00902AA7"/>
    <w:rsid w:val="00902B4C"/>
    <w:rsid w:val="00902E4A"/>
    <w:rsid w:val="00902E5E"/>
    <w:rsid w:val="009030CC"/>
    <w:rsid w:val="0090312D"/>
    <w:rsid w:val="00903224"/>
    <w:rsid w:val="00903423"/>
    <w:rsid w:val="0090354D"/>
    <w:rsid w:val="00903862"/>
    <w:rsid w:val="00903AB2"/>
    <w:rsid w:val="00903BE6"/>
    <w:rsid w:val="00903C67"/>
    <w:rsid w:val="00903D17"/>
    <w:rsid w:val="00903DED"/>
    <w:rsid w:val="00903E80"/>
    <w:rsid w:val="00903E85"/>
    <w:rsid w:val="00903EEB"/>
    <w:rsid w:val="00903F8E"/>
    <w:rsid w:val="0090410A"/>
    <w:rsid w:val="00904166"/>
    <w:rsid w:val="009042E8"/>
    <w:rsid w:val="0090446F"/>
    <w:rsid w:val="009045BF"/>
    <w:rsid w:val="00904961"/>
    <w:rsid w:val="00904B20"/>
    <w:rsid w:val="00904C38"/>
    <w:rsid w:val="00905028"/>
    <w:rsid w:val="00905084"/>
    <w:rsid w:val="00905828"/>
    <w:rsid w:val="00905A8C"/>
    <w:rsid w:val="00905C0A"/>
    <w:rsid w:val="00905D4D"/>
    <w:rsid w:val="00905D83"/>
    <w:rsid w:val="00905DCD"/>
    <w:rsid w:val="009064B7"/>
    <w:rsid w:val="009065BC"/>
    <w:rsid w:val="009068BC"/>
    <w:rsid w:val="009068F3"/>
    <w:rsid w:val="00906B36"/>
    <w:rsid w:val="00906C4A"/>
    <w:rsid w:val="00906CE2"/>
    <w:rsid w:val="00906E09"/>
    <w:rsid w:val="00906FE5"/>
    <w:rsid w:val="00907044"/>
    <w:rsid w:val="009071BA"/>
    <w:rsid w:val="00907402"/>
    <w:rsid w:val="0090764B"/>
    <w:rsid w:val="00907670"/>
    <w:rsid w:val="009076CB"/>
    <w:rsid w:val="00907AC3"/>
    <w:rsid w:val="00907E4F"/>
    <w:rsid w:val="00907E7A"/>
    <w:rsid w:val="009102BD"/>
    <w:rsid w:val="00910304"/>
    <w:rsid w:val="0091033B"/>
    <w:rsid w:val="009103D9"/>
    <w:rsid w:val="00910453"/>
    <w:rsid w:val="00910494"/>
    <w:rsid w:val="009104F6"/>
    <w:rsid w:val="00910A2F"/>
    <w:rsid w:val="00910CC7"/>
    <w:rsid w:val="00910D41"/>
    <w:rsid w:val="00910F43"/>
    <w:rsid w:val="00911000"/>
    <w:rsid w:val="0091114E"/>
    <w:rsid w:val="009113BC"/>
    <w:rsid w:val="0091140E"/>
    <w:rsid w:val="0091147E"/>
    <w:rsid w:val="009114DC"/>
    <w:rsid w:val="00911607"/>
    <w:rsid w:val="00911637"/>
    <w:rsid w:val="009116B8"/>
    <w:rsid w:val="009116C4"/>
    <w:rsid w:val="00911951"/>
    <w:rsid w:val="00911A04"/>
    <w:rsid w:val="00911BDA"/>
    <w:rsid w:val="00911EA2"/>
    <w:rsid w:val="00911F7D"/>
    <w:rsid w:val="009120A3"/>
    <w:rsid w:val="00912105"/>
    <w:rsid w:val="0091228D"/>
    <w:rsid w:val="0091241D"/>
    <w:rsid w:val="009124E2"/>
    <w:rsid w:val="00912A65"/>
    <w:rsid w:val="00912B99"/>
    <w:rsid w:val="00912D2F"/>
    <w:rsid w:val="00913197"/>
    <w:rsid w:val="009131A5"/>
    <w:rsid w:val="0091321B"/>
    <w:rsid w:val="0091322C"/>
    <w:rsid w:val="009132BD"/>
    <w:rsid w:val="0091348F"/>
    <w:rsid w:val="009136CF"/>
    <w:rsid w:val="0091382E"/>
    <w:rsid w:val="00913923"/>
    <w:rsid w:val="00913A1A"/>
    <w:rsid w:val="00913BB3"/>
    <w:rsid w:val="00913D12"/>
    <w:rsid w:val="00913F35"/>
    <w:rsid w:val="00914291"/>
    <w:rsid w:val="00914296"/>
    <w:rsid w:val="009143BD"/>
    <w:rsid w:val="009144C3"/>
    <w:rsid w:val="0091466C"/>
    <w:rsid w:val="0091486B"/>
    <w:rsid w:val="009148C9"/>
    <w:rsid w:val="00914A75"/>
    <w:rsid w:val="00914A78"/>
    <w:rsid w:val="00914CE2"/>
    <w:rsid w:val="00914DEC"/>
    <w:rsid w:val="00914E28"/>
    <w:rsid w:val="009150BF"/>
    <w:rsid w:val="0091552F"/>
    <w:rsid w:val="00915723"/>
    <w:rsid w:val="00915847"/>
    <w:rsid w:val="00915868"/>
    <w:rsid w:val="0091588D"/>
    <w:rsid w:val="0091596E"/>
    <w:rsid w:val="00915CF2"/>
    <w:rsid w:val="00915D3B"/>
    <w:rsid w:val="00915E52"/>
    <w:rsid w:val="00915E92"/>
    <w:rsid w:val="00915F45"/>
    <w:rsid w:val="00915F80"/>
    <w:rsid w:val="00915FD3"/>
    <w:rsid w:val="0091635A"/>
    <w:rsid w:val="0091641E"/>
    <w:rsid w:val="009165E8"/>
    <w:rsid w:val="009167A5"/>
    <w:rsid w:val="00916A13"/>
    <w:rsid w:val="00916A2C"/>
    <w:rsid w:val="00916BE0"/>
    <w:rsid w:val="00916D71"/>
    <w:rsid w:val="00916EB7"/>
    <w:rsid w:val="00917005"/>
    <w:rsid w:val="009172DE"/>
    <w:rsid w:val="009172FB"/>
    <w:rsid w:val="009174A3"/>
    <w:rsid w:val="00917736"/>
    <w:rsid w:val="009177AB"/>
    <w:rsid w:val="00917852"/>
    <w:rsid w:val="009178AA"/>
    <w:rsid w:val="00917A85"/>
    <w:rsid w:val="00917B9D"/>
    <w:rsid w:val="00917BA9"/>
    <w:rsid w:val="00917BE6"/>
    <w:rsid w:val="00917FEB"/>
    <w:rsid w:val="0092014A"/>
    <w:rsid w:val="00920194"/>
    <w:rsid w:val="009201B0"/>
    <w:rsid w:val="00920273"/>
    <w:rsid w:val="00920492"/>
    <w:rsid w:val="00920571"/>
    <w:rsid w:val="00920821"/>
    <w:rsid w:val="009208BB"/>
    <w:rsid w:val="00920A88"/>
    <w:rsid w:val="00920B1A"/>
    <w:rsid w:val="00920BCE"/>
    <w:rsid w:val="00920F0E"/>
    <w:rsid w:val="00921194"/>
    <w:rsid w:val="00921336"/>
    <w:rsid w:val="00921458"/>
    <w:rsid w:val="009214D6"/>
    <w:rsid w:val="009216BF"/>
    <w:rsid w:val="00921899"/>
    <w:rsid w:val="009218B1"/>
    <w:rsid w:val="009218F1"/>
    <w:rsid w:val="00921E67"/>
    <w:rsid w:val="00922058"/>
    <w:rsid w:val="009220B2"/>
    <w:rsid w:val="009220FC"/>
    <w:rsid w:val="009221F4"/>
    <w:rsid w:val="0092221E"/>
    <w:rsid w:val="0092246B"/>
    <w:rsid w:val="009224EA"/>
    <w:rsid w:val="00922644"/>
    <w:rsid w:val="009228FF"/>
    <w:rsid w:val="00922943"/>
    <w:rsid w:val="00922A12"/>
    <w:rsid w:val="00922A54"/>
    <w:rsid w:val="00922C8B"/>
    <w:rsid w:val="00922DAF"/>
    <w:rsid w:val="00922E6C"/>
    <w:rsid w:val="0092304C"/>
    <w:rsid w:val="0092307A"/>
    <w:rsid w:val="009232A1"/>
    <w:rsid w:val="00923399"/>
    <w:rsid w:val="00923422"/>
    <w:rsid w:val="009234E2"/>
    <w:rsid w:val="009236C9"/>
    <w:rsid w:val="00923752"/>
    <w:rsid w:val="009239C3"/>
    <w:rsid w:val="00923AD3"/>
    <w:rsid w:val="00923BC9"/>
    <w:rsid w:val="00923BD1"/>
    <w:rsid w:val="00923CC6"/>
    <w:rsid w:val="00923DD1"/>
    <w:rsid w:val="00923DE8"/>
    <w:rsid w:val="00923E13"/>
    <w:rsid w:val="00924066"/>
    <w:rsid w:val="0092422F"/>
    <w:rsid w:val="009245D3"/>
    <w:rsid w:val="00924601"/>
    <w:rsid w:val="009246D2"/>
    <w:rsid w:val="00924765"/>
    <w:rsid w:val="009247FF"/>
    <w:rsid w:val="00924804"/>
    <w:rsid w:val="00924927"/>
    <w:rsid w:val="0092496B"/>
    <w:rsid w:val="00924C78"/>
    <w:rsid w:val="00924D00"/>
    <w:rsid w:val="00924D40"/>
    <w:rsid w:val="00924DE6"/>
    <w:rsid w:val="00924EBE"/>
    <w:rsid w:val="009250F9"/>
    <w:rsid w:val="00925188"/>
    <w:rsid w:val="00925230"/>
    <w:rsid w:val="009253FB"/>
    <w:rsid w:val="00925484"/>
    <w:rsid w:val="00925765"/>
    <w:rsid w:val="009257FB"/>
    <w:rsid w:val="00925B18"/>
    <w:rsid w:val="00925BE1"/>
    <w:rsid w:val="00925CEC"/>
    <w:rsid w:val="00925D59"/>
    <w:rsid w:val="00925DC7"/>
    <w:rsid w:val="00925F40"/>
    <w:rsid w:val="009260F2"/>
    <w:rsid w:val="00926158"/>
    <w:rsid w:val="00926334"/>
    <w:rsid w:val="009264E3"/>
    <w:rsid w:val="009268A3"/>
    <w:rsid w:val="00926A5D"/>
    <w:rsid w:val="00926A68"/>
    <w:rsid w:val="00926B14"/>
    <w:rsid w:val="00926C73"/>
    <w:rsid w:val="00926C88"/>
    <w:rsid w:val="00926DAF"/>
    <w:rsid w:val="00926EC5"/>
    <w:rsid w:val="0092702D"/>
    <w:rsid w:val="0092719C"/>
    <w:rsid w:val="0092722C"/>
    <w:rsid w:val="009272C4"/>
    <w:rsid w:val="00927630"/>
    <w:rsid w:val="0092781C"/>
    <w:rsid w:val="009279E3"/>
    <w:rsid w:val="00927B39"/>
    <w:rsid w:val="00927BA2"/>
    <w:rsid w:val="00927BB4"/>
    <w:rsid w:val="00927C24"/>
    <w:rsid w:val="00927C73"/>
    <w:rsid w:val="00927D42"/>
    <w:rsid w:val="00927DEE"/>
    <w:rsid w:val="00927E9C"/>
    <w:rsid w:val="00927F62"/>
    <w:rsid w:val="0093000B"/>
    <w:rsid w:val="0093009B"/>
    <w:rsid w:val="0093039B"/>
    <w:rsid w:val="009304D6"/>
    <w:rsid w:val="0093059B"/>
    <w:rsid w:val="0093064E"/>
    <w:rsid w:val="00930803"/>
    <w:rsid w:val="00930951"/>
    <w:rsid w:val="009309B6"/>
    <w:rsid w:val="00930C92"/>
    <w:rsid w:val="00930CEF"/>
    <w:rsid w:val="00930DC3"/>
    <w:rsid w:val="00930DE3"/>
    <w:rsid w:val="00930F37"/>
    <w:rsid w:val="00930F76"/>
    <w:rsid w:val="00930FCB"/>
    <w:rsid w:val="00931075"/>
    <w:rsid w:val="0093112C"/>
    <w:rsid w:val="009313ED"/>
    <w:rsid w:val="0093169D"/>
    <w:rsid w:val="0093176C"/>
    <w:rsid w:val="00931820"/>
    <w:rsid w:val="00931993"/>
    <w:rsid w:val="009319BA"/>
    <w:rsid w:val="00931A77"/>
    <w:rsid w:val="00931D97"/>
    <w:rsid w:val="00931EC2"/>
    <w:rsid w:val="00931F07"/>
    <w:rsid w:val="00931F5B"/>
    <w:rsid w:val="009321F3"/>
    <w:rsid w:val="00932238"/>
    <w:rsid w:val="00932381"/>
    <w:rsid w:val="00932448"/>
    <w:rsid w:val="009325A4"/>
    <w:rsid w:val="00932813"/>
    <w:rsid w:val="00932C51"/>
    <w:rsid w:val="00932CE9"/>
    <w:rsid w:val="00932DF8"/>
    <w:rsid w:val="00932E5A"/>
    <w:rsid w:val="00932FA1"/>
    <w:rsid w:val="00933166"/>
    <w:rsid w:val="009331C3"/>
    <w:rsid w:val="00933330"/>
    <w:rsid w:val="00933379"/>
    <w:rsid w:val="009333C5"/>
    <w:rsid w:val="009336A9"/>
    <w:rsid w:val="00933803"/>
    <w:rsid w:val="009338CE"/>
    <w:rsid w:val="00933996"/>
    <w:rsid w:val="00933997"/>
    <w:rsid w:val="00933B9C"/>
    <w:rsid w:val="00933DE2"/>
    <w:rsid w:val="00933EA0"/>
    <w:rsid w:val="00934202"/>
    <w:rsid w:val="009342C5"/>
    <w:rsid w:val="0093436D"/>
    <w:rsid w:val="009344AA"/>
    <w:rsid w:val="0093451A"/>
    <w:rsid w:val="009345A7"/>
    <w:rsid w:val="009345DA"/>
    <w:rsid w:val="00934709"/>
    <w:rsid w:val="00934869"/>
    <w:rsid w:val="00934BAE"/>
    <w:rsid w:val="00934D07"/>
    <w:rsid w:val="00934D3E"/>
    <w:rsid w:val="00934E4A"/>
    <w:rsid w:val="00935569"/>
    <w:rsid w:val="0093579F"/>
    <w:rsid w:val="0093587D"/>
    <w:rsid w:val="009358BE"/>
    <w:rsid w:val="00935A83"/>
    <w:rsid w:val="00935DB4"/>
    <w:rsid w:val="00935FEC"/>
    <w:rsid w:val="0093614F"/>
    <w:rsid w:val="009361EB"/>
    <w:rsid w:val="0093633C"/>
    <w:rsid w:val="00936521"/>
    <w:rsid w:val="0093652C"/>
    <w:rsid w:val="00936562"/>
    <w:rsid w:val="00936623"/>
    <w:rsid w:val="00936847"/>
    <w:rsid w:val="009368AB"/>
    <w:rsid w:val="009368DF"/>
    <w:rsid w:val="00936C5C"/>
    <w:rsid w:val="00936E63"/>
    <w:rsid w:val="00936FD3"/>
    <w:rsid w:val="009370A8"/>
    <w:rsid w:val="009370F3"/>
    <w:rsid w:val="00937172"/>
    <w:rsid w:val="00937298"/>
    <w:rsid w:val="009373E7"/>
    <w:rsid w:val="00937708"/>
    <w:rsid w:val="0093784E"/>
    <w:rsid w:val="0093786B"/>
    <w:rsid w:val="009379BD"/>
    <w:rsid w:val="009379E5"/>
    <w:rsid w:val="00937A99"/>
    <w:rsid w:val="00937B9F"/>
    <w:rsid w:val="00937EB8"/>
    <w:rsid w:val="00937FBD"/>
    <w:rsid w:val="00940104"/>
    <w:rsid w:val="0094010B"/>
    <w:rsid w:val="00940247"/>
    <w:rsid w:val="009406A4"/>
    <w:rsid w:val="00940733"/>
    <w:rsid w:val="00940A3B"/>
    <w:rsid w:val="00940A6B"/>
    <w:rsid w:val="00940CFF"/>
    <w:rsid w:val="00940D79"/>
    <w:rsid w:val="00940EFA"/>
    <w:rsid w:val="0094127B"/>
    <w:rsid w:val="009412CB"/>
    <w:rsid w:val="009412D2"/>
    <w:rsid w:val="00941428"/>
    <w:rsid w:val="0094150A"/>
    <w:rsid w:val="00941694"/>
    <w:rsid w:val="009416A1"/>
    <w:rsid w:val="009416B3"/>
    <w:rsid w:val="00941783"/>
    <w:rsid w:val="0094186C"/>
    <w:rsid w:val="00941957"/>
    <w:rsid w:val="00941E09"/>
    <w:rsid w:val="00941F21"/>
    <w:rsid w:val="00942054"/>
    <w:rsid w:val="0094210C"/>
    <w:rsid w:val="009422E7"/>
    <w:rsid w:val="00942394"/>
    <w:rsid w:val="00942401"/>
    <w:rsid w:val="0094243E"/>
    <w:rsid w:val="0094243F"/>
    <w:rsid w:val="0094257D"/>
    <w:rsid w:val="00942674"/>
    <w:rsid w:val="0094278E"/>
    <w:rsid w:val="00942944"/>
    <w:rsid w:val="009429D1"/>
    <w:rsid w:val="00942BD5"/>
    <w:rsid w:val="00942E61"/>
    <w:rsid w:val="00943058"/>
    <w:rsid w:val="009432B6"/>
    <w:rsid w:val="00943300"/>
    <w:rsid w:val="00943366"/>
    <w:rsid w:val="0094338E"/>
    <w:rsid w:val="009433E1"/>
    <w:rsid w:val="009434B8"/>
    <w:rsid w:val="00943506"/>
    <w:rsid w:val="0094395D"/>
    <w:rsid w:val="00943983"/>
    <w:rsid w:val="00943A31"/>
    <w:rsid w:val="00943A72"/>
    <w:rsid w:val="00943A76"/>
    <w:rsid w:val="00943B5D"/>
    <w:rsid w:val="00943C15"/>
    <w:rsid w:val="00943D09"/>
    <w:rsid w:val="00943D20"/>
    <w:rsid w:val="00943D7F"/>
    <w:rsid w:val="00943FD4"/>
    <w:rsid w:val="009441FF"/>
    <w:rsid w:val="009442D5"/>
    <w:rsid w:val="00944325"/>
    <w:rsid w:val="0094471E"/>
    <w:rsid w:val="00944755"/>
    <w:rsid w:val="009447F7"/>
    <w:rsid w:val="00944878"/>
    <w:rsid w:val="00944B10"/>
    <w:rsid w:val="00944C47"/>
    <w:rsid w:val="00944E28"/>
    <w:rsid w:val="009450FD"/>
    <w:rsid w:val="0094512C"/>
    <w:rsid w:val="00945131"/>
    <w:rsid w:val="009453E6"/>
    <w:rsid w:val="009457BF"/>
    <w:rsid w:val="0094581E"/>
    <w:rsid w:val="00945902"/>
    <w:rsid w:val="00945992"/>
    <w:rsid w:val="00945B49"/>
    <w:rsid w:val="00945EAA"/>
    <w:rsid w:val="00945EAF"/>
    <w:rsid w:val="0094606D"/>
    <w:rsid w:val="009460D8"/>
    <w:rsid w:val="0094614F"/>
    <w:rsid w:val="00946356"/>
    <w:rsid w:val="00946519"/>
    <w:rsid w:val="00946656"/>
    <w:rsid w:val="00946688"/>
    <w:rsid w:val="009466D8"/>
    <w:rsid w:val="00946756"/>
    <w:rsid w:val="009467CC"/>
    <w:rsid w:val="0094680E"/>
    <w:rsid w:val="00946830"/>
    <w:rsid w:val="00946933"/>
    <w:rsid w:val="00946A5A"/>
    <w:rsid w:val="00946B6B"/>
    <w:rsid w:val="00946C6C"/>
    <w:rsid w:val="00946D7E"/>
    <w:rsid w:val="00946DDC"/>
    <w:rsid w:val="00947110"/>
    <w:rsid w:val="00947312"/>
    <w:rsid w:val="00947469"/>
    <w:rsid w:val="00947626"/>
    <w:rsid w:val="0094768B"/>
    <w:rsid w:val="00947749"/>
    <w:rsid w:val="009477BE"/>
    <w:rsid w:val="0094784F"/>
    <w:rsid w:val="009478A7"/>
    <w:rsid w:val="00947B52"/>
    <w:rsid w:val="00947C09"/>
    <w:rsid w:val="0095019E"/>
    <w:rsid w:val="009501C0"/>
    <w:rsid w:val="00950208"/>
    <w:rsid w:val="0095043D"/>
    <w:rsid w:val="009505DF"/>
    <w:rsid w:val="00950823"/>
    <w:rsid w:val="00950A0E"/>
    <w:rsid w:val="00950A40"/>
    <w:rsid w:val="00950ABA"/>
    <w:rsid w:val="00950AF0"/>
    <w:rsid w:val="00950B0F"/>
    <w:rsid w:val="00950D75"/>
    <w:rsid w:val="00950D9D"/>
    <w:rsid w:val="00950F31"/>
    <w:rsid w:val="009512F9"/>
    <w:rsid w:val="009513D4"/>
    <w:rsid w:val="009514EC"/>
    <w:rsid w:val="009517BB"/>
    <w:rsid w:val="00951A0F"/>
    <w:rsid w:val="00951A2E"/>
    <w:rsid w:val="00951B34"/>
    <w:rsid w:val="00951B49"/>
    <w:rsid w:val="00951F9A"/>
    <w:rsid w:val="009521D0"/>
    <w:rsid w:val="0095234C"/>
    <w:rsid w:val="00952688"/>
    <w:rsid w:val="009526E3"/>
    <w:rsid w:val="009527A4"/>
    <w:rsid w:val="00952892"/>
    <w:rsid w:val="009528A1"/>
    <w:rsid w:val="00952AB9"/>
    <w:rsid w:val="00952CEA"/>
    <w:rsid w:val="00952DBD"/>
    <w:rsid w:val="00952E3C"/>
    <w:rsid w:val="00952E72"/>
    <w:rsid w:val="00952EAD"/>
    <w:rsid w:val="0095300A"/>
    <w:rsid w:val="00953084"/>
    <w:rsid w:val="00953394"/>
    <w:rsid w:val="0095343C"/>
    <w:rsid w:val="009534E1"/>
    <w:rsid w:val="0095356A"/>
    <w:rsid w:val="0095373D"/>
    <w:rsid w:val="0095379B"/>
    <w:rsid w:val="009537B2"/>
    <w:rsid w:val="00953858"/>
    <w:rsid w:val="009538A1"/>
    <w:rsid w:val="00953A19"/>
    <w:rsid w:val="00953A1B"/>
    <w:rsid w:val="00953CBB"/>
    <w:rsid w:val="00953E0E"/>
    <w:rsid w:val="00954021"/>
    <w:rsid w:val="0095410D"/>
    <w:rsid w:val="009541A7"/>
    <w:rsid w:val="00954557"/>
    <w:rsid w:val="0095483C"/>
    <w:rsid w:val="00954865"/>
    <w:rsid w:val="009549BB"/>
    <w:rsid w:val="00954E42"/>
    <w:rsid w:val="00954E9F"/>
    <w:rsid w:val="0095537E"/>
    <w:rsid w:val="00955CD3"/>
    <w:rsid w:val="00955D37"/>
    <w:rsid w:val="00955DAD"/>
    <w:rsid w:val="00955F1F"/>
    <w:rsid w:val="00955F87"/>
    <w:rsid w:val="00955FEC"/>
    <w:rsid w:val="0095618F"/>
    <w:rsid w:val="009562BD"/>
    <w:rsid w:val="009562C5"/>
    <w:rsid w:val="009562D0"/>
    <w:rsid w:val="0095648B"/>
    <w:rsid w:val="00956655"/>
    <w:rsid w:val="00956937"/>
    <w:rsid w:val="009569DB"/>
    <w:rsid w:val="00956A9D"/>
    <w:rsid w:val="00956E21"/>
    <w:rsid w:val="00956E81"/>
    <w:rsid w:val="00956FAA"/>
    <w:rsid w:val="00956FC9"/>
    <w:rsid w:val="009570AB"/>
    <w:rsid w:val="0095716F"/>
    <w:rsid w:val="0095749E"/>
    <w:rsid w:val="009575C4"/>
    <w:rsid w:val="009576C3"/>
    <w:rsid w:val="00957D37"/>
    <w:rsid w:val="00957E03"/>
    <w:rsid w:val="00957E32"/>
    <w:rsid w:val="00960002"/>
    <w:rsid w:val="0096000A"/>
    <w:rsid w:val="009600BB"/>
    <w:rsid w:val="00960477"/>
    <w:rsid w:val="0096050B"/>
    <w:rsid w:val="00960516"/>
    <w:rsid w:val="0096069D"/>
    <w:rsid w:val="009608F7"/>
    <w:rsid w:val="00960B10"/>
    <w:rsid w:val="00960BB3"/>
    <w:rsid w:val="00960DFA"/>
    <w:rsid w:val="00960EA8"/>
    <w:rsid w:val="009610BE"/>
    <w:rsid w:val="00961185"/>
    <w:rsid w:val="009612FE"/>
    <w:rsid w:val="00961454"/>
    <w:rsid w:val="00961476"/>
    <w:rsid w:val="00961599"/>
    <w:rsid w:val="009615FA"/>
    <w:rsid w:val="009617E7"/>
    <w:rsid w:val="009618F0"/>
    <w:rsid w:val="00961931"/>
    <w:rsid w:val="009619F0"/>
    <w:rsid w:val="00961A71"/>
    <w:rsid w:val="00961B14"/>
    <w:rsid w:val="00961C06"/>
    <w:rsid w:val="00961C53"/>
    <w:rsid w:val="00961CC8"/>
    <w:rsid w:val="00961CD9"/>
    <w:rsid w:val="00961D73"/>
    <w:rsid w:val="00961DD0"/>
    <w:rsid w:val="00961F03"/>
    <w:rsid w:val="00961F74"/>
    <w:rsid w:val="0096204B"/>
    <w:rsid w:val="00962163"/>
    <w:rsid w:val="0096221F"/>
    <w:rsid w:val="00962430"/>
    <w:rsid w:val="00962476"/>
    <w:rsid w:val="009624A8"/>
    <w:rsid w:val="00962685"/>
    <w:rsid w:val="009627AE"/>
    <w:rsid w:val="00962A57"/>
    <w:rsid w:val="00962B64"/>
    <w:rsid w:val="00962BC2"/>
    <w:rsid w:val="00962D00"/>
    <w:rsid w:val="00962F68"/>
    <w:rsid w:val="00963065"/>
    <w:rsid w:val="0096315D"/>
    <w:rsid w:val="00963256"/>
    <w:rsid w:val="009632B4"/>
    <w:rsid w:val="0096336A"/>
    <w:rsid w:val="009633A2"/>
    <w:rsid w:val="009633A6"/>
    <w:rsid w:val="0096364A"/>
    <w:rsid w:val="00963657"/>
    <w:rsid w:val="00963805"/>
    <w:rsid w:val="009639A7"/>
    <w:rsid w:val="00963A46"/>
    <w:rsid w:val="00963C28"/>
    <w:rsid w:val="00963C3F"/>
    <w:rsid w:val="00963D96"/>
    <w:rsid w:val="0096425A"/>
    <w:rsid w:val="00964428"/>
    <w:rsid w:val="00964589"/>
    <w:rsid w:val="00964971"/>
    <w:rsid w:val="009649B2"/>
    <w:rsid w:val="00964B3D"/>
    <w:rsid w:val="00964F48"/>
    <w:rsid w:val="00965181"/>
    <w:rsid w:val="009652D5"/>
    <w:rsid w:val="009652DD"/>
    <w:rsid w:val="009652E1"/>
    <w:rsid w:val="0096541F"/>
    <w:rsid w:val="009655F1"/>
    <w:rsid w:val="0096560B"/>
    <w:rsid w:val="0096580A"/>
    <w:rsid w:val="0096597C"/>
    <w:rsid w:val="00965A80"/>
    <w:rsid w:val="00965D4E"/>
    <w:rsid w:val="00965F3A"/>
    <w:rsid w:val="009661DF"/>
    <w:rsid w:val="0096631E"/>
    <w:rsid w:val="009663C4"/>
    <w:rsid w:val="0096677C"/>
    <w:rsid w:val="009667EA"/>
    <w:rsid w:val="00966F3E"/>
    <w:rsid w:val="0096719C"/>
    <w:rsid w:val="0096745D"/>
    <w:rsid w:val="009674C8"/>
    <w:rsid w:val="0096792E"/>
    <w:rsid w:val="0096798B"/>
    <w:rsid w:val="00967A4A"/>
    <w:rsid w:val="00967A9D"/>
    <w:rsid w:val="00967B5A"/>
    <w:rsid w:val="00967B8B"/>
    <w:rsid w:val="00967BE7"/>
    <w:rsid w:val="00967DDF"/>
    <w:rsid w:val="00970027"/>
    <w:rsid w:val="009700BB"/>
    <w:rsid w:val="0097010D"/>
    <w:rsid w:val="009701FC"/>
    <w:rsid w:val="0097037F"/>
    <w:rsid w:val="009704AA"/>
    <w:rsid w:val="0097062D"/>
    <w:rsid w:val="00970652"/>
    <w:rsid w:val="00970680"/>
    <w:rsid w:val="009707DF"/>
    <w:rsid w:val="00970A9C"/>
    <w:rsid w:val="00970BFF"/>
    <w:rsid w:val="00970D5B"/>
    <w:rsid w:val="00970DE3"/>
    <w:rsid w:val="00970F08"/>
    <w:rsid w:val="00970FAA"/>
    <w:rsid w:val="009710AC"/>
    <w:rsid w:val="009711E5"/>
    <w:rsid w:val="009712DC"/>
    <w:rsid w:val="00971359"/>
    <w:rsid w:val="00971394"/>
    <w:rsid w:val="00971545"/>
    <w:rsid w:val="00971D44"/>
    <w:rsid w:val="009725A2"/>
    <w:rsid w:val="009725A3"/>
    <w:rsid w:val="0097282D"/>
    <w:rsid w:val="00972A08"/>
    <w:rsid w:val="00972A18"/>
    <w:rsid w:val="00972B07"/>
    <w:rsid w:val="00972C16"/>
    <w:rsid w:val="00972D52"/>
    <w:rsid w:val="00972E41"/>
    <w:rsid w:val="00972E69"/>
    <w:rsid w:val="00972F6F"/>
    <w:rsid w:val="009736EF"/>
    <w:rsid w:val="00973772"/>
    <w:rsid w:val="009737C3"/>
    <w:rsid w:val="0097382A"/>
    <w:rsid w:val="0097383F"/>
    <w:rsid w:val="009738AA"/>
    <w:rsid w:val="009738C2"/>
    <w:rsid w:val="0097399A"/>
    <w:rsid w:val="009739DB"/>
    <w:rsid w:val="00973A46"/>
    <w:rsid w:val="00973E32"/>
    <w:rsid w:val="0097400F"/>
    <w:rsid w:val="009740BF"/>
    <w:rsid w:val="009741C4"/>
    <w:rsid w:val="009741F5"/>
    <w:rsid w:val="009741FA"/>
    <w:rsid w:val="00974284"/>
    <w:rsid w:val="0097441D"/>
    <w:rsid w:val="00974432"/>
    <w:rsid w:val="00974581"/>
    <w:rsid w:val="00974835"/>
    <w:rsid w:val="00974841"/>
    <w:rsid w:val="00974975"/>
    <w:rsid w:val="00974A0C"/>
    <w:rsid w:val="00974AA5"/>
    <w:rsid w:val="00974ADE"/>
    <w:rsid w:val="00974B49"/>
    <w:rsid w:val="00974DEF"/>
    <w:rsid w:val="00974DF0"/>
    <w:rsid w:val="00974EB0"/>
    <w:rsid w:val="009751E5"/>
    <w:rsid w:val="00975241"/>
    <w:rsid w:val="009752D7"/>
    <w:rsid w:val="009755AF"/>
    <w:rsid w:val="00975853"/>
    <w:rsid w:val="00975D41"/>
    <w:rsid w:val="00975E99"/>
    <w:rsid w:val="0097601D"/>
    <w:rsid w:val="0097607C"/>
    <w:rsid w:val="0097608C"/>
    <w:rsid w:val="009761B3"/>
    <w:rsid w:val="009761D7"/>
    <w:rsid w:val="0097638B"/>
    <w:rsid w:val="009763E6"/>
    <w:rsid w:val="00976769"/>
    <w:rsid w:val="00976854"/>
    <w:rsid w:val="0097689E"/>
    <w:rsid w:val="00976A77"/>
    <w:rsid w:val="00976B31"/>
    <w:rsid w:val="00976BE2"/>
    <w:rsid w:val="00976DD8"/>
    <w:rsid w:val="00976E9A"/>
    <w:rsid w:val="00976EB3"/>
    <w:rsid w:val="00976FFB"/>
    <w:rsid w:val="009770A7"/>
    <w:rsid w:val="0097711A"/>
    <w:rsid w:val="0097740E"/>
    <w:rsid w:val="0097757B"/>
    <w:rsid w:val="0097762E"/>
    <w:rsid w:val="00977630"/>
    <w:rsid w:val="00977680"/>
    <w:rsid w:val="00977751"/>
    <w:rsid w:val="0097776E"/>
    <w:rsid w:val="009777EE"/>
    <w:rsid w:val="00977857"/>
    <w:rsid w:val="00977A79"/>
    <w:rsid w:val="00977D3A"/>
    <w:rsid w:val="009800A9"/>
    <w:rsid w:val="0098033D"/>
    <w:rsid w:val="009805AC"/>
    <w:rsid w:val="00980750"/>
    <w:rsid w:val="00980868"/>
    <w:rsid w:val="00980B4D"/>
    <w:rsid w:val="00980CB5"/>
    <w:rsid w:val="00980EA6"/>
    <w:rsid w:val="00980FD3"/>
    <w:rsid w:val="009810F5"/>
    <w:rsid w:val="00981156"/>
    <w:rsid w:val="0098133D"/>
    <w:rsid w:val="009813E0"/>
    <w:rsid w:val="00981459"/>
    <w:rsid w:val="0098148F"/>
    <w:rsid w:val="009814E0"/>
    <w:rsid w:val="009815FF"/>
    <w:rsid w:val="0098176A"/>
    <w:rsid w:val="00981A0D"/>
    <w:rsid w:val="00981A27"/>
    <w:rsid w:val="00981A5B"/>
    <w:rsid w:val="00981A72"/>
    <w:rsid w:val="00981A89"/>
    <w:rsid w:val="00981ADE"/>
    <w:rsid w:val="00981AFA"/>
    <w:rsid w:val="00981C9B"/>
    <w:rsid w:val="00981E31"/>
    <w:rsid w:val="00981EE6"/>
    <w:rsid w:val="00981F28"/>
    <w:rsid w:val="00982025"/>
    <w:rsid w:val="00982125"/>
    <w:rsid w:val="00982373"/>
    <w:rsid w:val="009824C4"/>
    <w:rsid w:val="00982651"/>
    <w:rsid w:val="00982778"/>
    <w:rsid w:val="00982AA6"/>
    <w:rsid w:val="00982AE6"/>
    <w:rsid w:val="00982BA5"/>
    <w:rsid w:val="00982C15"/>
    <w:rsid w:val="00982E29"/>
    <w:rsid w:val="00982F54"/>
    <w:rsid w:val="009830F8"/>
    <w:rsid w:val="0098332A"/>
    <w:rsid w:val="00983419"/>
    <w:rsid w:val="009835AB"/>
    <w:rsid w:val="0098392D"/>
    <w:rsid w:val="009839D0"/>
    <w:rsid w:val="00983AB9"/>
    <w:rsid w:val="00983BC6"/>
    <w:rsid w:val="00983F36"/>
    <w:rsid w:val="0098418E"/>
    <w:rsid w:val="0098443B"/>
    <w:rsid w:val="00984550"/>
    <w:rsid w:val="009845B2"/>
    <w:rsid w:val="0098484D"/>
    <w:rsid w:val="00984D81"/>
    <w:rsid w:val="00984F28"/>
    <w:rsid w:val="00984F29"/>
    <w:rsid w:val="00984F79"/>
    <w:rsid w:val="00984F99"/>
    <w:rsid w:val="00984FEE"/>
    <w:rsid w:val="00984FEF"/>
    <w:rsid w:val="00985077"/>
    <w:rsid w:val="009850A7"/>
    <w:rsid w:val="009850FE"/>
    <w:rsid w:val="009854D2"/>
    <w:rsid w:val="0098551B"/>
    <w:rsid w:val="0098576E"/>
    <w:rsid w:val="009857E6"/>
    <w:rsid w:val="009858A4"/>
    <w:rsid w:val="009858A7"/>
    <w:rsid w:val="009858D9"/>
    <w:rsid w:val="00985979"/>
    <w:rsid w:val="00985A84"/>
    <w:rsid w:val="00985AD6"/>
    <w:rsid w:val="00985B10"/>
    <w:rsid w:val="00985F3A"/>
    <w:rsid w:val="00985F86"/>
    <w:rsid w:val="00986117"/>
    <w:rsid w:val="009861C4"/>
    <w:rsid w:val="009862B1"/>
    <w:rsid w:val="009862D6"/>
    <w:rsid w:val="009863E8"/>
    <w:rsid w:val="0098660B"/>
    <w:rsid w:val="00986685"/>
    <w:rsid w:val="0098682B"/>
    <w:rsid w:val="0098696E"/>
    <w:rsid w:val="009869B1"/>
    <w:rsid w:val="009869C0"/>
    <w:rsid w:val="00986A0F"/>
    <w:rsid w:val="00986A69"/>
    <w:rsid w:val="00986AB5"/>
    <w:rsid w:val="00986ABF"/>
    <w:rsid w:val="00986B27"/>
    <w:rsid w:val="00986D16"/>
    <w:rsid w:val="00986D2A"/>
    <w:rsid w:val="00986E1B"/>
    <w:rsid w:val="00986E3A"/>
    <w:rsid w:val="00986ED2"/>
    <w:rsid w:val="009870B7"/>
    <w:rsid w:val="0098712C"/>
    <w:rsid w:val="009871E1"/>
    <w:rsid w:val="0098729C"/>
    <w:rsid w:val="009872D0"/>
    <w:rsid w:val="00987371"/>
    <w:rsid w:val="00987573"/>
    <w:rsid w:val="0098780A"/>
    <w:rsid w:val="009879F7"/>
    <w:rsid w:val="00987B31"/>
    <w:rsid w:val="0099011B"/>
    <w:rsid w:val="0099014F"/>
    <w:rsid w:val="00990159"/>
    <w:rsid w:val="00990192"/>
    <w:rsid w:val="009903DD"/>
    <w:rsid w:val="00990791"/>
    <w:rsid w:val="009908BE"/>
    <w:rsid w:val="00990923"/>
    <w:rsid w:val="0099098B"/>
    <w:rsid w:val="00990A56"/>
    <w:rsid w:val="00990B43"/>
    <w:rsid w:val="00990BB7"/>
    <w:rsid w:val="00990BC6"/>
    <w:rsid w:val="00990C61"/>
    <w:rsid w:val="00990CB3"/>
    <w:rsid w:val="00990D1A"/>
    <w:rsid w:val="009911C0"/>
    <w:rsid w:val="0099134A"/>
    <w:rsid w:val="009915A8"/>
    <w:rsid w:val="009917A5"/>
    <w:rsid w:val="00991AE5"/>
    <w:rsid w:val="00991B3D"/>
    <w:rsid w:val="00991B8B"/>
    <w:rsid w:val="00991ECC"/>
    <w:rsid w:val="009920F8"/>
    <w:rsid w:val="00992542"/>
    <w:rsid w:val="00992546"/>
    <w:rsid w:val="00992911"/>
    <w:rsid w:val="00992979"/>
    <w:rsid w:val="00992A09"/>
    <w:rsid w:val="00992A73"/>
    <w:rsid w:val="00992AA6"/>
    <w:rsid w:val="00992B5F"/>
    <w:rsid w:val="00992B8B"/>
    <w:rsid w:val="00992BF5"/>
    <w:rsid w:val="00992C4B"/>
    <w:rsid w:val="00992C92"/>
    <w:rsid w:val="00992DCB"/>
    <w:rsid w:val="00992DE0"/>
    <w:rsid w:val="00992E4A"/>
    <w:rsid w:val="00992F3D"/>
    <w:rsid w:val="00992FD2"/>
    <w:rsid w:val="009930DA"/>
    <w:rsid w:val="009931D5"/>
    <w:rsid w:val="009933D6"/>
    <w:rsid w:val="009935E5"/>
    <w:rsid w:val="009936A3"/>
    <w:rsid w:val="00993799"/>
    <w:rsid w:val="009937B4"/>
    <w:rsid w:val="009937C8"/>
    <w:rsid w:val="009939E6"/>
    <w:rsid w:val="00993B2C"/>
    <w:rsid w:val="00993BAE"/>
    <w:rsid w:val="00993CFA"/>
    <w:rsid w:val="00993E18"/>
    <w:rsid w:val="00993E60"/>
    <w:rsid w:val="00993F68"/>
    <w:rsid w:val="00993F9C"/>
    <w:rsid w:val="009940EF"/>
    <w:rsid w:val="009941F4"/>
    <w:rsid w:val="00994238"/>
    <w:rsid w:val="00994246"/>
    <w:rsid w:val="009942CE"/>
    <w:rsid w:val="00994824"/>
    <w:rsid w:val="00994863"/>
    <w:rsid w:val="00994933"/>
    <w:rsid w:val="009949AB"/>
    <w:rsid w:val="00994A50"/>
    <w:rsid w:val="00994C2B"/>
    <w:rsid w:val="0099534C"/>
    <w:rsid w:val="00995654"/>
    <w:rsid w:val="00995999"/>
    <w:rsid w:val="00995BD4"/>
    <w:rsid w:val="00995D1C"/>
    <w:rsid w:val="00995DBF"/>
    <w:rsid w:val="00995E42"/>
    <w:rsid w:val="009961EC"/>
    <w:rsid w:val="009962FB"/>
    <w:rsid w:val="00996341"/>
    <w:rsid w:val="0099640A"/>
    <w:rsid w:val="009967F1"/>
    <w:rsid w:val="00996937"/>
    <w:rsid w:val="009969AC"/>
    <w:rsid w:val="00996D4C"/>
    <w:rsid w:val="00996D56"/>
    <w:rsid w:val="00997121"/>
    <w:rsid w:val="00997326"/>
    <w:rsid w:val="0099734F"/>
    <w:rsid w:val="00997410"/>
    <w:rsid w:val="009974A0"/>
    <w:rsid w:val="009975B4"/>
    <w:rsid w:val="009978ED"/>
    <w:rsid w:val="00997A74"/>
    <w:rsid w:val="00997C45"/>
    <w:rsid w:val="00997DAF"/>
    <w:rsid w:val="00997F6A"/>
    <w:rsid w:val="00997FB9"/>
    <w:rsid w:val="009A0027"/>
    <w:rsid w:val="009A00ED"/>
    <w:rsid w:val="009A01A2"/>
    <w:rsid w:val="009A01B3"/>
    <w:rsid w:val="009A06D3"/>
    <w:rsid w:val="009A07C5"/>
    <w:rsid w:val="009A0C15"/>
    <w:rsid w:val="009A0FDC"/>
    <w:rsid w:val="009A1064"/>
    <w:rsid w:val="009A10A7"/>
    <w:rsid w:val="009A12C8"/>
    <w:rsid w:val="009A1330"/>
    <w:rsid w:val="009A1393"/>
    <w:rsid w:val="009A14BB"/>
    <w:rsid w:val="009A17E1"/>
    <w:rsid w:val="009A184B"/>
    <w:rsid w:val="009A19F3"/>
    <w:rsid w:val="009A19F6"/>
    <w:rsid w:val="009A1A73"/>
    <w:rsid w:val="009A1B71"/>
    <w:rsid w:val="009A1C7A"/>
    <w:rsid w:val="009A2001"/>
    <w:rsid w:val="009A2011"/>
    <w:rsid w:val="009A21AC"/>
    <w:rsid w:val="009A22C6"/>
    <w:rsid w:val="009A24FE"/>
    <w:rsid w:val="009A25B8"/>
    <w:rsid w:val="009A2832"/>
    <w:rsid w:val="009A287A"/>
    <w:rsid w:val="009A28E4"/>
    <w:rsid w:val="009A2907"/>
    <w:rsid w:val="009A2A63"/>
    <w:rsid w:val="009A2A85"/>
    <w:rsid w:val="009A2C84"/>
    <w:rsid w:val="009A2F90"/>
    <w:rsid w:val="009A2FD4"/>
    <w:rsid w:val="009A301C"/>
    <w:rsid w:val="009A308B"/>
    <w:rsid w:val="009A31F7"/>
    <w:rsid w:val="009A328B"/>
    <w:rsid w:val="009A3452"/>
    <w:rsid w:val="009A34C6"/>
    <w:rsid w:val="009A34CD"/>
    <w:rsid w:val="009A34D0"/>
    <w:rsid w:val="009A3543"/>
    <w:rsid w:val="009A35F8"/>
    <w:rsid w:val="009A3987"/>
    <w:rsid w:val="009A3AA8"/>
    <w:rsid w:val="009A3C9C"/>
    <w:rsid w:val="009A3CC6"/>
    <w:rsid w:val="009A3D4B"/>
    <w:rsid w:val="009A3D98"/>
    <w:rsid w:val="009A3DE8"/>
    <w:rsid w:val="009A3F38"/>
    <w:rsid w:val="009A4095"/>
    <w:rsid w:val="009A4145"/>
    <w:rsid w:val="009A4221"/>
    <w:rsid w:val="009A4626"/>
    <w:rsid w:val="009A4668"/>
    <w:rsid w:val="009A49D6"/>
    <w:rsid w:val="009A4B81"/>
    <w:rsid w:val="009A4C49"/>
    <w:rsid w:val="009A4D29"/>
    <w:rsid w:val="009A4F1D"/>
    <w:rsid w:val="009A4F67"/>
    <w:rsid w:val="009A4FBE"/>
    <w:rsid w:val="009A4FD6"/>
    <w:rsid w:val="009A5010"/>
    <w:rsid w:val="009A52B9"/>
    <w:rsid w:val="009A55BB"/>
    <w:rsid w:val="009A55E2"/>
    <w:rsid w:val="009A567E"/>
    <w:rsid w:val="009A56F6"/>
    <w:rsid w:val="009A5752"/>
    <w:rsid w:val="009A57DC"/>
    <w:rsid w:val="009A5843"/>
    <w:rsid w:val="009A58B9"/>
    <w:rsid w:val="009A59A2"/>
    <w:rsid w:val="009A59E1"/>
    <w:rsid w:val="009A5AC0"/>
    <w:rsid w:val="009A5D50"/>
    <w:rsid w:val="009A5EDF"/>
    <w:rsid w:val="009A5F4A"/>
    <w:rsid w:val="009A62FC"/>
    <w:rsid w:val="009A69C2"/>
    <w:rsid w:val="009A6B99"/>
    <w:rsid w:val="009A6D30"/>
    <w:rsid w:val="009A6D7E"/>
    <w:rsid w:val="009A6EB3"/>
    <w:rsid w:val="009A6ED6"/>
    <w:rsid w:val="009A743D"/>
    <w:rsid w:val="009A756A"/>
    <w:rsid w:val="009A7588"/>
    <w:rsid w:val="009A7624"/>
    <w:rsid w:val="009A7825"/>
    <w:rsid w:val="009A7876"/>
    <w:rsid w:val="009A78A6"/>
    <w:rsid w:val="009A7906"/>
    <w:rsid w:val="009A79FA"/>
    <w:rsid w:val="009A7ACA"/>
    <w:rsid w:val="009A7AE2"/>
    <w:rsid w:val="009A7FD0"/>
    <w:rsid w:val="009B0059"/>
    <w:rsid w:val="009B00E4"/>
    <w:rsid w:val="009B0131"/>
    <w:rsid w:val="009B0407"/>
    <w:rsid w:val="009B063C"/>
    <w:rsid w:val="009B067E"/>
    <w:rsid w:val="009B0735"/>
    <w:rsid w:val="009B07CB"/>
    <w:rsid w:val="009B090F"/>
    <w:rsid w:val="009B0911"/>
    <w:rsid w:val="009B09B1"/>
    <w:rsid w:val="009B0A1C"/>
    <w:rsid w:val="009B0A65"/>
    <w:rsid w:val="009B0AB1"/>
    <w:rsid w:val="009B0B7B"/>
    <w:rsid w:val="009B0BE3"/>
    <w:rsid w:val="009B0CE2"/>
    <w:rsid w:val="009B0CEC"/>
    <w:rsid w:val="009B0D12"/>
    <w:rsid w:val="009B0DF2"/>
    <w:rsid w:val="009B0FFF"/>
    <w:rsid w:val="009B10C1"/>
    <w:rsid w:val="009B1133"/>
    <w:rsid w:val="009B13C6"/>
    <w:rsid w:val="009B1513"/>
    <w:rsid w:val="009B1695"/>
    <w:rsid w:val="009B18D6"/>
    <w:rsid w:val="009B18E8"/>
    <w:rsid w:val="009B1A16"/>
    <w:rsid w:val="009B1DEF"/>
    <w:rsid w:val="009B1EA9"/>
    <w:rsid w:val="009B1EEA"/>
    <w:rsid w:val="009B1F5A"/>
    <w:rsid w:val="009B21B7"/>
    <w:rsid w:val="009B23E9"/>
    <w:rsid w:val="009B247F"/>
    <w:rsid w:val="009B276A"/>
    <w:rsid w:val="009B2876"/>
    <w:rsid w:val="009B28A5"/>
    <w:rsid w:val="009B2B9A"/>
    <w:rsid w:val="009B2C1E"/>
    <w:rsid w:val="009B2CFC"/>
    <w:rsid w:val="009B2D03"/>
    <w:rsid w:val="009B2D35"/>
    <w:rsid w:val="009B2DC7"/>
    <w:rsid w:val="009B2F7B"/>
    <w:rsid w:val="009B30EF"/>
    <w:rsid w:val="009B31FF"/>
    <w:rsid w:val="009B3316"/>
    <w:rsid w:val="009B3406"/>
    <w:rsid w:val="009B37A5"/>
    <w:rsid w:val="009B37C2"/>
    <w:rsid w:val="009B393A"/>
    <w:rsid w:val="009B39B3"/>
    <w:rsid w:val="009B3BF5"/>
    <w:rsid w:val="009B3CCF"/>
    <w:rsid w:val="009B3D28"/>
    <w:rsid w:val="009B3D32"/>
    <w:rsid w:val="009B3E03"/>
    <w:rsid w:val="009B3E0F"/>
    <w:rsid w:val="009B3F1B"/>
    <w:rsid w:val="009B40CB"/>
    <w:rsid w:val="009B40E6"/>
    <w:rsid w:val="009B4159"/>
    <w:rsid w:val="009B41A9"/>
    <w:rsid w:val="009B42FE"/>
    <w:rsid w:val="009B4357"/>
    <w:rsid w:val="009B470F"/>
    <w:rsid w:val="009B471B"/>
    <w:rsid w:val="009B4868"/>
    <w:rsid w:val="009B4F83"/>
    <w:rsid w:val="009B4FAC"/>
    <w:rsid w:val="009B514D"/>
    <w:rsid w:val="009B5271"/>
    <w:rsid w:val="009B5475"/>
    <w:rsid w:val="009B549A"/>
    <w:rsid w:val="009B55EA"/>
    <w:rsid w:val="009B566F"/>
    <w:rsid w:val="009B5752"/>
    <w:rsid w:val="009B57FD"/>
    <w:rsid w:val="009B583B"/>
    <w:rsid w:val="009B589C"/>
    <w:rsid w:val="009B5AEC"/>
    <w:rsid w:val="009B5BC4"/>
    <w:rsid w:val="009B5CE1"/>
    <w:rsid w:val="009B5EE7"/>
    <w:rsid w:val="009B60D0"/>
    <w:rsid w:val="009B61CA"/>
    <w:rsid w:val="009B61FE"/>
    <w:rsid w:val="009B639B"/>
    <w:rsid w:val="009B6670"/>
    <w:rsid w:val="009B6761"/>
    <w:rsid w:val="009B6AC5"/>
    <w:rsid w:val="009B6C47"/>
    <w:rsid w:val="009B6C5D"/>
    <w:rsid w:val="009B6CD7"/>
    <w:rsid w:val="009B6D3A"/>
    <w:rsid w:val="009B6D95"/>
    <w:rsid w:val="009B6F37"/>
    <w:rsid w:val="009B704E"/>
    <w:rsid w:val="009B70EE"/>
    <w:rsid w:val="009B7102"/>
    <w:rsid w:val="009B71B4"/>
    <w:rsid w:val="009B72AB"/>
    <w:rsid w:val="009B7376"/>
    <w:rsid w:val="009B7378"/>
    <w:rsid w:val="009B74B9"/>
    <w:rsid w:val="009B7547"/>
    <w:rsid w:val="009B7590"/>
    <w:rsid w:val="009B767D"/>
    <w:rsid w:val="009B77F1"/>
    <w:rsid w:val="009B7D3F"/>
    <w:rsid w:val="009C0128"/>
    <w:rsid w:val="009C01AE"/>
    <w:rsid w:val="009C0607"/>
    <w:rsid w:val="009C0742"/>
    <w:rsid w:val="009C077F"/>
    <w:rsid w:val="009C07BD"/>
    <w:rsid w:val="009C07DA"/>
    <w:rsid w:val="009C0840"/>
    <w:rsid w:val="009C09FB"/>
    <w:rsid w:val="009C0AD0"/>
    <w:rsid w:val="009C0AD6"/>
    <w:rsid w:val="009C0B29"/>
    <w:rsid w:val="009C0C4C"/>
    <w:rsid w:val="009C0DD3"/>
    <w:rsid w:val="009C0FAB"/>
    <w:rsid w:val="009C0FC9"/>
    <w:rsid w:val="009C1001"/>
    <w:rsid w:val="009C114C"/>
    <w:rsid w:val="009C11BF"/>
    <w:rsid w:val="009C1218"/>
    <w:rsid w:val="009C16F6"/>
    <w:rsid w:val="009C1796"/>
    <w:rsid w:val="009C18A5"/>
    <w:rsid w:val="009C18D5"/>
    <w:rsid w:val="009C1A61"/>
    <w:rsid w:val="009C1B44"/>
    <w:rsid w:val="009C1C47"/>
    <w:rsid w:val="009C1C91"/>
    <w:rsid w:val="009C1CED"/>
    <w:rsid w:val="009C1D0C"/>
    <w:rsid w:val="009C1D9F"/>
    <w:rsid w:val="009C1EC4"/>
    <w:rsid w:val="009C1F6E"/>
    <w:rsid w:val="009C1F9E"/>
    <w:rsid w:val="009C20BD"/>
    <w:rsid w:val="009C2179"/>
    <w:rsid w:val="009C21C2"/>
    <w:rsid w:val="009C2314"/>
    <w:rsid w:val="009C2369"/>
    <w:rsid w:val="009C23D9"/>
    <w:rsid w:val="009C278D"/>
    <w:rsid w:val="009C2A1A"/>
    <w:rsid w:val="009C2C5C"/>
    <w:rsid w:val="009C2DC9"/>
    <w:rsid w:val="009C2F8A"/>
    <w:rsid w:val="009C3309"/>
    <w:rsid w:val="009C352F"/>
    <w:rsid w:val="009C35B0"/>
    <w:rsid w:val="009C3674"/>
    <w:rsid w:val="009C3682"/>
    <w:rsid w:val="009C3722"/>
    <w:rsid w:val="009C3A14"/>
    <w:rsid w:val="009C3AE3"/>
    <w:rsid w:val="009C3BA0"/>
    <w:rsid w:val="009C3FFF"/>
    <w:rsid w:val="009C411C"/>
    <w:rsid w:val="009C432F"/>
    <w:rsid w:val="009C4446"/>
    <w:rsid w:val="009C450D"/>
    <w:rsid w:val="009C45D0"/>
    <w:rsid w:val="009C4660"/>
    <w:rsid w:val="009C46A4"/>
    <w:rsid w:val="009C476A"/>
    <w:rsid w:val="009C4ACB"/>
    <w:rsid w:val="009C4B13"/>
    <w:rsid w:val="009C4B95"/>
    <w:rsid w:val="009C4BBC"/>
    <w:rsid w:val="009C4BD1"/>
    <w:rsid w:val="009C4BDB"/>
    <w:rsid w:val="009C4C14"/>
    <w:rsid w:val="009C519D"/>
    <w:rsid w:val="009C53DF"/>
    <w:rsid w:val="009C544C"/>
    <w:rsid w:val="009C560B"/>
    <w:rsid w:val="009C5735"/>
    <w:rsid w:val="009C577B"/>
    <w:rsid w:val="009C57ED"/>
    <w:rsid w:val="009C59CF"/>
    <w:rsid w:val="009C607B"/>
    <w:rsid w:val="009C616F"/>
    <w:rsid w:val="009C6630"/>
    <w:rsid w:val="009C66C0"/>
    <w:rsid w:val="009C68E8"/>
    <w:rsid w:val="009C68F3"/>
    <w:rsid w:val="009C68FD"/>
    <w:rsid w:val="009C6954"/>
    <w:rsid w:val="009C6A7D"/>
    <w:rsid w:val="009C6C1F"/>
    <w:rsid w:val="009C6CD5"/>
    <w:rsid w:val="009C6CF2"/>
    <w:rsid w:val="009C6D44"/>
    <w:rsid w:val="009C6DAE"/>
    <w:rsid w:val="009C6EE3"/>
    <w:rsid w:val="009C71CE"/>
    <w:rsid w:val="009C73D8"/>
    <w:rsid w:val="009C75EC"/>
    <w:rsid w:val="009C77AF"/>
    <w:rsid w:val="009C77E7"/>
    <w:rsid w:val="009C7CCF"/>
    <w:rsid w:val="009C7CFE"/>
    <w:rsid w:val="009C7DD6"/>
    <w:rsid w:val="009D00BE"/>
    <w:rsid w:val="009D018A"/>
    <w:rsid w:val="009D0361"/>
    <w:rsid w:val="009D03CF"/>
    <w:rsid w:val="009D045E"/>
    <w:rsid w:val="009D04EA"/>
    <w:rsid w:val="009D0506"/>
    <w:rsid w:val="009D05B7"/>
    <w:rsid w:val="009D0774"/>
    <w:rsid w:val="009D09B2"/>
    <w:rsid w:val="009D0F3B"/>
    <w:rsid w:val="009D0FCD"/>
    <w:rsid w:val="009D10CD"/>
    <w:rsid w:val="009D1112"/>
    <w:rsid w:val="009D1142"/>
    <w:rsid w:val="009D117A"/>
    <w:rsid w:val="009D12B9"/>
    <w:rsid w:val="009D12FF"/>
    <w:rsid w:val="009D153F"/>
    <w:rsid w:val="009D1645"/>
    <w:rsid w:val="009D17B0"/>
    <w:rsid w:val="009D1819"/>
    <w:rsid w:val="009D1845"/>
    <w:rsid w:val="009D1A9E"/>
    <w:rsid w:val="009D1EB5"/>
    <w:rsid w:val="009D1FA2"/>
    <w:rsid w:val="009D2075"/>
    <w:rsid w:val="009D20CE"/>
    <w:rsid w:val="009D21A3"/>
    <w:rsid w:val="009D2212"/>
    <w:rsid w:val="009D22F2"/>
    <w:rsid w:val="009D23B4"/>
    <w:rsid w:val="009D25A8"/>
    <w:rsid w:val="009D25E6"/>
    <w:rsid w:val="009D2623"/>
    <w:rsid w:val="009D26DD"/>
    <w:rsid w:val="009D2891"/>
    <w:rsid w:val="009D29E3"/>
    <w:rsid w:val="009D2A40"/>
    <w:rsid w:val="009D2C7A"/>
    <w:rsid w:val="009D2F70"/>
    <w:rsid w:val="009D3009"/>
    <w:rsid w:val="009D34B3"/>
    <w:rsid w:val="009D357C"/>
    <w:rsid w:val="009D3603"/>
    <w:rsid w:val="009D3860"/>
    <w:rsid w:val="009D3959"/>
    <w:rsid w:val="009D3B76"/>
    <w:rsid w:val="009D3B86"/>
    <w:rsid w:val="009D3DE5"/>
    <w:rsid w:val="009D409C"/>
    <w:rsid w:val="009D412D"/>
    <w:rsid w:val="009D445F"/>
    <w:rsid w:val="009D4491"/>
    <w:rsid w:val="009D44A9"/>
    <w:rsid w:val="009D451B"/>
    <w:rsid w:val="009D461D"/>
    <w:rsid w:val="009D4816"/>
    <w:rsid w:val="009D4C30"/>
    <w:rsid w:val="009D4C4E"/>
    <w:rsid w:val="009D4E40"/>
    <w:rsid w:val="009D4F16"/>
    <w:rsid w:val="009D4F95"/>
    <w:rsid w:val="009D5196"/>
    <w:rsid w:val="009D5263"/>
    <w:rsid w:val="009D5472"/>
    <w:rsid w:val="009D54C4"/>
    <w:rsid w:val="009D5566"/>
    <w:rsid w:val="009D5634"/>
    <w:rsid w:val="009D572A"/>
    <w:rsid w:val="009D57C7"/>
    <w:rsid w:val="009D5B01"/>
    <w:rsid w:val="009D5BBD"/>
    <w:rsid w:val="009D5F7C"/>
    <w:rsid w:val="009D6421"/>
    <w:rsid w:val="009D6558"/>
    <w:rsid w:val="009D674D"/>
    <w:rsid w:val="009D67DE"/>
    <w:rsid w:val="009D695D"/>
    <w:rsid w:val="009D6967"/>
    <w:rsid w:val="009D6AD8"/>
    <w:rsid w:val="009D6B90"/>
    <w:rsid w:val="009D6BE1"/>
    <w:rsid w:val="009D6CA0"/>
    <w:rsid w:val="009D6CF4"/>
    <w:rsid w:val="009D6D71"/>
    <w:rsid w:val="009D6E24"/>
    <w:rsid w:val="009D715F"/>
    <w:rsid w:val="009D722C"/>
    <w:rsid w:val="009D73A4"/>
    <w:rsid w:val="009E02FD"/>
    <w:rsid w:val="009E0332"/>
    <w:rsid w:val="009E0344"/>
    <w:rsid w:val="009E0393"/>
    <w:rsid w:val="009E0400"/>
    <w:rsid w:val="009E048C"/>
    <w:rsid w:val="009E0541"/>
    <w:rsid w:val="009E07F4"/>
    <w:rsid w:val="009E0842"/>
    <w:rsid w:val="009E0A57"/>
    <w:rsid w:val="009E0A5F"/>
    <w:rsid w:val="009E0BF6"/>
    <w:rsid w:val="009E0D0A"/>
    <w:rsid w:val="009E0FF6"/>
    <w:rsid w:val="009E10EF"/>
    <w:rsid w:val="009E1379"/>
    <w:rsid w:val="009E13CC"/>
    <w:rsid w:val="009E13EC"/>
    <w:rsid w:val="009E13F5"/>
    <w:rsid w:val="009E14C3"/>
    <w:rsid w:val="009E195C"/>
    <w:rsid w:val="009E19FB"/>
    <w:rsid w:val="009E1E8E"/>
    <w:rsid w:val="009E1E9F"/>
    <w:rsid w:val="009E1F9E"/>
    <w:rsid w:val="009E1FC4"/>
    <w:rsid w:val="009E2005"/>
    <w:rsid w:val="009E2043"/>
    <w:rsid w:val="009E2075"/>
    <w:rsid w:val="009E2091"/>
    <w:rsid w:val="009E2150"/>
    <w:rsid w:val="009E21DF"/>
    <w:rsid w:val="009E23F4"/>
    <w:rsid w:val="009E24AD"/>
    <w:rsid w:val="009E24E6"/>
    <w:rsid w:val="009E2530"/>
    <w:rsid w:val="009E25E6"/>
    <w:rsid w:val="009E2668"/>
    <w:rsid w:val="009E26A3"/>
    <w:rsid w:val="009E272A"/>
    <w:rsid w:val="009E2777"/>
    <w:rsid w:val="009E27EF"/>
    <w:rsid w:val="009E28D0"/>
    <w:rsid w:val="009E2AED"/>
    <w:rsid w:val="009E2B19"/>
    <w:rsid w:val="009E2B24"/>
    <w:rsid w:val="009E2B2B"/>
    <w:rsid w:val="009E2B6F"/>
    <w:rsid w:val="009E2BD1"/>
    <w:rsid w:val="009E2C5F"/>
    <w:rsid w:val="009E2C90"/>
    <w:rsid w:val="009E2CA5"/>
    <w:rsid w:val="009E2E18"/>
    <w:rsid w:val="009E2FFA"/>
    <w:rsid w:val="009E32AD"/>
    <w:rsid w:val="009E3371"/>
    <w:rsid w:val="009E373B"/>
    <w:rsid w:val="009E3A89"/>
    <w:rsid w:val="009E3A9B"/>
    <w:rsid w:val="009E3D27"/>
    <w:rsid w:val="009E3E73"/>
    <w:rsid w:val="009E3E82"/>
    <w:rsid w:val="009E3EB9"/>
    <w:rsid w:val="009E4059"/>
    <w:rsid w:val="009E41D5"/>
    <w:rsid w:val="009E4329"/>
    <w:rsid w:val="009E437B"/>
    <w:rsid w:val="009E4413"/>
    <w:rsid w:val="009E44CC"/>
    <w:rsid w:val="009E4561"/>
    <w:rsid w:val="009E4564"/>
    <w:rsid w:val="009E470E"/>
    <w:rsid w:val="009E4930"/>
    <w:rsid w:val="009E493B"/>
    <w:rsid w:val="009E493E"/>
    <w:rsid w:val="009E4A04"/>
    <w:rsid w:val="009E4A75"/>
    <w:rsid w:val="009E4E0F"/>
    <w:rsid w:val="009E4EBE"/>
    <w:rsid w:val="009E50F3"/>
    <w:rsid w:val="009E51D7"/>
    <w:rsid w:val="009E5233"/>
    <w:rsid w:val="009E53B5"/>
    <w:rsid w:val="009E5427"/>
    <w:rsid w:val="009E543D"/>
    <w:rsid w:val="009E54DA"/>
    <w:rsid w:val="009E564C"/>
    <w:rsid w:val="009E5757"/>
    <w:rsid w:val="009E59AF"/>
    <w:rsid w:val="009E59F5"/>
    <w:rsid w:val="009E5A1C"/>
    <w:rsid w:val="009E5BE3"/>
    <w:rsid w:val="009E5C00"/>
    <w:rsid w:val="009E5D7B"/>
    <w:rsid w:val="009E5DE7"/>
    <w:rsid w:val="009E6321"/>
    <w:rsid w:val="009E641A"/>
    <w:rsid w:val="009E6520"/>
    <w:rsid w:val="009E6531"/>
    <w:rsid w:val="009E6760"/>
    <w:rsid w:val="009E6B5F"/>
    <w:rsid w:val="009E6B94"/>
    <w:rsid w:val="009E6B95"/>
    <w:rsid w:val="009E6E0E"/>
    <w:rsid w:val="009E6E1E"/>
    <w:rsid w:val="009E6E4E"/>
    <w:rsid w:val="009E6F24"/>
    <w:rsid w:val="009E706D"/>
    <w:rsid w:val="009E709F"/>
    <w:rsid w:val="009E7202"/>
    <w:rsid w:val="009E7433"/>
    <w:rsid w:val="009E7440"/>
    <w:rsid w:val="009E7504"/>
    <w:rsid w:val="009E75DE"/>
    <w:rsid w:val="009E7649"/>
    <w:rsid w:val="009E78C3"/>
    <w:rsid w:val="009E79D5"/>
    <w:rsid w:val="009E7A7F"/>
    <w:rsid w:val="009E7D1E"/>
    <w:rsid w:val="009E7DFE"/>
    <w:rsid w:val="009E7F18"/>
    <w:rsid w:val="009F0127"/>
    <w:rsid w:val="009F0137"/>
    <w:rsid w:val="009F01D4"/>
    <w:rsid w:val="009F02D3"/>
    <w:rsid w:val="009F04A7"/>
    <w:rsid w:val="009F0584"/>
    <w:rsid w:val="009F06D1"/>
    <w:rsid w:val="009F08A3"/>
    <w:rsid w:val="009F09E2"/>
    <w:rsid w:val="009F0A03"/>
    <w:rsid w:val="009F0A6F"/>
    <w:rsid w:val="009F0CAC"/>
    <w:rsid w:val="009F0D17"/>
    <w:rsid w:val="009F0E1C"/>
    <w:rsid w:val="009F0FA5"/>
    <w:rsid w:val="009F0FFD"/>
    <w:rsid w:val="009F1078"/>
    <w:rsid w:val="009F10C5"/>
    <w:rsid w:val="009F121C"/>
    <w:rsid w:val="009F13CC"/>
    <w:rsid w:val="009F19AB"/>
    <w:rsid w:val="009F19EE"/>
    <w:rsid w:val="009F19FC"/>
    <w:rsid w:val="009F1A1A"/>
    <w:rsid w:val="009F1BF4"/>
    <w:rsid w:val="009F1CD4"/>
    <w:rsid w:val="009F1EDC"/>
    <w:rsid w:val="009F2139"/>
    <w:rsid w:val="009F2172"/>
    <w:rsid w:val="009F2187"/>
    <w:rsid w:val="009F23B2"/>
    <w:rsid w:val="009F23F2"/>
    <w:rsid w:val="009F24A7"/>
    <w:rsid w:val="009F256E"/>
    <w:rsid w:val="009F274C"/>
    <w:rsid w:val="009F28E8"/>
    <w:rsid w:val="009F2996"/>
    <w:rsid w:val="009F2B94"/>
    <w:rsid w:val="009F2BAD"/>
    <w:rsid w:val="009F2DEA"/>
    <w:rsid w:val="009F2EA2"/>
    <w:rsid w:val="009F3036"/>
    <w:rsid w:val="009F31ED"/>
    <w:rsid w:val="009F3243"/>
    <w:rsid w:val="009F32A4"/>
    <w:rsid w:val="009F32FF"/>
    <w:rsid w:val="009F364D"/>
    <w:rsid w:val="009F37DA"/>
    <w:rsid w:val="009F39C6"/>
    <w:rsid w:val="009F3A80"/>
    <w:rsid w:val="009F3B85"/>
    <w:rsid w:val="009F3C6E"/>
    <w:rsid w:val="009F3D10"/>
    <w:rsid w:val="009F3F98"/>
    <w:rsid w:val="009F400A"/>
    <w:rsid w:val="009F41A5"/>
    <w:rsid w:val="009F42BD"/>
    <w:rsid w:val="009F42D3"/>
    <w:rsid w:val="009F437B"/>
    <w:rsid w:val="009F43A7"/>
    <w:rsid w:val="009F43EA"/>
    <w:rsid w:val="009F4419"/>
    <w:rsid w:val="009F4523"/>
    <w:rsid w:val="009F4607"/>
    <w:rsid w:val="009F4722"/>
    <w:rsid w:val="009F4852"/>
    <w:rsid w:val="009F48C9"/>
    <w:rsid w:val="009F4A50"/>
    <w:rsid w:val="009F4B06"/>
    <w:rsid w:val="009F4C41"/>
    <w:rsid w:val="009F4E5F"/>
    <w:rsid w:val="009F4F06"/>
    <w:rsid w:val="009F50A6"/>
    <w:rsid w:val="009F51B1"/>
    <w:rsid w:val="009F51B7"/>
    <w:rsid w:val="009F51CA"/>
    <w:rsid w:val="009F520B"/>
    <w:rsid w:val="009F5284"/>
    <w:rsid w:val="009F57DF"/>
    <w:rsid w:val="009F5A25"/>
    <w:rsid w:val="009F5B35"/>
    <w:rsid w:val="009F5B80"/>
    <w:rsid w:val="009F5CF8"/>
    <w:rsid w:val="009F5E1D"/>
    <w:rsid w:val="009F5E3A"/>
    <w:rsid w:val="009F6044"/>
    <w:rsid w:val="009F60BD"/>
    <w:rsid w:val="009F613D"/>
    <w:rsid w:val="009F674A"/>
    <w:rsid w:val="009F67DC"/>
    <w:rsid w:val="009F6A0A"/>
    <w:rsid w:val="009F6BED"/>
    <w:rsid w:val="009F6C7F"/>
    <w:rsid w:val="009F6D0F"/>
    <w:rsid w:val="009F7004"/>
    <w:rsid w:val="009F7057"/>
    <w:rsid w:val="009F7068"/>
    <w:rsid w:val="009F70C6"/>
    <w:rsid w:val="009F70D6"/>
    <w:rsid w:val="009F7249"/>
    <w:rsid w:val="009F72BA"/>
    <w:rsid w:val="009F76B8"/>
    <w:rsid w:val="009F7814"/>
    <w:rsid w:val="009F7AD8"/>
    <w:rsid w:val="009F7BDE"/>
    <w:rsid w:val="009F7FEF"/>
    <w:rsid w:val="00A00367"/>
    <w:rsid w:val="00A003B9"/>
    <w:rsid w:val="00A003BC"/>
    <w:rsid w:val="00A0051E"/>
    <w:rsid w:val="00A005E5"/>
    <w:rsid w:val="00A00628"/>
    <w:rsid w:val="00A00982"/>
    <w:rsid w:val="00A00BBC"/>
    <w:rsid w:val="00A00CEC"/>
    <w:rsid w:val="00A00D07"/>
    <w:rsid w:val="00A00F06"/>
    <w:rsid w:val="00A00FB9"/>
    <w:rsid w:val="00A00FE7"/>
    <w:rsid w:val="00A0130B"/>
    <w:rsid w:val="00A0145A"/>
    <w:rsid w:val="00A014BB"/>
    <w:rsid w:val="00A01816"/>
    <w:rsid w:val="00A01A1C"/>
    <w:rsid w:val="00A01ADE"/>
    <w:rsid w:val="00A01B4F"/>
    <w:rsid w:val="00A01B93"/>
    <w:rsid w:val="00A01C0C"/>
    <w:rsid w:val="00A02124"/>
    <w:rsid w:val="00A0214C"/>
    <w:rsid w:val="00A021E6"/>
    <w:rsid w:val="00A0220E"/>
    <w:rsid w:val="00A026DB"/>
    <w:rsid w:val="00A029F1"/>
    <w:rsid w:val="00A02AA8"/>
    <w:rsid w:val="00A02C36"/>
    <w:rsid w:val="00A02D99"/>
    <w:rsid w:val="00A02EF0"/>
    <w:rsid w:val="00A02FEC"/>
    <w:rsid w:val="00A030F9"/>
    <w:rsid w:val="00A03378"/>
    <w:rsid w:val="00A03422"/>
    <w:rsid w:val="00A03775"/>
    <w:rsid w:val="00A03926"/>
    <w:rsid w:val="00A03975"/>
    <w:rsid w:val="00A03ADE"/>
    <w:rsid w:val="00A03BCF"/>
    <w:rsid w:val="00A04404"/>
    <w:rsid w:val="00A04409"/>
    <w:rsid w:val="00A04430"/>
    <w:rsid w:val="00A04594"/>
    <w:rsid w:val="00A045F1"/>
    <w:rsid w:val="00A0471F"/>
    <w:rsid w:val="00A04963"/>
    <w:rsid w:val="00A049F3"/>
    <w:rsid w:val="00A04A58"/>
    <w:rsid w:val="00A05068"/>
    <w:rsid w:val="00A05401"/>
    <w:rsid w:val="00A05420"/>
    <w:rsid w:val="00A0542C"/>
    <w:rsid w:val="00A05562"/>
    <w:rsid w:val="00A05567"/>
    <w:rsid w:val="00A055F9"/>
    <w:rsid w:val="00A05702"/>
    <w:rsid w:val="00A057B4"/>
    <w:rsid w:val="00A057DF"/>
    <w:rsid w:val="00A05AD1"/>
    <w:rsid w:val="00A05C22"/>
    <w:rsid w:val="00A05D27"/>
    <w:rsid w:val="00A061BF"/>
    <w:rsid w:val="00A0623D"/>
    <w:rsid w:val="00A0628C"/>
    <w:rsid w:val="00A062D4"/>
    <w:rsid w:val="00A06385"/>
    <w:rsid w:val="00A063E7"/>
    <w:rsid w:val="00A066EE"/>
    <w:rsid w:val="00A067AE"/>
    <w:rsid w:val="00A06893"/>
    <w:rsid w:val="00A06B1B"/>
    <w:rsid w:val="00A06C1B"/>
    <w:rsid w:val="00A06CC7"/>
    <w:rsid w:val="00A06D63"/>
    <w:rsid w:val="00A07005"/>
    <w:rsid w:val="00A070DE"/>
    <w:rsid w:val="00A070FA"/>
    <w:rsid w:val="00A074FA"/>
    <w:rsid w:val="00A0768B"/>
    <w:rsid w:val="00A077A1"/>
    <w:rsid w:val="00A07968"/>
    <w:rsid w:val="00A07E0E"/>
    <w:rsid w:val="00A07F68"/>
    <w:rsid w:val="00A07F6A"/>
    <w:rsid w:val="00A07F7B"/>
    <w:rsid w:val="00A07FD6"/>
    <w:rsid w:val="00A1008B"/>
    <w:rsid w:val="00A101C7"/>
    <w:rsid w:val="00A103EE"/>
    <w:rsid w:val="00A104C1"/>
    <w:rsid w:val="00A106CB"/>
    <w:rsid w:val="00A10739"/>
    <w:rsid w:val="00A10773"/>
    <w:rsid w:val="00A1081C"/>
    <w:rsid w:val="00A10856"/>
    <w:rsid w:val="00A10972"/>
    <w:rsid w:val="00A109E1"/>
    <w:rsid w:val="00A10A36"/>
    <w:rsid w:val="00A10ABC"/>
    <w:rsid w:val="00A10B26"/>
    <w:rsid w:val="00A10BF2"/>
    <w:rsid w:val="00A10E20"/>
    <w:rsid w:val="00A10E26"/>
    <w:rsid w:val="00A10E39"/>
    <w:rsid w:val="00A10F7B"/>
    <w:rsid w:val="00A110D4"/>
    <w:rsid w:val="00A111FC"/>
    <w:rsid w:val="00A1122B"/>
    <w:rsid w:val="00A11602"/>
    <w:rsid w:val="00A1176D"/>
    <w:rsid w:val="00A117CB"/>
    <w:rsid w:val="00A117DD"/>
    <w:rsid w:val="00A118DE"/>
    <w:rsid w:val="00A11998"/>
    <w:rsid w:val="00A11A68"/>
    <w:rsid w:val="00A11B0E"/>
    <w:rsid w:val="00A11B5F"/>
    <w:rsid w:val="00A11BCF"/>
    <w:rsid w:val="00A11D14"/>
    <w:rsid w:val="00A11D55"/>
    <w:rsid w:val="00A11EBA"/>
    <w:rsid w:val="00A12137"/>
    <w:rsid w:val="00A1218A"/>
    <w:rsid w:val="00A1242A"/>
    <w:rsid w:val="00A125E2"/>
    <w:rsid w:val="00A12662"/>
    <w:rsid w:val="00A12972"/>
    <w:rsid w:val="00A12B12"/>
    <w:rsid w:val="00A130DE"/>
    <w:rsid w:val="00A1314C"/>
    <w:rsid w:val="00A13215"/>
    <w:rsid w:val="00A132F7"/>
    <w:rsid w:val="00A13518"/>
    <w:rsid w:val="00A136AD"/>
    <w:rsid w:val="00A137E7"/>
    <w:rsid w:val="00A13A71"/>
    <w:rsid w:val="00A13D02"/>
    <w:rsid w:val="00A13EB5"/>
    <w:rsid w:val="00A13EC9"/>
    <w:rsid w:val="00A13F47"/>
    <w:rsid w:val="00A13F71"/>
    <w:rsid w:val="00A13FCC"/>
    <w:rsid w:val="00A13FF5"/>
    <w:rsid w:val="00A14075"/>
    <w:rsid w:val="00A14251"/>
    <w:rsid w:val="00A1444B"/>
    <w:rsid w:val="00A1457D"/>
    <w:rsid w:val="00A14584"/>
    <w:rsid w:val="00A14624"/>
    <w:rsid w:val="00A14872"/>
    <w:rsid w:val="00A149AC"/>
    <w:rsid w:val="00A149DB"/>
    <w:rsid w:val="00A14A88"/>
    <w:rsid w:val="00A14AE5"/>
    <w:rsid w:val="00A14D2B"/>
    <w:rsid w:val="00A14E0F"/>
    <w:rsid w:val="00A1507A"/>
    <w:rsid w:val="00A15489"/>
    <w:rsid w:val="00A156B3"/>
    <w:rsid w:val="00A156D7"/>
    <w:rsid w:val="00A15B42"/>
    <w:rsid w:val="00A15C5A"/>
    <w:rsid w:val="00A15D45"/>
    <w:rsid w:val="00A15DEB"/>
    <w:rsid w:val="00A15E20"/>
    <w:rsid w:val="00A15EBF"/>
    <w:rsid w:val="00A16001"/>
    <w:rsid w:val="00A16003"/>
    <w:rsid w:val="00A160A5"/>
    <w:rsid w:val="00A16141"/>
    <w:rsid w:val="00A16143"/>
    <w:rsid w:val="00A16218"/>
    <w:rsid w:val="00A1624E"/>
    <w:rsid w:val="00A16529"/>
    <w:rsid w:val="00A1665D"/>
    <w:rsid w:val="00A166E9"/>
    <w:rsid w:val="00A16772"/>
    <w:rsid w:val="00A1686F"/>
    <w:rsid w:val="00A1687D"/>
    <w:rsid w:val="00A16A54"/>
    <w:rsid w:val="00A16D6C"/>
    <w:rsid w:val="00A16F56"/>
    <w:rsid w:val="00A16F99"/>
    <w:rsid w:val="00A17112"/>
    <w:rsid w:val="00A17328"/>
    <w:rsid w:val="00A173D1"/>
    <w:rsid w:val="00A176AB"/>
    <w:rsid w:val="00A177B5"/>
    <w:rsid w:val="00A178DC"/>
    <w:rsid w:val="00A1795C"/>
    <w:rsid w:val="00A1799C"/>
    <w:rsid w:val="00A17C75"/>
    <w:rsid w:val="00A17D9B"/>
    <w:rsid w:val="00A17E11"/>
    <w:rsid w:val="00A20189"/>
    <w:rsid w:val="00A2019C"/>
    <w:rsid w:val="00A2026E"/>
    <w:rsid w:val="00A2028E"/>
    <w:rsid w:val="00A202B2"/>
    <w:rsid w:val="00A2055C"/>
    <w:rsid w:val="00A2062D"/>
    <w:rsid w:val="00A206BE"/>
    <w:rsid w:val="00A20700"/>
    <w:rsid w:val="00A20796"/>
    <w:rsid w:val="00A20B49"/>
    <w:rsid w:val="00A20BE5"/>
    <w:rsid w:val="00A20CC4"/>
    <w:rsid w:val="00A20FCD"/>
    <w:rsid w:val="00A20FD0"/>
    <w:rsid w:val="00A21053"/>
    <w:rsid w:val="00A21295"/>
    <w:rsid w:val="00A21564"/>
    <w:rsid w:val="00A21960"/>
    <w:rsid w:val="00A21A0D"/>
    <w:rsid w:val="00A21A20"/>
    <w:rsid w:val="00A21A9D"/>
    <w:rsid w:val="00A21C60"/>
    <w:rsid w:val="00A21D0A"/>
    <w:rsid w:val="00A21D39"/>
    <w:rsid w:val="00A21EC4"/>
    <w:rsid w:val="00A21FCB"/>
    <w:rsid w:val="00A2215B"/>
    <w:rsid w:val="00A22218"/>
    <w:rsid w:val="00A222E7"/>
    <w:rsid w:val="00A22409"/>
    <w:rsid w:val="00A2259D"/>
    <w:rsid w:val="00A22763"/>
    <w:rsid w:val="00A22771"/>
    <w:rsid w:val="00A22804"/>
    <w:rsid w:val="00A22DF2"/>
    <w:rsid w:val="00A22E7E"/>
    <w:rsid w:val="00A22EE6"/>
    <w:rsid w:val="00A22F24"/>
    <w:rsid w:val="00A22FA6"/>
    <w:rsid w:val="00A232B3"/>
    <w:rsid w:val="00A23329"/>
    <w:rsid w:val="00A23477"/>
    <w:rsid w:val="00A23626"/>
    <w:rsid w:val="00A2381C"/>
    <w:rsid w:val="00A23937"/>
    <w:rsid w:val="00A23961"/>
    <w:rsid w:val="00A23B82"/>
    <w:rsid w:val="00A23BFA"/>
    <w:rsid w:val="00A23C71"/>
    <w:rsid w:val="00A23DA1"/>
    <w:rsid w:val="00A23E22"/>
    <w:rsid w:val="00A23EF9"/>
    <w:rsid w:val="00A2435D"/>
    <w:rsid w:val="00A24395"/>
    <w:rsid w:val="00A24535"/>
    <w:rsid w:val="00A2454A"/>
    <w:rsid w:val="00A2462B"/>
    <w:rsid w:val="00A24A14"/>
    <w:rsid w:val="00A24BE0"/>
    <w:rsid w:val="00A24E00"/>
    <w:rsid w:val="00A24F2C"/>
    <w:rsid w:val="00A25090"/>
    <w:rsid w:val="00A250A1"/>
    <w:rsid w:val="00A251A1"/>
    <w:rsid w:val="00A25229"/>
    <w:rsid w:val="00A25275"/>
    <w:rsid w:val="00A25704"/>
    <w:rsid w:val="00A2572B"/>
    <w:rsid w:val="00A25743"/>
    <w:rsid w:val="00A25C44"/>
    <w:rsid w:val="00A25C61"/>
    <w:rsid w:val="00A25C88"/>
    <w:rsid w:val="00A25DF2"/>
    <w:rsid w:val="00A25F42"/>
    <w:rsid w:val="00A25F6D"/>
    <w:rsid w:val="00A26114"/>
    <w:rsid w:val="00A26134"/>
    <w:rsid w:val="00A2616A"/>
    <w:rsid w:val="00A261BF"/>
    <w:rsid w:val="00A26201"/>
    <w:rsid w:val="00A263BC"/>
    <w:rsid w:val="00A264D2"/>
    <w:rsid w:val="00A26646"/>
    <w:rsid w:val="00A26670"/>
    <w:rsid w:val="00A26BA8"/>
    <w:rsid w:val="00A26C8A"/>
    <w:rsid w:val="00A26EB6"/>
    <w:rsid w:val="00A26F42"/>
    <w:rsid w:val="00A26F52"/>
    <w:rsid w:val="00A26FCF"/>
    <w:rsid w:val="00A271F6"/>
    <w:rsid w:val="00A2727A"/>
    <w:rsid w:val="00A2735C"/>
    <w:rsid w:val="00A27461"/>
    <w:rsid w:val="00A2748C"/>
    <w:rsid w:val="00A27530"/>
    <w:rsid w:val="00A2761B"/>
    <w:rsid w:val="00A2767C"/>
    <w:rsid w:val="00A276F0"/>
    <w:rsid w:val="00A2782D"/>
    <w:rsid w:val="00A278C0"/>
    <w:rsid w:val="00A278CC"/>
    <w:rsid w:val="00A27944"/>
    <w:rsid w:val="00A27ACB"/>
    <w:rsid w:val="00A27B29"/>
    <w:rsid w:val="00A27FEC"/>
    <w:rsid w:val="00A3002C"/>
    <w:rsid w:val="00A300DE"/>
    <w:rsid w:val="00A301F9"/>
    <w:rsid w:val="00A302A1"/>
    <w:rsid w:val="00A302BB"/>
    <w:rsid w:val="00A3057D"/>
    <w:rsid w:val="00A306DE"/>
    <w:rsid w:val="00A307ED"/>
    <w:rsid w:val="00A30B81"/>
    <w:rsid w:val="00A30CEC"/>
    <w:rsid w:val="00A30F13"/>
    <w:rsid w:val="00A313F0"/>
    <w:rsid w:val="00A3165C"/>
    <w:rsid w:val="00A318C3"/>
    <w:rsid w:val="00A319C5"/>
    <w:rsid w:val="00A319FC"/>
    <w:rsid w:val="00A31E5D"/>
    <w:rsid w:val="00A31EF0"/>
    <w:rsid w:val="00A31F89"/>
    <w:rsid w:val="00A3209C"/>
    <w:rsid w:val="00A32651"/>
    <w:rsid w:val="00A3269E"/>
    <w:rsid w:val="00A326E5"/>
    <w:rsid w:val="00A32703"/>
    <w:rsid w:val="00A328E0"/>
    <w:rsid w:val="00A32A8E"/>
    <w:rsid w:val="00A32B19"/>
    <w:rsid w:val="00A32B52"/>
    <w:rsid w:val="00A32BD8"/>
    <w:rsid w:val="00A32DED"/>
    <w:rsid w:val="00A32F30"/>
    <w:rsid w:val="00A32F4F"/>
    <w:rsid w:val="00A32F8C"/>
    <w:rsid w:val="00A332D9"/>
    <w:rsid w:val="00A3338B"/>
    <w:rsid w:val="00A333CC"/>
    <w:rsid w:val="00A3369D"/>
    <w:rsid w:val="00A337B2"/>
    <w:rsid w:val="00A3384A"/>
    <w:rsid w:val="00A33913"/>
    <w:rsid w:val="00A33B2E"/>
    <w:rsid w:val="00A33BBF"/>
    <w:rsid w:val="00A33BE5"/>
    <w:rsid w:val="00A33C93"/>
    <w:rsid w:val="00A33DDD"/>
    <w:rsid w:val="00A33E4E"/>
    <w:rsid w:val="00A33E60"/>
    <w:rsid w:val="00A33E78"/>
    <w:rsid w:val="00A33F09"/>
    <w:rsid w:val="00A34034"/>
    <w:rsid w:val="00A34070"/>
    <w:rsid w:val="00A34146"/>
    <w:rsid w:val="00A34330"/>
    <w:rsid w:val="00A3446D"/>
    <w:rsid w:val="00A34536"/>
    <w:rsid w:val="00A3453A"/>
    <w:rsid w:val="00A345FB"/>
    <w:rsid w:val="00A34908"/>
    <w:rsid w:val="00A34A54"/>
    <w:rsid w:val="00A34B3C"/>
    <w:rsid w:val="00A34C4D"/>
    <w:rsid w:val="00A34C82"/>
    <w:rsid w:val="00A34DB6"/>
    <w:rsid w:val="00A34DD3"/>
    <w:rsid w:val="00A350AF"/>
    <w:rsid w:val="00A350BA"/>
    <w:rsid w:val="00A3535C"/>
    <w:rsid w:val="00A3538E"/>
    <w:rsid w:val="00A354CD"/>
    <w:rsid w:val="00A35567"/>
    <w:rsid w:val="00A355AB"/>
    <w:rsid w:val="00A356DD"/>
    <w:rsid w:val="00A3572C"/>
    <w:rsid w:val="00A35798"/>
    <w:rsid w:val="00A357FA"/>
    <w:rsid w:val="00A35A58"/>
    <w:rsid w:val="00A35C03"/>
    <w:rsid w:val="00A35C71"/>
    <w:rsid w:val="00A35C8B"/>
    <w:rsid w:val="00A35CFB"/>
    <w:rsid w:val="00A35D4A"/>
    <w:rsid w:val="00A35D6A"/>
    <w:rsid w:val="00A35E21"/>
    <w:rsid w:val="00A36044"/>
    <w:rsid w:val="00A3635E"/>
    <w:rsid w:val="00A36389"/>
    <w:rsid w:val="00A3641F"/>
    <w:rsid w:val="00A36466"/>
    <w:rsid w:val="00A365F2"/>
    <w:rsid w:val="00A3669E"/>
    <w:rsid w:val="00A3680D"/>
    <w:rsid w:val="00A36A7F"/>
    <w:rsid w:val="00A36ACC"/>
    <w:rsid w:val="00A36C48"/>
    <w:rsid w:val="00A36E69"/>
    <w:rsid w:val="00A3722F"/>
    <w:rsid w:val="00A3733B"/>
    <w:rsid w:val="00A3749B"/>
    <w:rsid w:val="00A37754"/>
    <w:rsid w:val="00A377EF"/>
    <w:rsid w:val="00A379BF"/>
    <w:rsid w:val="00A37C39"/>
    <w:rsid w:val="00A37E3E"/>
    <w:rsid w:val="00A37E98"/>
    <w:rsid w:val="00A37EA3"/>
    <w:rsid w:val="00A37FDA"/>
    <w:rsid w:val="00A40011"/>
    <w:rsid w:val="00A400FA"/>
    <w:rsid w:val="00A4014F"/>
    <w:rsid w:val="00A40200"/>
    <w:rsid w:val="00A40313"/>
    <w:rsid w:val="00A4057B"/>
    <w:rsid w:val="00A4071B"/>
    <w:rsid w:val="00A40782"/>
    <w:rsid w:val="00A40B04"/>
    <w:rsid w:val="00A40B7D"/>
    <w:rsid w:val="00A40D05"/>
    <w:rsid w:val="00A40D2C"/>
    <w:rsid w:val="00A40E04"/>
    <w:rsid w:val="00A41242"/>
    <w:rsid w:val="00A413E1"/>
    <w:rsid w:val="00A414F6"/>
    <w:rsid w:val="00A416D7"/>
    <w:rsid w:val="00A41729"/>
    <w:rsid w:val="00A41A87"/>
    <w:rsid w:val="00A41B12"/>
    <w:rsid w:val="00A41CBD"/>
    <w:rsid w:val="00A41D57"/>
    <w:rsid w:val="00A41DAC"/>
    <w:rsid w:val="00A41E72"/>
    <w:rsid w:val="00A41EA2"/>
    <w:rsid w:val="00A41FC4"/>
    <w:rsid w:val="00A42030"/>
    <w:rsid w:val="00A42036"/>
    <w:rsid w:val="00A42147"/>
    <w:rsid w:val="00A4218C"/>
    <w:rsid w:val="00A4249E"/>
    <w:rsid w:val="00A425BB"/>
    <w:rsid w:val="00A429FD"/>
    <w:rsid w:val="00A42C4E"/>
    <w:rsid w:val="00A42CC7"/>
    <w:rsid w:val="00A42DFA"/>
    <w:rsid w:val="00A42E54"/>
    <w:rsid w:val="00A42E66"/>
    <w:rsid w:val="00A42FE7"/>
    <w:rsid w:val="00A43028"/>
    <w:rsid w:val="00A430AE"/>
    <w:rsid w:val="00A430B5"/>
    <w:rsid w:val="00A430D1"/>
    <w:rsid w:val="00A43174"/>
    <w:rsid w:val="00A431D3"/>
    <w:rsid w:val="00A431E0"/>
    <w:rsid w:val="00A433B6"/>
    <w:rsid w:val="00A4352C"/>
    <w:rsid w:val="00A43755"/>
    <w:rsid w:val="00A43908"/>
    <w:rsid w:val="00A43C56"/>
    <w:rsid w:val="00A43D4E"/>
    <w:rsid w:val="00A44182"/>
    <w:rsid w:val="00A442A3"/>
    <w:rsid w:val="00A4454B"/>
    <w:rsid w:val="00A445A9"/>
    <w:rsid w:val="00A445F0"/>
    <w:rsid w:val="00A44750"/>
    <w:rsid w:val="00A44779"/>
    <w:rsid w:val="00A447FC"/>
    <w:rsid w:val="00A44985"/>
    <w:rsid w:val="00A44A03"/>
    <w:rsid w:val="00A44A68"/>
    <w:rsid w:val="00A44C59"/>
    <w:rsid w:val="00A44CA3"/>
    <w:rsid w:val="00A44EA9"/>
    <w:rsid w:val="00A44F5F"/>
    <w:rsid w:val="00A45065"/>
    <w:rsid w:val="00A4516D"/>
    <w:rsid w:val="00A4540C"/>
    <w:rsid w:val="00A4565C"/>
    <w:rsid w:val="00A4572D"/>
    <w:rsid w:val="00A45749"/>
    <w:rsid w:val="00A45788"/>
    <w:rsid w:val="00A45B62"/>
    <w:rsid w:val="00A45D10"/>
    <w:rsid w:val="00A45E8D"/>
    <w:rsid w:val="00A45EBA"/>
    <w:rsid w:val="00A4602F"/>
    <w:rsid w:val="00A4613D"/>
    <w:rsid w:val="00A462F8"/>
    <w:rsid w:val="00A46601"/>
    <w:rsid w:val="00A4687D"/>
    <w:rsid w:val="00A46922"/>
    <w:rsid w:val="00A469A9"/>
    <w:rsid w:val="00A469FE"/>
    <w:rsid w:val="00A46AAE"/>
    <w:rsid w:val="00A46B47"/>
    <w:rsid w:val="00A474DD"/>
    <w:rsid w:val="00A47598"/>
    <w:rsid w:val="00A47809"/>
    <w:rsid w:val="00A47BF3"/>
    <w:rsid w:val="00A47D49"/>
    <w:rsid w:val="00A47D6A"/>
    <w:rsid w:val="00A47FC1"/>
    <w:rsid w:val="00A50135"/>
    <w:rsid w:val="00A501FB"/>
    <w:rsid w:val="00A50202"/>
    <w:rsid w:val="00A50206"/>
    <w:rsid w:val="00A50208"/>
    <w:rsid w:val="00A5023E"/>
    <w:rsid w:val="00A50267"/>
    <w:rsid w:val="00A504EB"/>
    <w:rsid w:val="00A506CE"/>
    <w:rsid w:val="00A506D9"/>
    <w:rsid w:val="00A506E6"/>
    <w:rsid w:val="00A5076A"/>
    <w:rsid w:val="00A50794"/>
    <w:rsid w:val="00A50847"/>
    <w:rsid w:val="00A508B3"/>
    <w:rsid w:val="00A5095D"/>
    <w:rsid w:val="00A5096A"/>
    <w:rsid w:val="00A509A6"/>
    <w:rsid w:val="00A50A5C"/>
    <w:rsid w:val="00A50A9C"/>
    <w:rsid w:val="00A50B6E"/>
    <w:rsid w:val="00A50D5C"/>
    <w:rsid w:val="00A50DA8"/>
    <w:rsid w:val="00A50E5B"/>
    <w:rsid w:val="00A50E64"/>
    <w:rsid w:val="00A50ED9"/>
    <w:rsid w:val="00A50EE8"/>
    <w:rsid w:val="00A51015"/>
    <w:rsid w:val="00A510A1"/>
    <w:rsid w:val="00A51115"/>
    <w:rsid w:val="00A51338"/>
    <w:rsid w:val="00A51416"/>
    <w:rsid w:val="00A51549"/>
    <w:rsid w:val="00A516D1"/>
    <w:rsid w:val="00A517D0"/>
    <w:rsid w:val="00A51840"/>
    <w:rsid w:val="00A519F2"/>
    <w:rsid w:val="00A51B8B"/>
    <w:rsid w:val="00A51C99"/>
    <w:rsid w:val="00A51EE4"/>
    <w:rsid w:val="00A51F44"/>
    <w:rsid w:val="00A51FAB"/>
    <w:rsid w:val="00A51FDC"/>
    <w:rsid w:val="00A5284E"/>
    <w:rsid w:val="00A528BC"/>
    <w:rsid w:val="00A5297B"/>
    <w:rsid w:val="00A5299E"/>
    <w:rsid w:val="00A529A4"/>
    <w:rsid w:val="00A52A0F"/>
    <w:rsid w:val="00A52A19"/>
    <w:rsid w:val="00A52C0E"/>
    <w:rsid w:val="00A52F0D"/>
    <w:rsid w:val="00A52F57"/>
    <w:rsid w:val="00A5304E"/>
    <w:rsid w:val="00A5347C"/>
    <w:rsid w:val="00A536FD"/>
    <w:rsid w:val="00A53706"/>
    <w:rsid w:val="00A537A9"/>
    <w:rsid w:val="00A53812"/>
    <w:rsid w:val="00A53838"/>
    <w:rsid w:val="00A5383B"/>
    <w:rsid w:val="00A53A73"/>
    <w:rsid w:val="00A53AE8"/>
    <w:rsid w:val="00A53C28"/>
    <w:rsid w:val="00A53C2D"/>
    <w:rsid w:val="00A53C57"/>
    <w:rsid w:val="00A53C91"/>
    <w:rsid w:val="00A546F0"/>
    <w:rsid w:val="00A5494C"/>
    <w:rsid w:val="00A54A8D"/>
    <w:rsid w:val="00A54E5C"/>
    <w:rsid w:val="00A54EBC"/>
    <w:rsid w:val="00A54F1F"/>
    <w:rsid w:val="00A54F21"/>
    <w:rsid w:val="00A54F3A"/>
    <w:rsid w:val="00A54F75"/>
    <w:rsid w:val="00A55008"/>
    <w:rsid w:val="00A55014"/>
    <w:rsid w:val="00A55016"/>
    <w:rsid w:val="00A55065"/>
    <w:rsid w:val="00A551B5"/>
    <w:rsid w:val="00A554B7"/>
    <w:rsid w:val="00A55583"/>
    <w:rsid w:val="00A5570E"/>
    <w:rsid w:val="00A557DE"/>
    <w:rsid w:val="00A55A17"/>
    <w:rsid w:val="00A55A69"/>
    <w:rsid w:val="00A55A6C"/>
    <w:rsid w:val="00A56011"/>
    <w:rsid w:val="00A561BA"/>
    <w:rsid w:val="00A561BC"/>
    <w:rsid w:val="00A5627A"/>
    <w:rsid w:val="00A56352"/>
    <w:rsid w:val="00A5641A"/>
    <w:rsid w:val="00A56504"/>
    <w:rsid w:val="00A5657D"/>
    <w:rsid w:val="00A566B8"/>
    <w:rsid w:val="00A5679F"/>
    <w:rsid w:val="00A56B9E"/>
    <w:rsid w:val="00A56C61"/>
    <w:rsid w:val="00A56E02"/>
    <w:rsid w:val="00A56E46"/>
    <w:rsid w:val="00A56F23"/>
    <w:rsid w:val="00A56FA8"/>
    <w:rsid w:val="00A5726E"/>
    <w:rsid w:val="00A57339"/>
    <w:rsid w:val="00A57699"/>
    <w:rsid w:val="00A576A4"/>
    <w:rsid w:val="00A57719"/>
    <w:rsid w:val="00A57757"/>
    <w:rsid w:val="00A57841"/>
    <w:rsid w:val="00A578A6"/>
    <w:rsid w:val="00A579A1"/>
    <w:rsid w:val="00A57BF1"/>
    <w:rsid w:val="00A57C4C"/>
    <w:rsid w:val="00A57DE4"/>
    <w:rsid w:val="00A57FA0"/>
    <w:rsid w:val="00A60215"/>
    <w:rsid w:val="00A602CE"/>
    <w:rsid w:val="00A60324"/>
    <w:rsid w:val="00A60592"/>
    <w:rsid w:val="00A6072E"/>
    <w:rsid w:val="00A60A47"/>
    <w:rsid w:val="00A60CB6"/>
    <w:rsid w:val="00A60D1D"/>
    <w:rsid w:val="00A60F12"/>
    <w:rsid w:val="00A60F87"/>
    <w:rsid w:val="00A610EB"/>
    <w:rsid w:val="00A61141"/>
    <w:rsid w:val="00A6115A"/>
    <w:rsid w:val="00A61493"/>
    <w:rsid w:val="00A61698"/>
    <w:rsid w:val="00A6183D"/>
    <w:rsid w:val="00A618A3"/>
    <w:rsid w:val="00A618F3"/>
    <w:rsid w:val="00A61BE0"/>
    <w:rsid w:val="00A61C64"/>
    <w:rsid w:val="00A61D05"/>
    <w:rsid w:val="00A61D67"/>
    <w:rsid w:val="00A61DA1"/>
    <w:rsid w:val="00A61F49"/>
    <w:rsid w:val="00A621C0"/>
    <w:rsid w:val="00A622E6"/>
    <w:rsid w:val="00A6248D"/>
    <w:rsid w:val="00A624F7"/>
    <w:rsid w:val="00A627D9"/>
    <w:rsid w:val="00A62874"/>
    <w:rsid w:val="00A62948"/>
    <w:rsid w:val="00A6294C"/>
    <w:rsid w:val="00A62ECD"/>
    <w:rsid w:val="00A62F60"/>
    <w:rsid w:val="00A630CE"/>
    <w:rsid w:val="00A6313F"/>
    <w:rsid w:val="00A6379B"/>
    <w:rsid w:val="00A63997"/>
    <w:rsid w:val="00A63A4E"/>
    <w:rsid w:val="00A63D44"/>
    <w:rsid w:val="00A63F86"/>
    <w:rsid w:val="00A6402D"/>
    <w:rsid w:val="00A6407B"/>
    <w:rsid w:val="00A64082"/>
    <w:rsid w:val="00A6433F"/>
    <w:rsid w:val="00A643F1"/>
    <w:rsid w:val="00A64520"/>
    <w:rsid w:val="00A649C1"/>
    <w:rsid w:val="00A64A1C"/>
    <w:rsid w:val="00A64AC6"/>
    <w:rsid w:val="00A64B14"/>
    <w:rsid w:val="00A65024"/>
    <w:rsid w:val="00A6502E"/>
    <w:rsid w:val="00A6503F"/>
    <w:rsid w:val="00A651CA"/>
    <w:rsid w:val="00A6528D"/>
    <w:rsid w:val="00A653AE"/>
    <w:rsid w:val="00A6541A"/>
    <w:rsid w:val="00A65529"/>
    <w:rsid w:val="00A657E0"/>
    <w:rsid w:val="00A65820"/>
    <w:rsid w:val="00A6593E"/>
    <w:rsid w:val="00A65AEC"/>
    <w:rsid w:val="00A65B62"/>
    <w:rsid w:val="00A65BF5"/>
    <w:rsid w:val="00A65C2A"/>
    <w:rsid w:val="00A65D2C"/>
    <w:rsid w:val="00A65F41"/>
    <w:rsid w:val="00A660C3"/>
    <w:rsid w:val="00A666D5"/>
    <w:rsid w:val="00A66925"/>
    <w:rsid w:val="00A66A3B"/>
    <w:rsid w:val="00A66FBF"/>
    <w:rsid w:val="00A67100"/>
    <w:rsid w:val="00A6737C"/>
    <w:rsid w:val="00A6750B"/>
    <w:rsid w:val="00A67576"/>
    <w:rsid w:val="00A67709"/>
    <w:rsid w:val="00A6772E"/>
    <w:rsid w:val="00A677B9"/>
    <w:rsid w:val="00A67886"/>
    <w:rsid w:val="00A678F3"/>
    <w:rsid w:val="00A67ADF"/>
    <w:rsid w:val="00A67B1A"/>
    <w:rsid w:val="00A67CDA"/>
    <w:rsid w:val="00A67F9A"/>
    <w:rsid w:val="00A700D4"/>
    <w:rsid w:val="00A700D6"/>
    <w:rsid w:val="00A702CB"/>
    <w:rsid w:val="00A70393"/>
    <w:rsid w:val="00A705CA"/>
    <w:rsid w:val="00A706AD"/>
    <w:rsid w:val="00A70847"/>
    <w:rsid w:val="00A70BF7"/>
    <w:rsid w:val="00A70DC0"/>
    <w:rsid w:val="00A70EFC"/>
    <w:rsid w:val="00A70F6E"/>
    <w:rsid w:val="00A71082"/>
    <w:rsid w:val="00A71092"/>
    <w:rsid w:val="00A710B8"/>
    <w:rsid w:val="00A710C5"/>
    <w:rsid w:val="00A7116C"/>
    <w:rsid w:val="00A71305"/>
    <w:rsid w:val="00A716EF"/>
    <w:rsid w:val="00A7194B"/>
    <w:rsid w:val="00A71BD7"/>
    <w:rsid w:val="00A71BD9"/>
    <w:rsid w:val="00A71CEA"/>
    <w:rsid w:val="00A71FD4"/>
    <w:rsid w:val="00A72074"/>
    <w:rsid w:val="00A720B7"/>
    <w:rsid w:val="00A721AF"/>
    <w:rsid w:val="00A7234E"/>
    <w:rsid w:val="00A723AE"/>
    <w:rsid w:val="00A724D4"/>
    <w:rsid w:val="00A72590"/>
    <w:rsid w:val="00A72664"/>
    <w:rsid w:val="00A7273C"/>
    <w:rsid w:val="00A72820"/>
    <w:rsid w:val="00A72873"/>
    <w:rsid w:val="00A728B4"/>
    <w:rsid w:val="00A72944"/>
    <w:rsid w:val="00A72A4D"/>
    <w:rsid w:val="00A72BBA"/>
    <w:rsid w:val="00A72C20"/>
    <w:rsid w:val="00A72DD4"/>
    <w:rsid w:val="00A72F40"/>
    <w:rsid w:val="00A73026"/>
    <w:rsid w:val="00A7304C"/>
    <w:rsid w:val="00A730A7"/>
    <w:rsid w:val="00A73314"/>
    <w:rsid w:val="00A733DF"/>
    <w:rsid w:val="00A735FB"/>
    <w:rsid w:val="00A736CE"/>
    <w:rsid w:val="00A73719"/>
    <w:rsid w:val="00A73748"/>
    <w:rsid w:val="00A7383D"/>
    <w:rsid w:val="00A738CB"/>
    <w:rsid w:val="00A738F7"/>
    <w:rsid w:val="00A73927"/>
    <w:rsid w:val="00A73BBA"/>
    <w:rsid w:val="00A73BF6"/>
    <w:rsid w:val="00A73CD9"/>
    <w:rsid w:val="00A73EBC"/>
    <w:rsid w:val="00A73ED5"/>
    <w:rsid w:val="00A73F76"/>
    <w:rsid w:val="00A7402C"/>
    <w:rsid w:val="00A74034"/>
    <w:rsid w:val="00A74245"/>
    <w:rsid w:val="00A74309"/>
    <w:rsid w:val="00A7438E"/>
    <w:rsid w:val="00A74500"/>
    <w:rsid w:val="00A746EC"/>
    <w:rsid w:val="00A7470E"/>
    <w:rsid w:val="00A748D7"/>
    <w:rsid w:val="00A74A48"/>
    <w:rsid w:val="00A74A9D"/>
    <w:rsid w:val="00A74D0D"/>
    <w:rsid w:val="00A74E13"/>
    <w:rsid w:val="00A74EAE"/>
    <w:rsid w:val="00A7503E"/>
    <w:rsid w:val="00A750DE"/>
    <w:rsid w:val="00A7510F"/>
    <w:rsid w:val="00A75446"/>
    <w:rsid w:val="00A754DB"/>
    <w:rsid w:val="00A7554D"/>
    <w:rsid w:val="00A7555A"/>
    <w:rsid w:val="00A75651"/>
    <w:rsid w:val="00A75861"/>
    <w:rsid w:val="00A75BA9"/>
    <w:rsid w:val="00A75BFE"/>
    <w:rsid w:val="00A75F6C"/>
    <w:rsid w:val="00A7619D"/>
    <w:rsid w:val="00A761AA"/>
    <w:rsid w:val="00A76427"/>
    <w:rsid w:val="00A76666"/>
    <w:rsid w:val="00A76904"/>
    <w:rsid w:val="00A7695A"/>
    <w:rsid w:val="00A769B0"/>
    <w:rsid w:val="00A76BEE"/>
    <w:rsid w:val="00A76CBF"/>
    <w:rsid w:val="00A76E56"/>
    <w:rsid w:val="00A76F07"/>
    <w:rsid w:val="00A76F5E"/>
    <w:rsid w:val="00A770F1"/>
    <w:rsid w:val="00A77208"/>
    <w:rsid w:val="00A77216"/>
    <w:rsid w:val="00A77664"/>
    <w:rsid w:val="00A7767D"/>
    <w:rsid w:val="00A77701"/>
    <w:rsid w:val="00A778FB"/>
    <w:rsid w:val="00A77A01"/>
    <w:rsid w:val="00A77A66"/>
    <w:rsid w:val="00A77B45"/>
    <w:rsid w:val="00A77B9A"/>
    <w:rsid w:val="00A77D85"/>
    <w:rsid w:val="00A77DAA"/>
    <w:rsid w:val="00A77E3F"/>
    <w:rsid w:val="00A77E67"/>
    <w:rsid w:val="00A77EA6"/>
    <w:rsid w:val="00A77EBB"/>
    <w:rsid w:val="00A8013A"/>
    <w:rsid w:val="00A80238"/>
    <w:rsid w:val="00A80447"/>
    <w:rsid w:val="00A80584"/>
    <w:rsid w:val="00A80742"/>
    <w:rsid w:val="00A807EE"/>
    <w:rsid w:val="00A8080F"/>
    <w:rsid w:val="00A80893"/>
    <w:rsid w:val="00A808AD"/>
    <w:rsid w:val="00A808B6"/>
    <w:rsid w:val="00A8091E"/>
    <w:rsid w:val="00A8099D"/>
    <w:rsid w:val="00A809B6"/>
    <w:rsid w:val="00A80AAD"/>
    <w:rsid w:val="00A80D7A"/>
    <w:rsid w:val="00A80F35"/>
    <w:rsid w:val="00A810EB"/>
    <w:rsid w:val="00A81178"/>
    <w:rsid w:val="00A811E3"/>
    <w:rsid w:val="00A813AA"/>
    <w:rsid w:val="00A813C8"/>
    <w:rsid w:val="00A8140F"/>
    <w:rsid w:val="00A814C3"/>
    <w:rsid w:val="00A81C72"/>
    <w:rsid w:val="00A81F38"/>
    <w:rsid w:val="00A81F93"/>
    <w:rsid w:val="00A8207C"/>
    <w:rsid w:val="00A822F2"/>
    <w:rsid w:val="00A823D2"/>
    <w:rsid w:val="00A82720"/>
    <w:rsid w:val="00A828CF"/>
    <w:rsid w:val="00A8294F"/>
    <w:rsid w:val="00A829E0"/>
    <w:rsid w:val="00A82A6D"/>
    <w:rsid w:val="00A82BD3"/>
    <w:rsid w:val="00A82CA5"/>
    <w:rsid w:val="00A82D42"/>
    <w:rsid w:val="00A82E42"/>
    <w:rsid w:val="00A82FA6"/>
    <w:rsid w:val="00A83033"/>
    <w:rsid w:val="00A83037"/>
    <w:rsid w:val="00A831D8"/>
    <w:rsid w:val="00A831F5"/>
    <w:rsid w:val="00A83593"/>
    <w:rsid w:val="00A835F5"/>
    <w:rsid w:val="00A836F0"/>
    <w:rsid w:val="00A83783"/>
    <w:rsid w:val="00A8387F"/>
    <w:rsid w:val="00A83915"/>
    <w:rsid w:val="00A83964"/>
    <w:rsid w:val="00A83A82"/>
    <w:rsid w:val="00A83B4B"/>
    <w:rsid w:val="00A83CC5"/>
    <w:rsid w:val="00A83E54"/>
    <w:rsid w:val="00A83E94"/>
    <w:rsid w:val="00A84000"/>
    <w:rsid w:val="00A84025"/>
    <w:rsid w:val="00A8426A"/>
    <w:rsid w:val="00A84282"/>
    <w:rsid w:val="00A84299"/>
    <w:rsid w:val="00A84528"/>
    <w:rsid w:val="00A84A6D"/>
    <w:rsid w:val="00A84AE5"/>
    <w:rsid w:val="00A84B67"/>
    <w:rsid w:val="00A84C09"/>
    <w:rsid w:val="00A84C26"/>
    <w:rsid w:val="00A84CA9"/>
    <w:rsid w:val="00A84F6F"/>
    <w:rsid w:val="00A85077"/>
    <w:rsid w:val="00A850A5"/>
    <w:rsid w:val="00A850D9"/>
    <w:rsid w:val="00A850FD"/>
    <w:rsid w:val="00A851E1"/>
    <w:rsid w:val="00A85305"/>
    <w:rsid w:val="00A85332"/>
    <w:rsid w:val="00A8538E"/>
    <w:rsid w:val="00A854CD"/>
    <w:rsid w:val="00A854D2"/>
    <w:rsid w:val="00A8555A"/>
    <w:rsid w:val="00A8573A"/>
    <w:rsid w:val="00A8597B"/>
    <w:rsid w:val="00A8598E"/>
    <w:rsid w:val="00A85CAA"/>
    <w:rsid w:val="00A85DA3"/>
    <w:rsid w:val="00A85EAD"/>
    <w:rsid w:val="00A85F25"/>
    <w:rsid w:val="00A86378"/>
    <w:rsid w:val="00A86428"/>
    <w:rsid w:val="00A8657B"/>
    <w:rsid w:val="00A86695"/>
    <w:rsid w:val="00A8678D"/>
    <w:rsid w:val="00A86991"/>
    <w:rsid w:val="00A869C5"/>
    <w:rsid w:val="00A86A2B"/>
    <w:rsid w:val="00A86B16"/>
    <w:rsid w:val="00A86BBE"/>
    <w:rsid w:val="00A86D39"/>
    <w:rsid w:val="00A86D9B"/>
    <w:rsid w:val="00A86E97"/>
    <w:rsid w:val="00A86E9E"/>
    <w:rsid w:val="00A8700D"/>
    <w:rsid w:val="00A87028"/>
    <w:rsid w:val="00A87148"/>
    <w:rsid w:val="00A87198"/>
    <w:rsid w:val="00A872C2"/>
    <w:rsid w:val="00A873CF"/>
    <w:rsid w:val="00A874EA"/>
    <w:rsid w:val="00A87895"/>
    <w:rsid w:val="00A87925"/>
    <w:rsid w:val="00A879EB"/>
    <w:rsid w:val="00A87D16"/>
    <w:rsid w:val="00A87D37"/>
    <w:rsid w:val="00A9002E"/>
    <w:rsid w:val="00A9004A"/>
    <w:rsid w:val="00A90071"/>
    <w:rsid w:val="00A900A5"/>
    <w:rsid w:val="00A900E0"/>
    <w:rsid w:val="00A90132"/>
    <w:rsid w:val="00A902B4"/>
    <w:rsid w:val="00A902D0"/>
    <w:rsid w:val="00A90528"/>
    <w:rsid w:val="00A90AF1"/>
    <w:rsid w:val="00A90DBD"/>
    <w:rsid w:val="00A9100C"/>
    <w:rsid w:val="00A91067"/>
    <w:rsid w:val="00A91108"/>
    <w:rsid w:val="00A912C3"/>
    <w:rsid w:val="00A912E9"/>
    <w:rsid w:val="00A9138F"/>
    <w:rsid w:val="00A913E6"/>
    <w:rsid w:val="00A91489"/>
    <w:rsid w:val="00A9150F"/>
    <w:rsid w:val="00A91521"/>
    <w:rsid w:val="00A91571"/>
    <w:rsid w:val="00A91574"/>
    <w:rsid w:val="00A91587"/>
    <w:rsid w:val="00A91931"/>
    <w:rsid w:val="00A91C55"/>
    <w:rsid w:val="00A91CEA"/>
    <w:rsid w:val="00A91D81"/>
    <w:rsid w:val="00A92045"/>
    <w:rsid w:val="00A92077"/>
    <w:rsid w:val="00A92269"/>
    <w:rsid w:val="00A922EC"/>
    <w:rsid w:val="00A92324"/>
    <w:rsid w:val="00A92475"/>
    <w:rsid w:val="00A92493"/>
    <w:rsid w:val="00A9264F"/>
    <w:rsid w:val="00A92696"/>
    <w:rsid w:val="00A926B6"/>
    <w:rsid w:val="00A926D2"/>
    <w:rsid w:val="00A9271B"/>
    <w:rsid w:val="00A92A53"/>
    <w:rsid w:val="00A92EAC"/>
    <w:rsid w:val="00A93064"/>
    <w:rsid w:val="00A932EC"/>
    <w:rsid w:val="00A93492"/>
    <w:rsid w:val="00A934D0"/>
    <w:rsid w:val="00A93649"/>
    <w:rsid w:val="00A93716"/>
    <w:rsid w:val="00A93974"/>
    <w:rsid w:val="00A939E1"/>
    <w:rsid w:val="00A93A82"/>
    <w:rsid w:val="00A93BE6"/>
    <w:rsid w:val="00A93CA7"/>
    <w:rsid w:val="00A93F7F"/>
    <w:rsid w:val="00A940B3"/>
    <w:rsid w:val="00A94309"/>
    <w:rsid w:val="00A943DA"/>
    <w:rsid w:val="00A94477"/>
    <w:rsid w:val="00A94576"/>
    <w:rsid w:val="00A945F8"/>
    <w:rsid w:val="00A94756"/>
    <w:rsid w:val="00A947A4"/>
    <w:rsid w:val="00A949D9"/>
    <w:rsid w:val="00A949EC"/>
    <w:rsid w:val="00A94C05"/>
    <w:rsid w:val="00A94F9F"/>
    <w:rsid w:val="00A9508E"/>
    <w:rsid w:val="00A95144"/>
    <w:rsid w:val="00A953CE"/>
    <w:rsid w:val="00A9563B"/>
    <w:rsid w:val="00A958C0"/>
    <w:rsid w:val="00A95BE2"/>
    <w:rsid w:val="00A95CBF"/>
    <w:rsid w:val="00A95D12"/>
    <w:rsid w:val="00A96165"/>
    <w:rsid w:val="00A96525"/>
    <w:rsid w:val="00A9662E"/>
    <w:rsid w:val="00A966A6"/>
    <w:rsid w:val="00A9672F"/>
    <w:rsid w:val="00A96900"/>
    <w:rsid w:val="00A96AE6"/>
    <w:rsid w:val="00A96B1A"/>
    <w:rsid w:val="00A96BC3"/>
    <w:rsid w:val="00A96C0F"/>
    <w:rsid w:val="00A96C67"/>
    <w:rsid w:val="00A96CF2"/>
    <w:rsid w:val="00A96D19"/>
    <w:rsid w:val="00A96D7C"/>
    <w:rsid w:val="00A96F66"/>
    <w:rsid w:val="00A96F90"/>
    <w:rsid w:val="00A96FB8"/>
    <w:rsid w:val="00A970B1"/>
    <w:rsid w:val="00A973BA"/>
    <w:rsid w:val="00A975AB"/>
    <w:rsid w:val="00A97638"/>
    <w:rsid w:val="00A9775D"/>
    <w:rsid w:val="00A97953"/>
    <w:rsid w:val="00A97AD6"/>
    <w:rsid w:val="00A97BDD"/>
    <w:rsid w:val="00A97BE8"/>
    <w:rsid w:val="00A97C19"/>
    <w:rsid w:val="00A97C61"/>
    <w:rsid w:val="00A97EBD"/>
    <w:rsid w:val="00A97FF8"/>
    <w:rsid w:val="00AA00EC"/>
    <w:rsid w:val="00AA0122"/>
    <w:rsid w:val="00AA077D"/>
    <w:rsid w:val="00AA0792"/>
    <w:rsid w:val="00AA08CE"/>
    <w:rsid w:val="00AA0976"/>
    <w:rsid w:val="00AA0DCD"/>
    <w:rsid w:val="00AA0F14"/>
    <w:rsid w:val="00AA1099"/>
    <w:rsid w:val="00AA127E"/>
    <w:rsid w:val="00AA1424"/>
    <w:rsid w:val="00AA14BA"/>
    <w:rsid w:val="00AA156C"/>
    <w:rsid w:val="00AA15B2"/>
    <w:rsid w:val="00AA1605"/>
    <w:rsid w:val="00AA1753"/>
    <w:rsid w:val="00AA1773"/>
    <w:rsid w:val="00AA1826"/>
    <w:rsid w:val="00AA19FA"/>
    <w:rsid w:val="00AA1AC4"/>
    <w:rsid w:val="00AA1AE3"/>
    <w:rsid w:val="00AA1E34"/>
    <w:rsid w:val="00AA1E5C"/>
    <w:rsid w:val="00AA2002"/>
    <w:rsid w:val="00AA20D7"/>
    <w:rsid w:val="00AA2170"/>
    <w:rsid w:val="00AA2381"/>
    <w:rsid w:val="00AA23A3"/>
    <w:rsid w:val="00AA23C7"/>
    <w:rsid w:val="00AA2521"/>
    <w:rsid w:val="00AA262F"/>
    <w:rsid w:val="00AA271F"/>
    <w:rsid w:val="00AA283F"/>
    <w:rsid w:val="00AA2AB1"/>
    <w:rsid w:val="00AA2AF1"/>
    <w:rsid w:val="00AA2B8E"/>
    <w:rsid w:val="00AA2C2C"/>
    <w:rsid w:val="00AA2DF2"/>
    <w:rsid w:val="00AA2EF2"/>
    <w:rsid w:val="00AA3084"/>
    <w:rsid w:val="00AA3239"/>
    <w:rsid w:val="00AA3336"/>
    <w:rsid w:val="00AA3586"/>
    <w:rsid w:val="00AA38E4"/>
    <w:rsid w:val="00AA398A"/>
    <w:rsid w:val="00AA3AC6"/>
    <w:rsid w:val="00AA3BA5"/>
    <w:rsid w:val="00AA422B"/>
    <w:rsid w:val="00AA43A1"/>
    <w:rsid w:val="00AA4458"/>
    <w:rsid w:val="00AA4631"/>
    <w:rsid w:val="00AA467D"/>
    <w:rsid w:val="00AA46CA"/>
    <w:rsid w:val="00AA4B49"/>
    <w:rsid w:val="00AA4CC9"/>
    <w:rsid w:val="00AA500F"/>
    <w:rsid w:val="00AA509F"/>
    <w:rsid w:val="00AA51AB"/>
    <w:rsid w:val="00AA51E9"/>
    <w:rsid w:val="00AA5423"/>
    <w:rsid w:val="00AA5429"/>
    <w:rsid w:val="00AA5502"/>
    <w:rsid w:val="00AA56D6"/>
    <w:rsid w:val="00AA5726"/>
    <w:rsid w:val="00AA57A5"/>
    <w:rsid w:val="00AA5820"/>
    <w:rsid w:val="00AA58A5"/>
    <w:rsid w:val="00AA58E9"/>
    <w:rsid w:val="00AA59A0"/>
    <w:rsid w:val="00AA59C7"/>
    <w:rsid w:val="00AA5A03"/>
    <w:rsid w:val="00AA5AD6"/>
    <w:rsid w:val="00AA5CE9"/>
    <w:rsid w:val="00AA5E44"/>
    <w:rsid w:val="00AA5F79"/>
    <w:rsid w:val="00AA60BA"/>
    <w:rsid w:val="00AA6136"/>
    <w:rsid w:val="00AA6144"/>
    <w:rsid w:val="00AA64E9"/>
    <w:rsid w:val="00AA66A7"/>
    <w:rsid w:val="00AA693D"/>
    <w:rsid w:val="00AA6A3B"/>
    <w:rsid w:val="00AA6C64"/>
    <w:rsid w:val="00AA6D90"/>
    <w:rsid w:val="00AA6E23"/>
    <w:rsid w:val="00AA6EDE"/>
    <w:rsid w:val="00AA6F8A"/>
    <w:rsid w:val="00AA6FAA"/>
    <w:rsid w:val="00AA70B2"/>
    <w:rsid w:val="00AA732B"/>
    <w:rsid w:val="00AA73C0"/>
    <w:rsid w:val="00AA74EF"/>
    <w:rsid w:val="00AA7821"/>
    <w:rsid w:val="00AA790B"/>
    <w:rsid w:val="00AA798A"/>
    <w:rsid w:val="00AA7A83"/>
    <w:rsid w:val="00AA7C12"/>
    <w:rsid w:val="00AA7F54"/>
    <w:rsid w:val="00AB014C"/>
    <w:rsid w:val="00AB0190"/>
    <w:rsid w:val="00AB01F4"/>
    <w:rsid w:val="00AB0306"/>
    <w:rsid w:val="00AB037A"/>
    <w:rsid w:val="00AB03D6"/>
    <w:rsid w:val="00AB041C"/>
    <w:rsid w:val="00AB07F2"/>
    <w:rsid w:val="00AB0863"/>
    <w:rsid w:val="00AB0888"/>
    <w:rsid w:val="00AB08D6"/>
    <w:rsid w:val="00AB0B54"/>
    <w:rsid w:val="00AB0CB9"/>
    <w:rsid w:val="00AB0FC8"/>
    <w:rsid w:val="00AB0FF4"/>
    <w:rsid w:val="00AB112C"/>
    <w:rsid w:val="00AB1201"/>
    <w:rsid w:val="00AB1342"/>
    <w:rsid w:val="00AB1630"/>
    <w:rsid w:val="00AB16EE"/>
    <w:rsid w:val="00AB175E"/>
    <w:rsid w:val="00AB18C2"/>
    <w:rsid w:val="00AB1C4A"/>
    <w:rsid w:val="00AB1E79"/>
    <w:rsid w:val="00AB22D9"/>
    <w:rsid w:val="00AB24A7"/>
    <w:rsid w:val="00AB2549"/>
    <w:rsid w:val="00AB25C2"/>
    <w:rsid w:val="00AB2870"/>
    <w:rsid w:val="00AB28E3"/>
    <w:rsid w:val="00AB29A6"/>
    <w:rsid w:val="00AB2A86"/>
    <w:rsid w:val="00AB2B10"/>
    <w:rsid w:val="00AB2B15"/>
    <w:rsid w:val="00AB2CFC"/>
    <w:rsid w:val="00AB2DB9"/>
    <w:rsid w:val="00AB2FC2"/>
    <w:rsid w:val="00AB30C5"/>
    <w:rsid w:val="00AB3155"/>
    <w:rsid w:val="00AB3201"/>
    <w:rsid w:val="00AB33CF"/>
    <w:rsid w:val="00AB3A19"/>
    <w:rsid w:val="00AB3B8C"/>
    <w:rsid w:val="00AB3D3D"/>
    <w:rsid w:val="00AB3EA4"/>
    <w:rsid w:val="00AB3F94"/>
    <w:rsid w:val="00AB40EB"/>
    <w:rsid w:val="00AB40FD"/>
    <w:rsid w:val="00AB4102"/>
    <w:rsid w:val="00AB4207"/>
    <w:rsid w:val="00AB434D"/>
    <w:rsid w:val="00AB44C6"/>
    <w:rsid w:val="00AB4935"/>
    <w:rsid w:val="00AB494F"/>
    <w:rsid w:val="00AB4996"/>
    <w:rsid w:val="00AB4B59"/>
    <w:rsid w:val="00AB4C03"/>
    <w:rsid w:val="00AB4CAA"/>
    <w:rsid w:val="00AB4FE6"/>
    <w:rsid w:val="00AB5018"/>
    <w:rsid w:val="00AB50F9"/>
    <w:rsid w:val="00AB518E"/>
    <w:rsid w:val="00AB5481"/>
    <w:rsid w:val="00AB56B8"/>
    <w:rsid w:val="00AB5888"/>
    <w:rsid w:val="00AB5899"/>
    <w:rsid w:val="00AB58B7"/>
    <w:rsid w:val="00AB58C1"/>
    <w:rsid w:val="00AB59D5"/>
    <w:rsid w:val="00AB5E53"/>
    <w:rsid w:val="00AB5F5B"/>
    <w:rsid w:val="00AB6207"/>
    <w:rsid w:val="00AB651A"/>
    <w:rsid w:val="00AB6583"/>
    <w:rsid w:val="00AB65B4"/>
    <w:rsid w:val="00AB6736"/>
    <w:rsid w:val="00AB6B55"/>
    <w:rsid w:val="00AB6C65"/>
    <w:rsid w:val="00AB6DC0"/>
    <w:rsid w:val="00AB6EA4"/>
    <w:rsid w:val="00AB70AF"/>
    <w:rsid w:val="00AB720E"/>
    <w:rsid w:val="00AB735E"/>
    <w:rsid w:val="00AB7386"/>
    <w:rsid w:val="00AB7617"/>
    <w:rsid w:val="00AB785B"/>
    <w:rsid w:val="00AB7913"/>
    <w:rsid w:val="00AB79AA"/>
    <w:rsid w:val="00AB79C9"/>
    <w:rsid w:val="00AB7AC8"/>
    <w:rsid w:val="00AB7C4B"/>
    <w:rsid w:val="00AB7C4D"/>
    <w:rsid w:val="00AB7C53"/>
    <w:rsid w:val="00AB7E8C"/>
    <w:rsid w:val="00AB7FCA"/>
    <w:rsid w:val="00AC004A"/>
    <w:rsid w:val="00AC0105"/>
    <w:rsid w:val="00AC01DB"/>
    <w:rsid w:val="00AC020F"/>
    <w:rsid w:val="00AC0293"/>
    <w:rsid w:val="00AC030A"/>
    <w:rsid w:val="00AC0486"/>
    <w:rsid w:val="00AC0A31"/>
    <w:rsid w:val="00AC0A8E"/>
    <w:rsid w:val="00AC0B5B"/>
    <w:rsid w:val="00AC0B87"/>
    <w:rsid w:val="00AC0BA3"/>
    <w:rsid w:val="00AC0CCD"/>
    <w:rsid w:val="00AC0E9C"/>
    <w:rsid w:val="00AC1015"/>
    <w:rsid w:val="00AC111C"/>
    <w:rsid w:val="00AC11BC"/>
    <w:rsid w:val="00AC1269"/>
    <w:rsid w:val="00AC1485"/>
    <w:rsid w:val="00AC1768"/>
    <w:rsid w:val="00AC180F"/>
    <w:rsid w:val="00AC1838"/>
    <w:rsid w:val="00AC185B"/>
    <w:rsid w:val="00AC1939"/>
    <w:rsid w:val="00AC1A42"/>
    <w:rsid w:val="00AC1AD9"/>
    <w:rsid w:val="00AC1BB5"/>
    <w:rsid w:val="00AC1CAE"/>
    <w:rsid w:val="00AC1D7A"/>
    <w:rsid w:val="00AC1E40"/>
    <w:rsid w:val="00AC1FF7"/>
    <w:rsid w:val="00AC22D7"/>
    <w:rsid w:val="00AC23E4"/>
    <w:rsid w:val="00AC23FF"/>
    <w:rsid w:val="00AC2462"/>
    <w:rsid w:val="00AC24D3"/>
    <w:rsid w:val="00AC2698"/>
    <w:rsid w:val="00AC27EE"/>
    <w:rsid w:val="00AC2831"/>
    <w:rsid w:val="00AC2858"/>
    <w:rsid w:val="00AC2EEF"/>
    <w:rsid w:val="00AC3034"/>
    <w:rsid w:val="00AC310E"/>
    <w:rsid w:val="00AC31BE"/>
    <w:rsid w:val="00AC31E0"/>
    <w:rsid w:val="00AC349F"/>
    <w:rsid w:val="00AC34BF"/>
    <w:rsid w:val="00AC35E4"/>
    <w:rsid w:val="00AC37BD"/>
    <w:rsid w:val="00AC387E"/>
    <w:rsid w:val="00AC3937"/>
    <w:rsid w:val="00AC3C58"/>
    <w:rsid w:val="00AC3ED6"/>
    <w:rsid w:val="00AC3F80"/>
    <w:rsid w:val="00AC3F97"/>
    <w:rsid w:val="00AC4011"/>
    <w:rsid w:val="00AC429D"/>
    <w:rsid w:val="00AC4475"/>
    <w:rsid w:val="00AC4570"/>
    <w:rsid w:val="00AC46A2"/>
    <w:rsid w:val="00AC486F"/>
    <w:rsid w:val="00AC48DC"/>
    <w:rsid w:val="00AC4A95"/>
    <w:rsid w:val="00AC4B81"/>
    <w:rsid w:val="00AC4BC4"/>
    <w:rsid w:val="00AC4CB7"/>
    <w:rsid w:val="00AC4F2E"/>
    <w:rsid w:val="00AC5009"/>
    <w:rsid w:val="00AC5083"/>
    <w:rsid w:val="00AC51C8"/>
    <w:rsid w:val="00AC51E4"/>
    <w:rsid w:val="00AC5299"/>
    <w:rsid w:val="00AC5357"/>
    <w:rsid w:val="00AC53D0"/>
    <w:rsid w:val="00AC56F9"/>
    <w:rsid w:val="00AC5BEA"/>
    <w:rsid w:val="00AC5DCE"/>
    <w:rsid w:val="00AC5EED"/>
    <w:rsid w:val="00AC5EF4"/>
    <w:rsid w:val="00AC5F5C"/>
    <w:rsid w:val="00AC61E8"/>
    <w:rsid w:val="00AC6298"/>
    <w:rsid w:val="00AC62D4"/>
    <w:rsid w:val="00AC651D"/>
    <w:rsid w:val="00AC6B2F"/>
    <w:rsid w:val="00AC6CFD"/>
    <w:rsid w:val="00AC6D95"/>
    <w:rsid w:val="00AC6DD4"/>
    <w:rsid w:val="00AC709D"/>
    <w:rsid w:val="00AC7164"/>
    <w:rsid w:val="00AC738D"/>
    <w:rsid w:val="00AC74AD"/>
    <w:rsid w:val="00AC7630"/>
    <w:rsid w:val="00AC79AC"/>
    <w:rsid w:val="00AC7A58"/>
    <w:rsid w:val="00AC7A5E"/>
    <w:rsid w:val="00AC7B63"/>
    <w:rsid w:val="00AC7D08"/>
    <w:rsid w:val="00AC7E53"/>
    <w:rsid w:val="00AC7F48"/>
    <w:rsid w:val="00AC7F74"/>
    <w:rsid w:val="00AC7FD4"/>
    <w:rsid w:val="00AD0067"/>
    <w:rsid w:val="00AD02E2"/>
    <w:rsid w:val="00AD05C4"/>
    <w:rsid w:val="00AD0773"/>
    <w:rsid w:val="00AD08B4"/>
    <w:rsid w:val="00AD09AE"/>
    <w:rsid w:val="00AD09EC"/>
    <w:rsid w:val="00AD0A02"/>
    <w:rsid w:val="00AD0BC4"/>
    <w:rsid w:val="00AD0C3F"/>
    <w:rsid w:val="00AD0E59"/>
    <w:rsid w:val="00AD0E70"/>
    <w:rsid w:val="00AD103A"/>
    <w:rsid w:val="00AD1152"/>
    <w:rsid w:val="00AD11E9"/>
    <w:rsid w:val="00AD120E"/>
    <w:rsid w:val="00AD14B9"/>
    <w:rsid w:val="00AD1663"/>
    <w:rsid w:val="00AD17AC"/>
    <w:rsid w:val="00AD1813"/>
    <w:rsid w:val="00AD187A"/>
    <w:rsid w:val="00AD18CD"/>
    <w:rsid w:val="00AD19C5"/>
    <w:rsid w:val="00AD1B62"/>
    <w:rsid w:val="00AD1CA3"/>
    <w:rsid w:val="00AD1E02"/>
    <w:rsid w:val="00AD1FD0"/>
    <w:rsid w:val="00AD2074"/>
    <w:rsid w:val="00AD2138"/>
    <w:rsid w:val="00AD22CF"/>
    <w:rsid w:val="00AD22F7"/>
    <w:rsid w:val="00AD24DA"/>
    <w:rsid w:val="00AD260D"/>
    <w:rsid w:val="00AD26B4"/>
    <w:rsid w:val="00AD279D"/>
    <w:rsid w:val="00AD291B"/>
    <w:rsid w:val="00AD2A11"/>
    <w:rsid w:val="00AD2B15"/>
    <w:rsid w:val="00AD2BFC"/>
    <w:rsid w:val="00AD2D8C"/>
    <w:rsid w:val="00AD2DB5"/>
    <w:rsid w:val="00AD2F6E"/>
    <w:rsid w:val="00AD305C"/>
    <w:rsid w:val="00AD30A4"/>
    <w:rsid w:val="00AD30CE"/>
    <w:rsid w:val="00AD3176"/>
    <w:rsid w:val="00AD33FA"/>
    <w:rsid w:val="00AD3630"/>
    <w:rsid w:val="00AD369E"/>
    <w:rsid w:val="00AD384A"/>
    <w:rsid w:val="00AD3971"/>
    <w:rsid w:val="00AD3B1B"/>
    <w:rsid w:val="00AD3CB9"/>
    <w:rsid w:val="00AD3D6D"/>
    <w:rsid w:val="00AD3E2F"/>
    <w:rsid w:val="00AD3FD5"/>
    <w:rsid w:val="00AD4037"/>
    <w:rsid w:val="00AD40F5"/>
    <w:rsid w:val="00AD4178"/>
    <w:rsid w:val="00AD4334"/>
    <w:rsid w:val="00AD446F"/>
    <w:rsid w:val="00AD44F0"/>
    <w:rsid w:val="00AD45AE"/>
    <w:rsid w:val="00AD46CA"/>
    <w:rsid w:val="00AD47AA"/>
    <w:rsid w:val="00AD47D8"/>
    <w:rsid w:val="00AD4858"/>
    <w:rsid w:val="00AD49A0"/>
    <w:rsid w:val="00AD49DC"/>
    <w:rsid w:val="00AD4A00"/>
    <w:rsid w:val="00AD4A3E"/>
    <w:rsid w:val="00AD4A46"/>
    <w:rsid w:val="00AD4B5B"/>
    <w:rsid w:val="00AD4DB0"/>
    <w:rsid w:val="00AD4DED"/>
    <w:rsid w:val="00AD4E4A"/>
    <w:rsid w:val="00AD52CF"/>
    <w:rsid w:val="00AD57A2"/>
    <w:rsid w:val="00AD57CA"/>
    <w:rsid w:val="00AD59DE"/>
    <w:rsid w:val="00AD5A5A"/>
    <w:rsid w:val="00AD5A94"/>
    <w:rsid w:val="00AD5AA0"/>
    <w:rsid w:val="00AD5D30"/>
    <w:rsid w:val="00AD607D"/>
    <w:rsid w:val="00AD60B6"/>
    <w:rsid w:val="00AD619C"/>
    <w:rsid w:val="00AD61E3"/>
    <w:rsid w:val="00AD61E7"/>
    <w:rsid w:val="00AD61F3"/>
    <w:rsid w:val="00AD62B6"/>
    <w:rsid w:val="00AD6385"/>
    <w:rsid w:val="00AD63C9"/>
    <w:rsid w:val="00AD64CF"/>
    <w:rsid w:val="00AD664E"/>
    <w:rsid w:val="00AD6897"/>
    <w:rsid w:val="00AD68A9"/>
    <w:rsid w:val="00AD6AAB"/>
    <w:rsid w:val="00AD6D18"/>
    <w:rsid w:val="00AD6EFB"/>
    <w:rsid w:val="00AD6F9B"/>
    <w:rsid w:val="00AD7094"/>
    <w:rsid w:val="00AD72ED"/>
    <w:rsid w:val="00AD7348"/>
    <w:rsid w:val="00AD7492"/>
    <w:rsid w:val="00AD7510"/>
    <w:rsid w:val="00AD795E"/>
    <w:rsid w:val="00AD79E8"/>
    <w:rsid w:val="00AD79F4"/>
    <w:rsid w:val="00AD7B02"/>
    <w:rsid w:val="00AD7E0E"/>
    <w:rsid w:val="00AD7FBC"/>
    <w:rsid w:val="00AE005C"/>
    <w:rsid w:val="00AE0153"/>
    <w:rsid w:val="00AE01C4"/>
    <w:rsid w:val="00AE0249"/>
    <w:rsid w:val="00AE027E"/>
    <w:rsid w:val="00AE0350"/>
    <w:rsid w:val="00AE03FB"/>
    <w:rsid w:val="00AE04EB"/>
    <w:rsid w:val="00AE057D"/>
    <w:rsid w:val="00AE073D"/>
    <w:rsid w:val="00AE0761"/>
    <w:rsid w:val="00AE0857"/>
    <w:rsid w:val="00AE0D25"/>
    <w:rsid w:val="00AE0DA5"/>
    <w:rsid w:val="00AE0DFB"/>
    <w:rsid w:val="00AE0F26"/>
    <w:rsid w:val="00AE10B7"/>
    <w:rsid w:val="00AE11C5"/>
    <w:rsid w:val="00AE12F3"/>
    <w:rsid w:val="00AE13F4"/>
    <w:rsid w:val="00AE13FB"/>
    <w:rsid w:val="00AE151B"/>
    <w:rsid w:val="00AE162E"/>
    <w:rsid w:val="00AE1A08"/>
    <w:rsid w:val="00AE1A10"/>
    <w:rsid w:val="00AE1BCB"/>
    <w:rsid w:val="00AE1C85"/>
    <w:rsid w:val="00AE1D7E"/>
    <w:rsid w:val="00AE1DA9"/>
    <w:rsid w:val="00AE1EBB"/>
    <w:rsid w:val="00AE1EC2"/>
    <w:rsid w:val="00AE1FFA"/>
    <w:rsid w:val="00AE22BA"/>
    <w:rsid w:val="00AE242B"/>
    <w:rsid w:val="00AE2525"/>
    <w:rsid w:val="00AE258E"/>
    <w:rsid w:val="00AE2A3E"/>
    <w:rsid w:val="00AE2AB0"/>
    <w:rsid w:val="00AE2B0B"/>
    <w:rsid w:val="00AE2B1B"/>
    <w:rsid w:val="00AE2B32"/>
    <w:rsid w:val="00AE2EFF"/>
    <w:rsid w:val="00AE2F02"/>
    <w:rsid w:val="00AE2F96"/>
    <w:rsid w:val="00AE30B5"/>
    <w:rsid w:val="00AE31A0"/>
    <w:rsid w:val="00AE3326"/>
    <w:rsid w:val="00AE349D"/>
    <w:rsid w:val="00AE34AE"/>
    <w:rsid w:val="00AE34ED"/>
    <w:rsid w:val="00AE34F0"/>
    <w:rsid w:val="00AE35F7"/>
    <w:rsid w:val="00AE36F4"/>
    <w:rsid w:val="00AE3711"/>
    <w:rsid w:val="00AE37F8"/>
    <w:rsid w:val="00AE38C6"/>
    <w:rsid w:val="00AE39B6"/>
    <w:rsid w:val="00AE3A5A"/>
    <w:rsid w:val="00AE3B8C"/>
    <w:rsid w:val="00AE3D9D"/>
    <w:rsid w:val="00AE3E2C"/>
    <w:rsid w:val="00AE3F02"/>
    <w:rsid w:val="00AE3F75"/>
    <w:rsid w:val="00AE4028"/>
    <w:rsid w:val="00AE413F"/>
    <w:rsid w:val="00AE4154"/>
    <w:rsid w:val="00AE429F"/>
    <w:rsid w:val="00AE42E4"/>
    <w:rsid w:val="00AE4427"/>
    <w:rsid w:val="00AE44D8"/>
    <w:rsid w:val="00AE4566"/>
    <w:rsid w:val="00AE4589"/>
    <w:rsid w:val="00AE462B"/>
    <w:rsid w:val="00AE475C"/>
    <w:rsid w:val="00AE47C4"/>
    <w:rsid w:val="00AE48B4"/>
    <w:rsid w:val="00AE4A9B"/>
    <w:rsid w:val="00AE4B59"/>
    <w:rsid w:val="00AE4C5F"/>
    <w:rsid w:val="00AE4DEC"/>
    <w:rsid w:val="00AE4E1C"/>
    <w:rsid w:val="00AE4F1C"/>
    <w:rsid w:val="00AE5205"/>
    <w:rsid w:val="00AE5353"/>
    <w:rsid w:val="00AE535B"/>
    <w:rsid w:val="00AE535D"/>
    <w:rsid w:val="00AE5486"/>
    <w:rsid w:val="00AE54D4"/>
    <w:rsid w:val="00AE5523"/>
    <w:rsid w:val="00AE5532"/>
    <w:rsid w:val="00AE5864"/>
    <w:rsid w:val="00AE58A3"/>
    <w:rsid w:val="00AE596C"/>
    <w:rsid w:val="00AE5C50"/>
    <w:rsid w:val="00AE5CEE"/>
    <w:rsid w:val="00AE5D04"/>
    <w:rsid w:val="00AE6001"/>
    <w:rsid w:val="00AE6134"/>
    <w:rsid w:val="00AE6272"/>
    <w:rsid w:val="00AE6718"/>
    <w:rsid w:val="00AE67A9"/>
    <w:rsid w:val="00AE67B8"/>
    <w:rsid w:val="00AE6884"/>
    <w:rsid w:val="00AE69BB"/>
    <w:rsid w:val="00AE6A17"/>
    <w:rsid w:val="00AE6A35"/>
    <w:rsid w:val="00AE6C77"/>
    <w:rsid w:val="00AE6DEB"/>
    <w:rsid w:val="00AE6FA4"/>
    <w:rsid w:val="00AE70CC"/>
    <w:rsid w:val="00AE7419"/>
    <w:rsid w:val="00AE7431"/>
    <w:rsid w:val="00AE74E3"/>
    <w:rsid w:val="00AE74FD"/>
    <w:rsid w:val="00AE7538"/>
    <w:rsid w:val="00AE778D"/>
    <w:rsid w:val="00AE78FC"/>
    <w:rsid w:val="00AE7A0F"/>
    <w:rsid w:val="00AE7BD6"/>
    <w:rsid w:val="00AE7D91"/>
    <w:rsid w:val="00AE7EDF"/>
    <w:rsid w:val="00AF011B"/>
    <w:rsid w:val="00AF051C"/>
    <w:rsid w:val="00AF0524"/>
    <w:rsid w:val="00AF061F"/>
    <w:rsid w:val="00AF064A"/>
    <w:rsid w:val="00AF0954"/>
    <w:rsid w:val="00AF0B51"/>
    <w:rsid w:val="00AF0BAF"/>
    <w:rsid w:val="00AF0C62"/>
    <w:rsid w:val="00AF0E56"/>
    <w:rsid w:val="00AF0F07"/>
    <w:rsid w:val="00AF1011"/>
    <w:rsid w:val="00AF10FE"/>
    <w:rsid w:val="00AF1108"/>
    <w:rsid w:val="00AF1225"/>
    <w:rsid w:val="00AF122B"/>
    <w:rsid w:val="00AF12BC"/>
    <w:rsid w:val="00AF13C0"/>
    <w:rsid w:val="00AF16C9"/>
    <w:rsid w:val="00AF1938"/>
    <w:rsid w:val="00AF1B51"/>
    <w:rsid w:val="00AF1CD2"/>
    <w:rsid w:val="00AF1DDF"/>
    <w:rsid w:val="00AF1F97"/>
    <w:rsid w:val="00AF2086"/>
    <w:rsid w:val="00AF2196"/>
    <w:rsid w:val="00AF2307"/>
    <w:rsid w:val="00AF2356"/>
    <w:rsid w:val="00AF2374"/>
    <w:rsid w:val="00AF23A8"/>
    <w:rsid w:val="00AF247C"/>
    <w:rsid w:val="00AF24A8"/>
    <w:rsid w:val="00AF2665"/>
    <w:rsid w:val="00AF269B"/>
    <w:rsid w:val="00AF2861"/>
    <w:rsid w:val="00AF28AD"/>
    <w:rsid w:val="00AF28B2"/>
    <w:rsid w:val="00AF2B48"/>
    <w:rsid w:val="00AF2BEC"/>
    <w:rsid w:val="00AF2D16"/>
    <w:rsid w:val="00AF2E4D"/>
    <w:rsid w:val="00AF2E64"/>
    <w:rsid w:val="00AF30AB"/>
    <w:rsid w:val="00AF32A7"/>
    <w:rsid w:val="00AF3300"/>
    <w:rsid w:val="00AF330F"/>
    <w:rsid w:val="00AF332D"/>
    <w:rsid w:val="00AF35F7"/>
    <w:rsid w:val="00AF3791"/>
    <w:rsid w:val="00AF381B"/>
    <w:rsid w:val="00AF39DB"/>
    <w:rsid w:val="00AF3A73"/>
    <w:rsid w:val="00AF3B0A"/>
    <w:rsid w:val="00AF3C61"/>
    <w:rsid w:val="00AF3C63"/>
    <w:rsid w:val="00AF3CBC"/>
    <w:rsid w:val="00AF3D15"/>
    <w:rsid w:val="00AF3D6E"/>
    <w:rsid w:val="00AF3DBB"/>
    <w:rsid w:val="00AF3F29"/>
    <w:rsid w:val="00AF3FF9"/>
    <w:rsid w:val="00AF40B7"/>
    <w:rsid w:val="00AF416B"/>
    <w:rsid w:val="00AF420F"/>
    <w:rsid w:val="00AF4385"/>
    <w:rsid w:val="00AF43AE"/>
    <w:rsid w:val="00AF456B"/>
    <w:rsid w:val="00AF4616"/>
    <w:rsid w:val="00AF4810"/>
    <w:rsid w:val="00AF482A"/>
    <w:rsid w:val="00AF482D"/>
    <w:rsid w:val="00AF4918"/>
    <w:rsid w:val="00AF4A25"/>
    <w:rsid w:val="00AF4A42"/>
    <w:rsid w:val="00AF4B01"/>
    <w:rsid w:val="00AF4B20"/>
    <w:rsid w:val="00AF4B5C"/>
    <w:rsid w:val="00AF4CEB"/>
    <w:rsid w:val="00AF4DA8"/>
    <w:rsid w:val="00AF4E35"/>
    <w:rsid w:val="00AF4FAB"/>
    <w:rsid w:val="00AF4FD7"/>
    <w:rsid w:val="00AF4FF3"/>
    <w:rsid w:val="00AF5097"/>
    <w:rsid w:val="00AF514F"/>
    <w:rsid w:val="00AF51AC"/>
    <w:rsid w:val="00AF5280"/>
    <w:rsid w:val="00AF52FE"/>
    <w:rsid w:val="00AF5311"/>
    <w:rsid w:val="00AF531D"/>
    <w:rsid w:val="00AF549F"/>
    <w:rsid w:val="00AF54C3"/>
    <w:rsid w:val="00AF5553"/>
    <w:rsid w:val="00AF5628"/>
    <w:rsid w:val="00AF564D"/>
    <w:rsid w:val="00AF576D"/>
    <w:rsid w:val="00AF589E"/>
    <w:rsid w:val="00AF58CD"/>
    <w:rsid w:val="00AF5931"/>
    <w:rsid w:val="00AF59A6"/>
    <w:rsid w:val="00AF5AC4"/>
    <w:rsid w:val="00AF5BD6"/>
    <w:rsid w:val="00AF5EC6"/>
    <w:rsid w:val="00AF6116"/>
    <w:rsid w:val="00AF6220"/>
    <w:rsid w:val="00AF6387"/>
    <w:rsid w:val="00AF662D"/>
    <w:rsid w:val="00AF6749"/>
    <w:rsid w:val="00AF674C"/>
    <w:rsid w:val="00AF6791"/>
    <w:rsid w:val="00AF6931"/>
    <w:rsid w:val="00AF6937"/>
    <w:rsid w:val="00AF69BF"/>
    <w:rsid w:val="00AF69C5"/>
    <w:rsid w:val="00AF6BF1"/>
    <w:rsid w:val="00AF6BF6"/>
    <w:rsid w:val="00AF6FB8"/>
    <w:rsid w:val="00AF70F2"/>
    <w:rsid w:val="00AF716E"/>
    <w:rsid w:val="00AF71C7"/>
    <w:rsid w:val="00AF735C"/>
    <w:rsid w:val="00AF7371"/>
    <w:rsid w:val="00AF75EC"/>
    <w:rsid w:val="00AF772B"/>
    <w:rsid w:val="00AF7858"/>
    <w:rsid w:val="00AF78CE"/>
    <w:rsid w:val="00AF79AB"/>
    <w:rsid w:val="00AF7AD3"/>
    <w:rsid w:val="00AF7AF4"/>
    <w:rsid w:val="00AF7B9A"/>
    <w:rsid w:val="00AF7D71"/>
    <w:rsid w:val="00AF7E39"/>
    <w:rsid w:val="00B0006B"/>
    <w:rsid w:val="00B001C5"/>
    <w:rsid w:val="00B00384"/>
    <w:rsid w:val="00B003FB"/>
    <w:rsid w:val="00B00466"/>
    <w:rsid w:val="00B00520"/>
    <w:rsid w:val="00B006CF"/>
    <w:rsid w:val="00B008BE"/>
    <w:rsid w:val="00B00DB9"/>
    <w:rsid w:val="00B00E65"/>
    <w:rsid w:val="00B00EBD"/>
    <w:rsid w:val="00B00FC9"/>
    <w:rsid w:val="00B01089"/>
    <w:rsid w:val="00B010C3"/>
    <w:rsid w:val="00B01267"/>
    <w:rsid w:val="00B01383"/>
    <w:rsid w:val="00B016F5"/>
    <w:rsid w:val="00B01A8A"/>
    <w:rsid w:val="00B01B6A"/>
    <w:rsid w:val="00B01DA7"/>
    <w:rsid w:val="00B01ECA"/>
    <w:rsid w:val="00B01EE5"/>
    <w:rsid w:val="00B02056"/>
    <w:rsid w:val="00B020AF"/>
    <w:rsid w:val="00B0215A"/>
    <w:rsid w:val="00B025E4"/>
    <w:rsid w:val="00B02616"/>
    <w:rsid w:val="00B02862"/>
    <w:rsid w:val="00B028D3"/>
    <w:rsid w:val="00B029C5"/>
    <w:rsid w:val="00B02A35"/>
    <w:rsid w:val="00B02A79"/>
    <w:rsid w:val="00B02C2C"/>
    <w:rsid w:val="00B02D73"/>
    <w:rsid w:val="00B02E28"/>
    <w:rsid w:val="00B0311A"/>
    <w:rsid w:val="00B03254"/>
    <w:rsid w:val="00B03323"/>
    <w:rsid w:val="00B03375"/>
    <w:rsid w:val="00B03810"/>
    <w:rsid w:val="00B038D3"/>
    <w:rsid w:val="00B03970"/>
    <w:rsid w:val="00B03BCB"/>
    <w:rsid w:val="00B03CDC"/>
    <w:rsid w:val="00B03DF3"/>
    <w:rsid w:val="00B03FA7"/>
    <w:rsid w:val="00B041FD"/>
    <w:rsid w:val="00B04473"/>
    <w:rsid w:val="00B04528"/>
    <w:rsid w:val="00B04621"/>
    <w:rsid w:val="00B0470F"/>
    <w:rsid w:val="00B048BE"/>
    <w:rsid w:val="00B04924"/>
    <w:rsid w:val="00B04A11"/>
    <w:rsid w:val="00B04AFA"/>
    <w:rsid w:val="00B04B9A"/>
    <w:rsid w:val="00B04E1D"/>
    <w:rsid w:val="00B04E7E"/>
    <w:rsid w:val="00B04E88"/>
    <w:rsid w:val="00B04EB6"/>
    <w:rsid w:val="00B04F79"/>
    <w:rsid w:val="00B05033"/>
    <w:rsid w:val="00B05121"/>
    <w:rsid w:val="00B05591"/>
    <w:rsid w:val="00B0574B"/>
    <w:rsid w:val="00B0577B"/>
    <w:rsid w:val="00B05B0B"/>
    <w:rsid w:val="00B05C88"/>
    <w:rsid w:val="00B05CC2"/>
    <w:rsid w:val="00B05E72"/>
    <w:rsid w:val="00B05E90"/>
    <w:rsid w:val="00B06024"/>
    <w:rsid w:val="00B0605D"/>
    <w:rsid w:val="00B06172"/>
    <w:rsid w:val="00B061D0"/>
    <w:rsid w:val="00B06733"/>
    <w:rsid w:val="00B06AF2"/>
    <w:rsid w:val="00B06B71"/>
    <w:rsid w:val="00B06DB6"/>
    <w:rsid w:val="00B06DFF"/>
    <w:rsid w:val="00B06E72"/>
    <w:rsid w:val="00B0710E"/>
    <w:rsid w:val="00B0712D"/>
    <w:rsid w:val="00B072DC"/>
    <w:rsid w:val="00B0749D"/>
    <w:rsid w:val="00B074DD"/>
    <w:rsid w:val="00B07541"/>
    <w:rsid w:val="00B075E8"/>
    <w:rsid w:val="00B0762A"/>
    <w:rsid w:val="00B0772C"/>
    <w:rsid w:val="00B0777B"/>
    <w:rsid w:val="00B0781B"/>
    <w:rsid w:val="00B07944"/>
    <w:rsid w:val="00B07A78"/>
    <w:rsid w:val="00B07AE3"/>
    <w:rsid w:val="00B07C66"/>
    <w:rsid w:val="00B07D64"/>
    <w:rsid w:val="00B07EF9"/>
    <w:rsid w:val="00B07F8C"/>
    <w:rsid w:val="00B10170"/>
    <w:rsid w:val="00B101E5"/>
    <w:rsid w:val="00B10420"/>
    <w:rsid w:val="00B107E5"/>
    <w:rsid w:val="00B10826"/>
    <w:rsid w:val="00B108BD"/>
    <w:rsid w:val="00B10A09"/>
    <w:rsid w:val="00B10C04"/>
    <w:rsid w:val="00B10C47"/>
    <w:rsid w:val="00B10E56"/>
    <w:rsid w:val="00B10E5E"/>
    <w:rsid w:val="00B110F2"/>
    <w:rsid w:val="00B112E8"/>
    <w:rsid w:val="00B1147C"/>
    <w:rsid w:val="00B114DE"/>
    <w:rsid w:val="00B11504"/>
    <w:rsid w:val="00B115C1"/>
    <w:rsid w:val="00B1170D"/>
    <w:rsid w:val="00B118FF"/>
    <w:rsid w:val="00B11B4C"/>
    <w:rsid w:val="00B11BDA"/>
    <w:rsid w:val="00B11C20"/>
    <w:rsid w:val="00B11FC7"/>
    <w:rsid w:val="00B11FD3"/>
    <w:rsid w:val="00B1205B"/>
    <w:rsid w:val="00B120DF"/>
    <w:rsid w:val="00B12235"/>
    <w:rsid w:val="00B1224B"/>
    <w:rsid w:val="00B1238B"/>
    <w:rsid w:val="00B12403"/>
    <w:rsid w:val="00B12B49"/>
    <w:rsid w:val="00B12B5B"/>
    <w:rsid w:val="00B12C01"/>
    <w:rsid w:val="00B12C93"/>
    <w:rsid w:val="00B12EB1"/>
    <w:rsid w:val="00B12F0D"/>
    <w:rsid w:val="00B13010"/>
    <w:rsid w:val="00B1308D"/>
    <w:rsid w:val="00B130F3"/>
    <w:rsid w:val="00B1313E"/>
    <w:rsid w:val="00B13146"/>
    <w:rsid w:val="00B13239"/>
    <w:rsid w:val="00B132A6"/>
    <w:rsid w:val="00B1349B"/>
    <w:rsid w:val="00B134F2"/>
    <w:rsid w:val="00B13541"/>
    <w:rsid w:val="00B13683"/>
    <w:rsid w:val="00B136DB"/>
    <w:rsid w:val="00B13754"/>
    <w:rsid w:val="00B138C1"/>
    <w:rsid w:val="00B13DBA"/>
    <w:rsid w:val="00B141E8"/>
    <w:rsid w:val="00B1429D"/>
    <w:rsid w:val="00B142F6"/>
    <w:rsid w:val="00B143F2"/>
    <w:rsid w:val="00B14401"/>
    <w:rsid w:val="00B14691"/>
    <w:rsid w:val="00B14BA3"/>
    <w:rsid w:val="00B14CF7"/>
    <w:rsid w:val="00B14D8F"/>
    <w:rsid w:val="00B14E11"/>
    <w:rsid w:val="00B15129"/>
    <w:rsid w:val="00B15257"/>
    <w:rsid w:val="00B152A7"/>
    <w:rsid w:val="00B1531E"/>
    <w:rsid w:val="00B1536F"/>
    <w:rsid w:val="00B1545C"/>
    <w:rsid w:val="00B1551B"/>
    <w:rsid w:val="00B15534"/>
    <w:rsid w:val="00B1569D"/>
    <w:rsid w:val="00B157DB"/>
    <w:rsid w:val="00B15821"/>
    <w:rsid w:val="00B15A10"/>
    <w:rsid w:val="00B15F3A"/>
    <w:rsid w:val="00B16041"/>
    <w:rsid w:val="00B161C8"/>
    <w:rsid w:val="00B162E9"/>
    <w:rsid w:val="00B1660C"/>
    <w:rsid w:val="00B166FC"/>
    <w:rsid w:val="00B168A2"/>
    <w:rsid w:val="00B168FC"/>
    <w:rsid w:val="00B16954"/>
    <w:rsid w:val="00B16B9D"/>
    <w:rsid w:val="00B16CBA"/>
    <w:rsid w:val="00B16E6F"/>
    <w:rsid w:val="00B16F5E"/>
    <w:rsid w:val="00B17086"/>
    <w:rsid w:val="00B17278"/>
    <w:rsid w:val="00B173A2"/>
    <w:rsid w:val="00B17499"/>
    <w:rsid w:val="00B1767C"/>
    <w:rsid w:val="00B1792A"/>
    <w:rsid w:val="00B17C8D"/>
    <w:rsid w:val="00B17D5C"/>
    <w:rsid w:val="00B17ED7"/>
    <w:rsid w:val="00B20262"/>
    <w:rsid w:val="00B20397"/>
    <w:rsid w:val="00B203A1"/>
    <w:rsid w:val="00B205A9"/>
    <w:rsid w:val="00B20BB9"/>
    <w:rsid w:val="00B20D1D"/>
    <w:rsid w:val="00B20F24"/>
    <w:rsid w:val="00B20F2D"/>
    <w:rsid w:val="00B210ED"/>
    <w:rsid w:val="00B2116C"/>
    <w:rsid w:val="00B2129C"/>
    <w:rsid w:val="00B2133B"/>
    <w:rsid w:val="00B21458"/>
    <w:rsid w:val="00B21519"/>
    <w:rsid w:val="00B215B3"/>
    <w:rsid w:val="00B2160B"/>
    <w:rsid w:val="00B217AF"/>
    <w:rsid w:val="00B21893"/>
    <w:rsid w:val="00B21922"/>
    <w:rsid w:val="00B21A0A"/>
    <w:rsid w:val="00B21B09"/>
    <w:rsid w:val="00B21BC2"/>
    <w:rsid w:val="00B21C7A"/>
    <w:rsid w:val="00B21CCF"/>
    <w:rsid w:val="00B22038"/>
    <w:rsid w:val="00B221A0"/>
    <w:rsid w:val="00B221BD"/>
    <w:rsid w:val="00B22324"/>
    <w:rsid w:val="00B2241D"/>
    <w:rsid w:val="00B22486"/>
    <w:rsid w:val="00B22657"/>
    <w:rsid w:val="00B226D8"/>
    <w:rsid w:val="00B2270B"/>
    <w:rsid w:val="00B227C2"/>
    <w:rsid w:val="00B2289D"/>
    <w:rsid w:val="00B22A40"/>
    <w:rsid w:val="00B22AF0"/>
    <w:rsid w:val="00B22B17"/>
    <w:rsid w:val="00B22D65"/>
    <w:rsid w:val="00B2308E"/>
    <w:rsid w:val="00B23199"/>
    <w:rsid w:val="00B23508"/>
    <w:rsid w:val="00B2368C"/>
    <w:rsid w:val="00B237DF"/>
    <w:rsid w:val="00B2386B"/>
    <w:rsid w:val="00B2389C"/>
    <w:rsid w:val="00B238AF"/>
    <w:rsid w:val="00B23C38"/>
    <w:rsid w:val="00B23DAD"/>
    <w:rsid w:val="00B23DD7"/>
    <w:rsid w:val="00B23F24"/>
    <w:rsid w:val="00B24031"/>
    <w:rsid w:val="00B240E2"/>
    <w:rsid w:val="00B24203"/>
    <w:rsid w:val="00B24257"/>
    <w:rsid w:val="00B24338"/>
    <w:rsid w:val="00B24434"/>
    <w:rsid w:val="00B2443F"/>
    <w:rsid w:val="00B248DC"/>
    <w:rsid w:val="00B24C19"/>
    <w:rsid w:val="00B24F1B"/>
    <w:rsid w:val="00B25013"/>
    <w:rsid w:val="00B25477"/>
    <w:rsid w:val="00B2552D"/>
    <w:rsid w:val="00B2557B"/>
    <w:rsid w:val="00B25607"/>
    <w:rsid w:val="00B2566C"/>
    <w:rsid w:val="00B256E1"/>
    <w:rsid w:val="00B257FC"/>
    <w:rsid w:val="00B25A34"/>
    <w:rsid w:val="00B25A7C"/>
    <w:rsid w:val="00B25A96"/>
    <w:rsid w:val="00B25C46"/>
    <w:rsid w:val="00B25DDD"/>
    <w:rsid w:val="00B26111"/>
    <w:rsid w:val="00B261DF"/>
    <w:rsid w:val="00B261FF"/>
    <w:rsid w:val="00B26664"/>
    <w:rsid w:val="00B266C2"/>
    <w:rsid w:val="00B266EA"/>
    <w:rsid w:val="00B26773"/>
    <w:rsid w:val="00B26DC5"/>
    <w:rsid w:val="00B26E7C"/>
    <w:rsid w:val="00B2713B"/>
    <w:rsid w:val="00B2715E"/>
    <w:rsid w:val="00B271B7"/>
    <w:rsid w:val="00B274C7"/>
    <w:rsid w:val="00B27665"/>
    <w:rsid w:val="00B27B50"/>
    <w:rsid w:val="00B27B95"/>
    <w:rsid w:val="00B27C39"/>
    <w:rsid w:val="00B27C8B"/>
    <w:rsid w:val="00B27DB7"/>
    <w:rsid w:val="00B300B7"/>
    <w:rsid w:val="00B30185"/>
    <w:rsid w:val="00B3030C"/>
    <w:rsid w:val="00B30707"/>
    <w:rsid w:val="00B30784"/>
    <w:rsid w:val="00B3089C"/>
    <w:rsid w:val="00B308AA"/>
    <w:rsid w:val="00B308BF"/>
    <w:rsid w:val="00B30B2D"/>
    <w:rsid w:val="00B30C30"/>
    <w:rsid w:val="00B30CAC"/>
    <w:rsid w:val="00B30D12"/>
    <w:rsid w:val="00B30E5F"/>
    <w:rsid w:val="00B30EF2"/>
    <w:rsid w:val="00B30F9F"/>
    <w:rsid w:val="00B30FD9"/>
    <w:rsid w:val="00B3109A"/>
    <w:rsid w:val="00B31256"/>
    <w:rsid w:val="00B3152D"/>
    <w:rsid w:val="00B316DF"/>
    <w:rsid w:val="00B317B2"/>
    <w:rsid w:val="00B3182C"/>
    <w:rsid w:val="00B31840"/>
    <w:rsid w:val="00B31C40"/>
    <w:rsid w:val="00B31D52"/>
    <w:rsid w:val="00B31D61"/>
    <w:rsid w:val="00B31DB0"/>
    <w:rsid w:val="00B31E0A"/>
    <w:rsid w:val="00B31F34"/>
    <w:rsid w:val="00B31FDD"/>
    <w:rsid w:val="00B32055"/>
    <w:rsid w:val="00B32203"/>
    <w:rsid w:val="00B32370"/>
    <w:rsid w:val="00B32617"/>
    <w:rsid w:val="00B32693"/>
    <w:rsid w:val="00B326BC"/>
    <w:rsid w:val="00B326EB"/>
    <w:rsid w:val="00B32815"/>
    <w:rsid w:val="00B32AD0"/>
    <w:rsid w:val="00B32AE4"/>
    <w:rsid w:val="00B32CD5"/>
    <w:rsid w:val="00B32D2D"/>
    <w:rsid w:val="00B32E94"/>
    <w:rsid w:val="00B32F7D"/>
    <w:rsid w:val="00B33054"/>
    <w:rsid w:val="00B331A1"/>
    <w:rsid w:val="00B33378"/>
    <w:rsid w:val="00B33396"/>
    <w:rsid w:val="00B3347A"/>
    <w:rsid w:val="00B336C8"/>
    <w:rsid w:val="00B337B9"/>
    <w:rsid w:val="00B3397F"/>
    <w:rsid w:val="00B33B8F"/>
    <w:rsid w:val="00B33BF5"/>
    <w:rsid w:val="00B3403D"/>
    <w:rsid w:val="00B3422C"/>
    <w:rsid w:val="00B342AE"/>
    <w:rsid w:val="00B342F8"/>
    <w:rsid w:val="00B3440B"/>
    <w:rsid w:val="00B3450F"/>
    <w:rsid w:val="00B34525"/>
    <w:rsid w:val="00B34679"/>
    <w:rsid w:val="00B34720"/>
    <w:rsid w:val="00B348DC"/>
    <w:rsid w:val="00B34952"/>
    <w:rsid w:val="00B349BC"/>
    <w:rsid w:val="00B34AB7"/>
    <w:rsid w:val="00B34B89"/>
    <w:rsid w:val="00B34C5F"/>
    <w:rsid w:val="00B34CB1"/>
    <w:rsid w:val="00B34E93"/>
    <w:rsid w:val="00B34ED2"/>
    <w:rsid w:val="00B352EE"/>
    <w:rsid w:val="00B35388"/>
    <w:rsid w:val="00B35415"/>
    <w:rsid w:val="00B3565A"/>
    <w:rsid w:val="00B35805"/>
    <w:rsid w:val="00B35934"/>
    <w:rsid w:val="00B35E1B"/>
    <w:rsid w:val="00B3611E"/>
    <w:rsid w:val="00B36590"/>
    <w:rsid w:val="00B367AF"/>
    <w:rsid w:val="00B367E7"/>
    <w:rsid w:val="00B3683F"/>
    <w:rsid w:val="00B36ACF"/>
    <w:rsid w:val="00B36C68"/>
    <w:rsid w:val="00B36D46"/>
    <w:rsid w:val="00B36D82"/>
    <w:rsid w:val="00B370CF"/>
    <w:rsid w:val="00B370E8"/>
    <w:rsid w:val="00B370FF"/>
    <w:rsid w:val="00B37155"/>
    <w:rsid w:val="00B37160"/>
    <w:rsid w:val="00B371CD"/>
    <w:rsid w:val="00B37217"/>
    <w:rsid w:val="00B37310"/>
    <w:rsid w:val="00B3737D"/>
    <w:rsid w:val="00B3776E"/>
    <w:rsid w:val="00B377ED"/>
    <w:rsid w:val="00B3783C"/>
    <w:rsid w:val="00B37917"/>
    <w:rsid w:val="00B37929"/>
    <w:rsid w:val="00B37A7B"/>
    <w:rsid w:val="00B37AFE"/>
    <w:rsid w:val="00B37C22"/>
    <w:rsid w:val="00B37E29"/>
    <w:rsid w:val="00B37F60"/>
    <w:rsid w:val="00B40269"/>
    <w:rsid w:val="00B407A6"/>
    <w:rsid w:val="00B407DF"/>
    <w:rsid w:val="00B4080E"/>
    <w:rsid w:val="00B40970"/>
    <w:rsid w:val="00B40B7A"/>
    <w:rsid w:val="00B40C8D"/>
    <w:rsid w:val="00B40D40"/>
    <w:rsid w:val="00B40E86"/>
    <w:rsid w:val="00B4107B"/>
    <w:rsid w:val="00B410B3"/>
    <w:rsid w:val="00B41119"/>
    <w:rsid w:val="00B4131D"/>
    <w:rsid w:val="00B4140C"/>
    <w:rsid w:val="00B41521"/>
    <w:rsid w:val="00B41727"/>
    <w:rsid w:val="00B417B6"/>
    <w:rsid w:val="00B41AC3"/>
    <w:rsid w:val="00B41B4E"/>
    <w:rsid w:val="00B41BE1"/>
    <w:rsid w:val="00B41C70"/>
    <w:rsid w:val="00B41CD4"/>
    <w:rsid w:val="00B41E04"/>
    <w:rsid w:val="00B41E7D"/>
    <w:rsid w:val="00B4209D"/>
    <w:rsid w:val="00B42227"/>
    <w:rsid w:val="00B422B3"/>
    <w:rsid w:val="00B422B5"/>
    <w:rsid w:val="00B423E1"/>
    <w:rsid w:val="00B42438"/>
    <w:rsid w:val="00B42454"/>
    <w:rsid w:val="00B424A2"/>
    <w:rsid w:val="00B424B6"/>
    <w:rsid w:val="00B42556"/>
    <w:rsid w:val="00B4256B"/>
    <w:rsid w:val="00B426E7"/>
    <w:rsid w:val="00B426FC"/>
    <w:rsid w:val="00B42710"/>
    <w:rsid w:val="00B427E5"/>
    <w:rsid w:val="00B428FA"/>
    <w:rsid w:val="00B429AD"/>
    <w:rsid w:val="00B429C4"/>
    <w:rsid w:val="00B42BA7"/>
    <w:rsid w:val="00B42C19"/>
    <w:rsid w:val="00B42DD2"/>
    <w:rsid w:val="00B42FB5"/>
    <w:rsid w:val="00B4306D"/>
    <w:rsid w:val="00B4316D"/>
    <w:rsid w:val="00B43249"/>
    <w:rsid w:val="00B43420"/>
    <w:rsid w:val="00B439B1"/>
    <w:rsid w:val="00B439D8"/>
    <w:rsid w:val="00B43BFE"/>
    <w:rsid w:val="00B43E2E"/>
    <w:rsid w:val="00B43E4B"/>
    <w:rsid w:val="00B43E72"/>
    <w:rsid w:val="00B43EEB"/>
    <w:rsid w:val="00B441BD"/>
    <w:rsid w:val="00B44226"/>
    <w:rsid w:val="00B44396"/>
    <w:rsid w:val="00B4444B"/>
    <w:rsid w:val="00B444A1"/>
    <w:rsid w:val="00B44B3B"/>
    <w:rsid w:val="00B44C34"/>
    <w:rsid w:val="00B44C52"/>
    <w:rsid w:val="00B44C9F"/>
    <w:rsid w:val="00B44D49"/>
    <w:rsid w:val="00B44D61"/>
    <w:rsid w:val="00B44FEF"/>
    <w:rsid w:val="00B45002"/>
    <w:rsid w:val="00B45155"/>
    <w:rsid w:val="00B45216"/>
    <w:rsid w:val="00B45423"/>
    <w:rsid w:val="00B45439"/>
    <w:rsid w:val="00B45631"/>
    <w:rsid w:val="00B45A16"/>
    <w:rsid w:val="00B45BA3"/>
    <w:rsid w:val="00B45BDC"/>
    <w:rsid w:val="00B45BF7"/>
    <w:rsid w:val="00B45D2B"/>
    <w:rsid w:val="00B45D8B"/>
    <w:rsid w:val="00B45FB7"/>
    <w:rsid w:val="00B46086"/>
    <w:rsid w:val="00B4611D"/>
    <w:rsid w:val="00B4618D"/>
    <w:rsid w:val="00B46336"/>
    <w:rsid w:val="00B4646B"/>
    <w:rsid w:val="00B465E2"/>
    <w:rsid w:val="00B46679"/>
    <w:rsid w:val="00B46717"/>
    <w:rsid w:val="00B469B1"/>
    <w:rsid w:val="00B469D1"/>
    <w:rsid w:val="00B469D2"/>
    <w:rsid w:val="00B46AC8"/>
    <w:rsid w:val="00B46AC9"/>
    <w:rsid w:val="00B46B66"/>
    <w:rsid w:val="00B46CC1"/>
    <w:rsid w:val="00B473D3"/>
    <w:rsid w:val="00B47539"/>
    <w:rsid w:val="00B4760E"/>
    <w:rsid w:val="00B4771D"/>
    <w:rsid w:val="00B47878"/>
    <w:rsid w:val="00B47C90"/>
    <w:rsid w:val="00B47E62"/>
    <w:rsid w:val="00B47FFE"/>
    <w:rsid w:val="00B50091"/>
    <w:rsid w:val="00B50117"/>
    <w:rsid w:val="00B503B5"/>
    <w:rsid w:val="00B50421"/>
    <w:rsid w:val="00B5045B"/>
    <w:rsid w:val="00B50528"/>
    <w:rsid w:val="00B507FE"/>
    <w:rsid w:val="00B50867"/>
    <w:rsid w:val="00B508F5"/>
    <w:rsid w:val="00B50960"/>
    <w:rsid w:val="00B50A52"/>
    <w:rsid w:val="00B50A9D"/>
    <w:rsid w:val="00B50BA9"/>
    <w:rsid w:val="00B50C4B"/>
    <w:rsid w:val="00B50F14"/>
    <w:rsid w:val="00B511A2"/>
    <w:rsid w:val="00B513C0"/>
    <w:rsid w:val="00B51834"/>
    <w:rsid w:val="00B5190A"/>
    <w:rsid w:val="00B51A21"/>
    <w:rsid w:val="00B51A36"/>
    <w:rsid w:val="00B51AEE"/>
    <w:rsid w:val="00B51BBC"/>
    <w:rsid w:val="00B51C13"/>
    <w:rsid w:val="00B51D13"/>
    <w:rsid w:val="00B51DDC"/>
    <w:rsid w:val="00B51DFC"/>
    <w:rsid w:val="00B522D2"/>
    <w:rsid w:val="00B524C1"/>
    <w:rsid w:val="00B52596"/>
    <w:rsid w:val="00B526EF"/>
    <w:rsid w:val="00B527DE"/>
    <w:rsid w:val="00B527F9"/>
    <w:rsid w:val="00B52A0E"/>
    <w:rsid w:val="00B52BE7"/>
    <w:rsid w:val="00B52C56"/>
    <w:rsid w:val="00B52CCB"/>
    <w:rsid w:val="00B52E53"/>
    <w:rsid w:val="00B52E9F"/>
    <w:rsid w:val="00B530B1"/>
    <w:rsid w:val="00B53286"/>
    <w:rsid w:val="00B532D3"/>
    <w:rsid w:val="00B5343D"/>
    <w:rsid w:val="00B5346F"/>
    <w:rsid w:val="00B534BA"/>
    <w:rsid w:val="00B53637"/>
    <w:rsid w:val="00B53644"/>
    <w:rsid w:val="00B5369B"/>
    <w:rsid w:val="00B536B0"/>
    <w:rsid w:val="00B5399F"/>
    <w:rsid w:val="00B539FE"/>
    <w:rsid w:val="00B53C41"/>
    <w:rsid w:val="00B53EA9"/>
    <w:rsid w:val="00B53F1B"/>
    <w:rsid w:val="00B540B6"/>
    <w:rsid w:val="00B542D6"/>
    <w:rsid w:val="00B544C5"/>
    <w:rsid w:val="00B546A1"/>
    <w:rsid w:val="00B54838"/>
    <w:rsid w:val="00B54AED"/>
    <w:rsid w:val="00B54C76"/>
    <w:rsid w:val="00B54E01"/>
    <w:rsid w:val="00B54E33"/>
    <w:rsid w:val="00B54F74"/>
    <w:rsid w:val="00B551EC"/>
    <w:rsid w:val="00B55398"/>
    <w:rsid w:val="00B55447"/>
    <w:rsid w:val="00B556A0"/>
    <w:rsid w:val="00B557C9"/>
    <w:rsid w:val="00B55CAE"/>
    <w:rsid w:val="00B55E89"/>
    <w:rsid w:val="00B55EB7"/>
    <w:rsid w:val="00B55F74"/>
    <w:rsid w:val="00B56041"/>
    <w:rsid w:val="00B561B6"/>
    <w:rsid w:val="00B562FE"/>
    <w:rsid w:val="00B563AF"/>
    <w:rsid w:val="00B5656B"/>
    <w:rsid w:val="00B56651"/>
    <w:rsid w:val="00B56758"/>
    <w:rsid w:val="00B5695C"/>
    <w:rsid w:val="00B569E7"/>
    <w:rsid w:val="00B56A50"/>
    <w:rsid w:val="00B56BA9"/>
    <w:rsid w:val="00B56BB1"/>
    <w:rsid w:val="00B56D04"/>
    <w:rsid w:val="00B56D73"/>
    <w:rsid w:val="00B56DBD"/>
    <w:rsid w:val="00B5703E"/>
    <w:rsid w:val="00B570D8"/>
    <w:rsid w:val="00B57206"/>
    <w:rsid w:val="00B57216"/>
    <w:rsid w:val="00B5748C"/>
    <w:rsid w:val="00B5759D"/>
    <w:rsid w:val="00B57684"/>
    <w:rsid w:val="00B576DC"/>
    <w:rsid w:val="00B576E3"/>
    <w:rsid w:val="00B57998"/>
    <w:rsid w:val="00B57A03"/>
    <w:rsid w:val="00B57BF0"/>
    <w:rsid w:val="00B60234"/>
    <w:rsid w:val="00B604BE"/>
    <w:rsid w:val="00B606D1"/>
    <w:rsid w:val="00B6085B"/>
    <w:rsid w:val="00B60873"/>
    <w:rsid w:val="00B608D4"/>
    <w:rsid w:val="00B60BCE"/>
    <w:rsid w:val="00B60E7F"/>
    <w:rsid w:val="00B60FEB"/>
    <w:rsid w:val="00B61292"/>
    <w:rsid w:val="00B6134F"/>
    <w:rsid w:val="00B61448"/>
    <w:rsid w:val="00B61838"/>
    <w:rsid w:val="00B61893"/>
    <w:rsid w:val="00B6199D"/>
    <w:rsid w:val="00B61E95"/>
    <w:rsid w:val="00B61ED6"/>
    <w:rsid w:val="00B61F1D"/>
    <w:rsid w:val="00B6205E"/>
    <w:rsid w:val="00B62159"/>
    <w:rsid w:val="00B622F5"/>
    <w:rsid w:val="00B624C1"/>
    <w:rsid w:val="00B6257D"/>
    <w:rsid w:val="00B6257F"/>
    <w:rsid w:val="00B6269A"/>
    <w:rsid w:val="00B626BA"/>
    <w:rsid w:val="00B626D7"/>
    <w:rsid w:val="00B626EA"/>
    <w:rsid w:val="00B62712"/>
    <w:rsid w:val="00B6281B"/>
    <w:rsid w:val="00B6284B"/>
    <w:rsid w:val="00B628C6"/>
    <w:rsid w:val="00B628D1"/>
    <w:rsid w:val="00B62C08"/>
    <w:rsid w:val="00B62C7B"/>
    <w:rsid w:val="00B62EE2"/>
    <w:rsid w:val="00B63D62"/>
    <w:rsid w:val="00B63E4A"/>
    <w:rsid w:val="00B63F42"/>
    <w:rsid w:val="00B6402E"/>
    <w:rsid w:val="00B64209"/>
    <w:rsid w:val="00B642C3"/>
    <w:rsid w:val="00B64621"/>
    <w:rsid w:val="00B6469C"/>
    <w:rsid w:val="00B646A9"/>
    <w:rsid w:val="00B646D9"/>
    <w:rsid w:val="00B64893"/>
    <w:rsid w:val="00B648A8"/>
    <w:rsid w:val="00B648E2"/>
    <w:rsid w:val="00B64917"/>
    <w:rsid w:val="00B64941"/>
    <w:rsid w:val="00B64A7B"/>
    <w:rsid w:val="00B64AD2"/>
    <w:rsid w:val="00B64CED"/>
    <w:rsid w:val="00B64DBD"/>
    <w:rsid w:val="00B6515C"/>
    <w:rsid w:val="00B65504"/>
    <w:rsid w:val="00B655B5"/>
    <w:rsid w:val="00B65787"/>
    <w:rsid w:val="00B6586A"/>
    <w:rsid w:val="00B659A8"/>
    <w:rsid w:val="00B65DF0"/>
    <w:rsid w:val="00B65E6C"/>
    <w:rsid w:val="00B660C7"/>
    <w:rsid w:val="00B66156"/>
    <w:rsid w:val="00B661FD"/>
    <w:rsid w:val="00B6662C"/>
    <w:rsid w:val="00B66726"/>
    <w:rsid w:val="00B66763"/>
    <w:rsid w:val="00B667E9"/>
    <w:rsid w:val="00B66821"/>
    <w:rsid w:val="00B66B52"/>
    <w:rsid w:val="00B66BB5"/>
    <w:rsid w:val="00B66EB9"/>
    <w:rsid w:val="00B66EC8"/>
    <w:rsid w:val="00B67009"/>
    <w:rsid w:val="00B671AD"/>
    <w:rsid w:val="00B67265"/>
    <w:rsid w:val="00B672E3"/>
    <w:rsid w:val="00B6731A"/>
    <w:rsid w:val="00B673CB"/>
    <w:rsid w:val="00B67671"/>
    <w:rsid w:val="00B6795B"/>
    <w:rsid w:val="00B67A48"/>
    <w:rsid w:val="00B67AB1"/>
    <w:rsid w:val="00B67B46"/>
    <w:rsid w:val="00B67C1B"/>
    <w:rsid w:val="00B67CB0"/>
    <w:rsid w:val="00B67D1C"/>
    <w:rsid w:val="00B67D56"/>
    <w:rsid w:val="00B67D65"/>
    <w:rsid w:val="00B67F0E"/>
    <w:rsid w:val="00B67F10"/>
    <w:rsid w:val="00B67F42"/>
    <w:rsid w:val="00B70068"/>
    <w:rsid w:val="00B701D4"/>
    <w:rsid w:val="00B70260"/>
    <w:rsid w:val="00B70430"/>
    <w:rsid w:val="00B7056C"/>
    <w:rsid w:val="00B7069E"/>
    <w:rsid w:val="00B70845"/>
    <w:rsid w:val="00B708CF"/>
    <w:rsid w:val="00B70D8D"/>
    <w:rsid w:val="00B70E69"/>
    <w:rsid w:val="00B70F64"/>
    <w:rsid w:val="00B70FD3"/>
    <w:rsid w:val="00B712A7"/>
    <w:rsid w:val="00B712DE"/>
    <w:rsid w:val="00B71536"/>
    <w:rsid w:val="00B717D9"/>
    <w:rsid w:val="00B71818"/>
    <w:rsid w:val="00B718A3"/>
    <w:rsid w:val="00B71B4D"/>
    <w:rsid w:val="00B71BB1"/>
    <w:rsid w:val="00B71C0B"/>
    <w:rsid w:val="00B71C9B"/>
    <w:rsid w:val="00B71D65"/>
    <w:rsid w:val="00B71E9F"/>
    <w:rsid w:val="00B71F17"/>
    <w:rsid w:val="00B72025"/>
    <w:rsid w:val="00B72105"/>
    <w:rsid w:val="00B72131"/>
    <w:rsid w:val="00B72142"/>
    <w:rsid w:val="00B72348"/>
    <w:rsid w:val="00B72393"/>
    <w:rsid w:val="00B72540"/>
    <w:rsid w:val="00B72571"/>
    <w:rsid w:val="00B72951"/>
    <w:rsid w:val="00B72A30"/>
    <w:rsid w:val="00B72A88"/>
    <w:rsid w:val="00B72A97"/>
    <w:rsid w:val="00B72B9A"/>
    <w:rsid w:val="00B72BE5"/>
    <w:rsid w:val="00B72C31"/>
    <w:rsid w:val="00B72D99"/>
    <w:rsid w:val="00B72DC9"/>
    <w:rsid w:val="00B72E81"/>
    <w:rsid w:val="00B730E1"/>
    <w:rsid w:val="00B73172"/>
    <w:rsid w:val="00B73187"/>
    <w:rsid w:val="00B7320E"/>
    <w:rsid w:val="00B73222"/>
    <w:rsid w:val="00B7346C"/>
    <w:rsid w:val="00B7354B"/>
    <w:rsid w:val="00B736DB"/>
    <w:rsid w:val="00B73786"/>
    <w:rsid w:val="00B73882"/>
    <w:rsid w:val="00B73CEF"/>
    <w:rsid w:val="00B73E6D"/>
    <w:rsid w:val="00B73EE9"/>
    <w:rsid w:val="00B73F23"/>
    <w:rsid w:val="00B74067"/>
    <w:rsid w:val="00B7424D"/>
    <w:rsid w:val="00B74338"/>
    <w:rsid w:val="00B74366"/>
    <w:rsid w:val="00B745E4"/>
    <w:rsid w:val="00B746A5"/>
    <w:rsid w:val="00B74815"/>
    <w:rsid w:val="00B748F5"/>
    <w:rsid w:val="00B749E4"/>
    <w:rsid w:val="00B74A4A"/>
    <w:rsid w:val="00B74B44"/>
    <w:rsid w:val="00B74CF8"/>
    <w:rsid w:val="00B74DD1"/>
    <w:rsid w:val="00B74E17"/>
    <w:rsid w:val="00B74EB3"/>
    <w:rsid w:val="00B7502C"/>
    <w:rsid w:val="00B75105"/>
    <w:rsid w:val="00B753F5"/>
    <w:rsid w:val="00B753FB"/>
    <w:rsid w:val="00B7559F"/>
    <w:rsid w:val="00B7571A"/>
    <w:rsid w:val="00B757CB"/>
    <w:rsid w:val="00B757E8"/>
    <w:rsid w:val="00B75810"/>
    <w:rsid w:val="00B7589B"/>
    <w:rsid w:val="00B7598C"/>
    <w:rsid w:val="00B7601F"/>
    <w:rsid w:val="00B76200"/>
    <w:rsid w:val="00B76362"/>
    <w:rsid w:val="00B76376"/>
    <w:rsid w:val="00B764BA"/>
    <w:rsid w:val="00B76718"/>
    <w:rsid w:val="00B767B1"/>
    <w:rsid w:val="00B767C0"/>
    <w:rsid w:val="00B768FD"/>
    <w:rsid w:val="00B7693D"/>
    <w:rsid w:val="00B769C9"/>
    <w:rsid w:val="00B76AFB"/>
    <w:rsid w:val="00B76CBC"/>
    <w:rsid w:val="00B76DAC"/>
    <w:rsid w:val="00B76F06"/>
    <w:rsid w:val="00B770CF"/>
    <w:rsid w:val="00B77479"/>
    <w:rsid w:val="00B774A9"/>
    <w:rsid w:val="00B7755C"/>
    <w:rsid w:val="00B77673"/>
    <w:rsid w:val="00B7795A"/>
    <w:rsid w:val="00B77B37"/>
    <w:rsid w:val="00B77B5D"/>
    <w:rsid w:val="00B77DC4"/>
    <w:rsid w:val="00B77E0F"/>
    <w:rsid w:val="00B77E90"/>
    <w:rsid w:val="00B77EA7"/>
    <w:rsid w:val="00B77F6A"/>
    <w:rsid w:val="00B8000A"/>
    <w:rsid w:val="00B80051"/>
    <w:rsid w:val="00B80128"/>
    <w:rsid w:val="00B80166"/>
    <w:rsid w:val="00B80210"/>
    <w:rsid w:val="00B80228"/>
    <w:rsid w:val="00B803AC"/>
    <w:rsid w:val="00B80593"/>
    <w:rsid w:val="00B806C2"/>
    <w:rsid w:val="00B806C9"/>
    <w:rsid w:val="00B808BB"/>
    <w:rsid w:val="00B80B5E"/>
    <w:rsid w:val="00B81332"/>
    <w:rsid w:val="00B81353"/>
    <w:rsid w:val="00B815EF"/>
    <w:rsid w:val="00B81697"/>
    <w:rsid w:val="00B8175C"/>
    <w:rsid w:val="00B818BE"/>
    <w:rsid w:val="00B81987"/>
    <w:rsid w:val="00B81A72"/>
    <w:rsid w:val="00B81A99"/>
    <w:rsid w:val="00B81C2A"/>
    <w:rsid w:val="00B81C43"/>
    <w:rsid w:val="00B81C9A"/>
    <w:rsid w:val="00B81D40"/>
    <w:rsid w:val="00B81DE4"/>
    <w:rsid w:val="00B81E67"/>
    <w:rsid w:val="00B81F93"/>
    <w:rsid w:val="00B8203F"/>
    <w:rsid w:val="00B82073"/>
    <w:rsid w:val="00B820E2"/>
    <w:rsid w:val="00B8226B"/>
    <w:rsid w:val="00B82361"/>
    <w:rsid w:val="00B827A1"/>
    <w:rsid w:val="00B827C7"/>
    <w:rsid w:val="00B82813"/>
    <w:rsid w:val="00B8282C"/>
    <w:rsid w:val="00B82971"/>
    <w:rsid w:val="00B82C59"/>
    <w:rsid w:val="00B82CDD"/>
    <w:rsid w:val="00B82DA7"/>
    <w:rsid w:val="00B82E37"/>
    <w:rsid w:val="00B82F7C"/>
    <w:rsid w:val="00B82FA6"/>
    <w:rsid w:val="00B83049"/>
    <w:rsid w:val="00B833F5"/>
    <w:rsid w:val="00B8346B"/>
    <w:rsid w:val="00B834DC"/>
    <w:rsid w:val="00B8357B"/>
    <w:rsid w:val="00B8360E"/>
    <w:rsid w:val="00B83612"/>
    <w:rsid w:val="00B836FA"/>
    <w:rsid w:val="00B8393D"/>
    <w:rsid w:val="00B839F3"/>
    <w:rsid w:val="00B83A08"/>
    <w:rsid w:val="00B83A3C"/>
    <w:rsid w:val="00B83B2D"/>
    <w:rsid w:val="00B83ED0"/>
    <w:rsid w:val="00B83F7B"/>
    <w:rsid w:val="00B83FC8"/>
    <w:rsid w:val="00B8402C"/>
    <w:rsid w:val="00B84321"/>
    <w:rsid w:val="00B8446B"/>
    <w:rsid w:val="00B84488"/>
    <w:rsid w:val="00B844F4"/>
    <w:rsid w:val="00B84624"/>
    <w:rsid w:val="00B84657"/>
    <w:rsid w:val="00B846A1"/>
    <w:rsid w:val="00B8471D"/>
    <w:rsid w:val="00B848BF"/>
    <w:rsid w:val="00B8496A"/>
    <w:rsid w:val="00B84ABE"/>
    <w:rsid w:val="00B84B7C"/>
    <w:rsid w:val="00B84CF6"/>
    <w:rsid w:val="00B84E15"/>
    <w:rsid w:val="00B84F02"/>
    <w:rsid w:val="00B84F53"/>
    <w:rsid w:val="00B84FCC"/>
    <w:rsid w:val="00B8536F"/>
    <w:rsid w:val="00B85395"/>
    <w:rsid w:val="00B855A5"/>
    <w:rsid w:val="00B8575B"/>
    <w:rsid w:val="00B857B0"/>
    <w:rsid w:val="00B8584A"/>
    <w:rsid w:val="00B8591A"/>
    <w:rsid w:val="00B85980"/>
    <w:rsid w:val="00B859B8"/>
    <w:rsid w:val="00B85CDE"/>
    <w:rsid w:val="00B85CE5"/>
    <w:rsid w:val="00B85D79"/>
    <w:rsid w:val="00B861FB"/>
    <w:rsid w:val="00B86585"/>
    <w:rsid w:val="00B86806"/>
    <w:rsid w:val="00B868AF"/>
    <w:rsid w:val="00B869E5"/>
    <w:rsid w:val="00B86BDD"/>
    <w:rsid w:val="00B86CE3"/>
    <w:rsid w:val="00B86E35"/>
    <w:rsid w:val="00B86EF5"/>
    <w:rsid w:val="00B86F3A"/>
    <w:rsid w:val="00B87092"/>
    <w:rsid w:val="00B87207"/>
    <w:rsid w:val="00B87214"/>
    <w:rsid w:val="00B875F4"/>
    <w:rsid w:val="00B8791B"/>
    <w:rsid w:val="00B87993"/>
    <w:rsid w:val="00B87BBE"/>
    <w:rsid w:val="00B87D32"/>
    <w:rsid w:val="00B87D45"/>
    <w:rsid w:val="00B87DB5"/>
    <w:rsid w:val="00B90243"/>
    <w:rsid w:val="00B90468"/>
    <w:rsid w:val="00B904BF"/>
    <w:rsid w:val="00B906F2"/>
    <w:rsid w:val="00B9075D"/>
    <w:rsid w:val="00B90ACD"/>
    <w:rsid w:val="00B90BE4"/>
    <w:rsid w:val="00B90D5F"/>
    <w:rsid w:val="00B90DE2"/>
    <w:rsid w:val="00B90E86"/>
    <w:rsid w:val="00B90FEA"/>
    <w:rsid w:val="00B9113D"/>
    <w:rsid w:val="00B911D5"/>
    <w:rsid w:val="00B911E4"/>
    <w:rsid w:val="00B911F1"/>
    <w:rsid w:val="00B914AD"/>
    <w:rsid w:val="00B914D7"/>
    <w:rsid w:val="00B915C3"/>
    <w:rsid w:val="00B9170A"/>
    <w:rsid w:val="00B9174A"/>
    <w:rsid w:val="00B91769"/>
    <w:rsid w:val="00B91830"/>
    <w:rsid w:val="00B919DA"/>
    <w:rsid w:val="00B91A76"/>
    <w:rsid w:val="00B91C06"/>
    <w:rsid w:val="00B91DB1"/>
    <w:rsid w:val="00B91F0F"/>
    <w:rsid w:val="00B91FFE"/>
    <w:rsid w:val="00B920D4"/>
    <w:rsid w:val="00B9221F"/>
    <w:rsid w:val="00B923DA"/>
    <w:rsid w:val="00B92673"/>
    <w:rsid w:val="00B9274C"/>
    <w:rsid w:val="00B92A7D"/>
    <w:rsid w:val="00B92C7E"/>
    <w:rsid w:val="00B92C8C"/>
    <w:rsid w:val="00B92EF9"/>
    <w:rsid w:val="00B9305E"/>
    <w:rsid w:val="00B930AA"/>
    <w:rsid w:val="00B930CE"/>
    <w:rsid w:val="00B93464"/>
    <w:rsid w:val="00B9352E"/>
    <w:rsid w:val="00B936F2"/>
    <w:rsid w:val="00B93761"/>
    <w:rsid w:val="00B937AE"/>
    <w:rsid w:val="00B93821"/>
    <w:rsid w:val="00B9392C"/>
    <w:rsid w:val="00B939A0"/>
    <w:rsid w:val="00B93B13"/>
    <w:rsid w:val="00B93B1F"/>
    <w:rsid w:val="00B93BCF"/>
    <w:rsid w:val="00B93D8B"/>
    <w:rsid w:val="00B93DA7"/>
    <w:rsid w:val="00B94150"/>
    <w:rsid w:val="00B941A3"/>
    <w:rsid w:val="00B942C9"/>
    <w:rsid w:val="00B94328"/>
    <w:rsid w:val="00B9439A"/>
    <w:rsid w:val="00B94597"/>
    <w:rsid w:val="00B94617"/>
    <w:rsid w:val="00B946C4"/>
    <w:rsid w:val="00B94971"/>
    <w:rsid w:val="00B94AFD"/>
    <w:rsid w:val="00B94B8D"/>
    <w:rsid w:val="00B94D7C"/>
    <w:rsid w:val="00B94EA7"/>
    <w:rsid w:val="00B950F6"/>
    <w:rsid w:val="00B9512C"/>
    <w:rsid w:val="00B9515F"/>
    <w:rsid w:val="00B951D2"/>
    <w:rsid w:val="00B952C8"/>
    <w:rsid w:val="00B955C1"/>
    <w:rsid w:val="00B956A3"/>
    <w:rsid w:val="00B95774"/>
    <w:rsid w:val="00B957FA"/>
    <w:rsid w:val="00B95A26"/>
    <w:rsid w:val="00B95C09"/>
    <w:rsid w:val="00B95D1A"/>
    <w:rsid w:val="00B95F5E"/>
    <w:rsid w:val="00B9607E"/>
    <w:rsid w:val="00B962C2"/>
    <w:rsid w:val="00B9631C"/>
    <w:rsid w:val="00B9642B"/>
    <w:rsid w:val="00B9654B"/>
    <w:rsid w:val="00B9658B"/>
    <w:rsid w:val="00B96814"/>
    <w:rsid w:val="00B96A41"/>
    <w:rsid w:val="00B96B32"/>
    <w:rsid w:val="00B96D05"/>
    <w:rsid w:val="00B96DEE"/>
    <w:rsid w:val="00B96E13"/>
    <w:rsid w:val="00B96ED9"/>
    <w:rsid w:val="00B96F21"/>
    <w:rsid w:val="00B97066"/>
    <w:rsid w:val="00B970C4"/>
    <w:rsid w:val="00B972E0"/>
    <w:rsid w:val="00B9743D"/>
    <w:rsid w:val="00B97554"/>
    <w:rsid w:val="00B97558"/>
    <w:rsid w:val="00B975AA"/>
    <w:rsid w:val="00B97844"/>
    <w:rsid w:val="00B97860"/>
    <w:rsid w:val="00BA0043"/>
    <w:rsid w:val="00BA0049"/>
    <w:rsid w:val="00BA004C"/>
    <w:rsid w:val="00BA0166"/>
    <w:rsid w:val="00BA03FD"/>
    <w:rsid w:val="00BA0544"/>
    <w:rsid w:val="00BA0600"/>
    <w:rsid w:val="00BA060C"/>
    <w:rsid w:val="00BA060F"/>
    <w:rsid w:val="00BA06DD"/>
    <w:rsid w:val="00BA07DE"/>
    <w:rsid w:val="00BA081B"/>
    <w:rsid w:val="00BA082F"/>
    <w:rsid w:val="00BA088F"/>
    <w:rsid w:val="00BA08BA"/>
    <w:rsid w:val="00BA09E1"/>
    <w:rsid w:val="00BA09EB"/>
    <w:rsid w:val="00BA0A46"/>
    <w:rsid w:val="00BA0CB3"/>
    <w:rsid w:val="00BA0D7A"/>
    <w:rsid w:val="00BA0E3C"/>
    <w:rsid w:val="00BA0ED1"/>
    <w:rsid w:val="00BA0F54"/>
    <w:rsid w:val="00BA0FA7"/>
    <w:rsid w:val="00BA0FF9"/>
    <w:rsid w:val="00BA11B8"/>
    <w:rsid w:val="00BA1236"/>
    <w:rsid w:val="00BA12C0"/>
    <w:rsid w:val="00BA1312"/>
    <w:rsid w:val="00BA150C"/>
    <w:rsid w:val="00BA1AC6"/>
    <w:rsid w:val="00BA1AD5"/>
    <w:rsid w:val="00BA1C7D"/>
    <w:rsid w:val="00BA1D50"/>
    <w:rsid w:val="00BA1D66"/>
    <w:rsid w:val="00BA1DAE"/>
    <w:rsid w:val="00BA20FB"/>
    <w:rsid w:val="00BA24D3"/>
    <w:rsid w:val="00BA24E9"/>
    <w:rsid w:val="00BA25C8"/>
    <w:rsid w:val="00BA2647"/>
    <w:rsid w:val="00BA2782"/>
    <w:rsid w:val="00BA2814"/>
    <w:rsid w:val="00BA28B2"/>
    <w:rsid w:val="00BA2A73"/>
    <w:rsid w:val="00BA2A78"/>
    <w:rsid w:val="00BA2B00"/>
    <w:rsid w:val="00BA2D9C"/>
    <w:rsid w:val="00BA2EBF"/>
    <w:rsid w:val="00BA3042"/>
    <w:rsid w:val="00BA339E"/>
    <w:rsid w:val="00BA33F4"/>
    <w:rsid w:val="00BA342F"/>
    <w:rsid w:val="00BA34B8"/>
    <w:rsid w:val="00BA3612"/>
    <w:rsid w:val="00BA374E"/>
    <w:rsid w:val="00BA37B9"/>
    <w:rsid w:val="00BA3831"/>
    <w:rsid w:val="00BA38D0"/>
    <w:rsid w:val="00BA394F"/>
    <w:rsid w:val="00BA3A18"/>
    <w:rsid w:val="00BA3AD2"/>
    <w:rsid w:val="00BA3B22"/>
    <w:rsid w:val="00BA3B86"/>
    <w:rsid w:val="00BA3C1D"/>
    <w:rsid w:val="00BA3C22"/>
    <w:rsid w:val="00BA3C28"/>
    <w:rsid w:val="00BA3E0C"/>
    <w:rsid w:val="00BA40D8"/>
    <w:rsid w:val="00BA4108"/>
    <w:rsid w:val="00BA4420"/>
    <w:rsid w:val="00BA446B"/>
    <w:rsid w:val="00BA45B7"/>
    <w:rsid w:val="00BA4655"/>
    <w:rsid w:val="00BA49DB"/>
    <w:rsid w:val="00BA49F3"/>
    <w:rsid w:val="00BA4ADD"/>
    <w:rsid w:val="00BA4CCE"/>
    <w:rsid w:val="00BA4D7E"/>
    <w:rsid w:val="00BA4F29"/>
    <w:rsid w:val="00BA4FAC"/>
    <w:rsid w:val="00BA507E"/>
    <w:rsid w:val="00BA5113"/>
    <w:rsid w:val="00BA5221"/>
    <w:rsid w:val="00BA528F"/>
    <w:rsid w:val="00BA52EC"/>
    <w:rsid w:val="00BA53B9"/>
    <w:rsid w:val="00BA5617"/>
    <w:rsid w:val="00BA573F"/>
    <w:rsid w:val="00BA581A"/>
    <w:rsid w:val="00BA58A9"/>
    <w:rsid w:val="00BA58F2"/>
    <w:rsid w:val="00BA59FF"/>
    <w:rsid w:val="00BA5A9E"/>
    <w:rsid w:val="00BA5BD9"/>
    <w:rsid w:val="00BA5C32"/>
    <w:rsid w:val="00BA5D14"/>
    <w:rsid w:val="00BA5DD8"/>
    <w:rsid w:val="00BA5FDD"/>
    <w:rsid w:val="00BA60BA"/>
    <w:rsid w:val="00BA60F5"/>
    <w:rsid w:val="00BA61E2"/>
    <w:rsid w:val="00BA631F"/>
    <w:rsid w:val="00BA63BA"/>
    <w:rsid w:val="00BA642E"/>
    <w:rsid w:val="00BA65FC"/>
    <w:rsid w:val="00BA673D"/>
    <w:rsid w:val="00BA6807"/>
    <w:rsid w:val="00BA698A"/>
    <w:rsid w:val="00BA69D2"/>
    <w:rsid w:val="00BA6A0A"/>
    <w:rsid w:val="00BA6AF4"/>
    <w:rsid w:val="00BA7174"/>
    <w:rsid w:val="00BA72EA"/>
    <w:rsid w:val="00BA76FC"/>
    <w:rsid w:val="00BA7D1A"/>
    <w:rsid w:val="00BA7ED2"/>
    <w:rsid w:val="00BA7F77"/>
    <w:rsid w:val="00BB008D"/>
    <w:rsid w:val="00BB0096"/>
    <w:rsid w:val="00BB047B"/>
    <w:rsid w:val="00BB05E7"/>
    <w:rsid w:val="00BB07A7"/>
    <w:rsid w:val="00BB08EB"/>
    <w:rsid w:val="00BB0B7E"/>
    <w:rsid w:val="00BB0C15"/>
    <w:rsid w:val="00BB0C8D"/>
    <w:rsid w:val="00BB0D56"/>
    <w:rsid w:val="00BB0E59"/>
    <w:rsid w:val="00BB114D"/>
    <w:rsid w:val="00BB1219"/>
    <w:rsid w:val="00BB129B"/>
    <w:rsid w:val="00BB12FE"/>
    <w:rsid w:val="00BB130A"/>
    <w:rsid w:val="00BB1338"/>
    <w:rsid w:val="00BB15B0"/>
    <w:rsid w:val="00BB15EB"/>
    <w:rsid w:val="00BB165D"/>
    <w:rsid w:val="00BB16C8"/>
    <w:rsid w:val="00BB1A8A"/>
    <w:rsid w:val="00BB1B80"/>
    <w:rsid w:val="00BB1C21"/>
    <w:rsid w:val="00BB1D56"/>
    <w:rsid w:val="00BB1D82"/>
    <w:rsid w:val="00BB1DA4"/>
    <w:rsid w:val="00BB1F50"/>
    <w:rsid w:val="00BB2006"/>
    <w:rsid w:val="00BB205F"/>
    <w:rsid w:val="00BB2228"/>
    <w:rsid w:val="00BB2355"/>
    <w:rsid w:val="00BB23CC"/>
    <w:rsid w:val="00BB2AA3"/>
    <w:rsid w:val="00BB2B72"/>
    <w:rsid w:val="00BB2B88"/>
    <w:rsid w:val="00BB2E16"/>
    <w:rsid w:val="00BB2E43"/>
    <w:rsid w:val="00BB2E94"/>
    <w:rsid w:val="00BB2FA8"/>
    <w:rsid w:val="00BB30AE"/>
    <w:rsid w:val="00BB327F"/>
    <w:rsid w:val="00BB334D"/>
    <w:rsid w:val="00BB3376"/>
    <w:rsid w:val="00BB3418"/>
    <w:rsid w:val="00BB3463"/>
    <w:rsid w:val="00BB354B"/>
    <w:rsid w:val="00BB3812"/>
    <w:rsid w:val="00BB39B5"/>
    <w:rsid w:val="00BB39EE"/>
    <w:rsid w:val="00BB3AA0"/>
    <w:rsid w:val="00BB3BFB"/>
    <w:rsid w:val="00BB3CA5"/>
    <w:rsid w:val="00BB3DB7"/>
    <w:rsid w:val="00BB3DF0"/>
    <w:rsid w:val="00BB3E42"/>
    <w:rsid w:val="00BB42A8"/>
    <w:rsid w:val="00BB44D4"/>
    <w:rsid w:val="00BB46A6"/>
    <w:rsid w:val="00BB49B4"/>
    <w:rsid w:val="00BB4B79"/>
    <w:rsid w:val="00BB4BA6"/>
    <w:rsid w:val="00BB4C75"/>
    <w:rsid w:val="00BB4D0F"/>
    <w:rsid w:val="00BB4D4A"/>
    <w:rsid w:val="00BB5058"/>
    <w:rsid w:val="00BB5193"/>
    <w:rsid w:val="00BB534C"/>
    <w:rsid w:val="00BB554E"/>
    <w:rsid w:val="00BB5551"/>
    <w:rsid w:val="00BB55F8"/>
    <w:rsid w:val="00BB5619"/>
    <w:rsid w:val="00BB577D"/>
    <w:rsid w:val="00BB57F7"/>
    <w:rsid w:val="00BB59C3"/>
    <w:rsid w:val="00BB5B27"/>
    <w:rsid w:val="00BB5B44"/>
    <w:rsid w:val="00BB5C15"/>
    <w:rsid w:val="00BB5CF9"/>
    <w:rsid w:val="00BB5D0B"/>
    <w:rsid w:val="00BB5D43"/>
    <w:rsid w:val="00BB5E2F"/>
    <w:rsid w:val="00BB5F8C"/>
    <w:rsid w:val="00BB606A"/>
    <w:rsid w:val="00BB61B0"/>
    <w:rsid w:val="00BB61CA"/>
    <w:rsid w:val="00BB61E9"/>
    <w:rsid w:val="00BB6246"/>
    <w:rsid w:val="00BB6305"/>
    <w:rsid w:val="00BB653E"/>
    <w:rsid w:val="00BB666B"/>
    <w:rsid w:val="00BB66D8"/>
    <w:rsid w:val="00BB6893"/>
    <w:rsid w:val="00BB691E"/>
    <w:rsid w:val="00BB6B56"/>
    <w:rsid w:val="00BB6BAB"/>
    <w:rsid w:val="00BB6FDA"/>
    <w:rsid w:val="00BB7057"/>
    <w:rsid w:val="00BB70B7"/>
    <w:rsid w:val="00BB70CB"/>
    <w:rsid w:val="00BB7141"/>
    <w:rsid w:val="00BB71C4"/>
    <w:rsid w:val="00BB73EF"/>
    <w:rsid w:val="00BB7799"/>
    <w:rsid w:val="00BB77BF"/>
    <w:rsid w:val="00BB7FBB"/>
    <w:rsid w:val="00BC0234"/>
    <w:rsid w:val="00BC060A"/>
    <w:rsid w:val="00BC066F"/>
    <w:rsid w:val="00BC0695"/>
    <w:rsid w:val="00BC07FF"/>
    <w:rsid w:val="00BC0A15"/>
    <w:rsid w:val="00BC0C02"/>
    <w:rsid w:val="00BC1002"/>
    <w:rsid w:val="00BC100C"/>
    <w:rsid w:val="00BC1043"/>
    <w:rsid w:val="00BC1261"/>
    <w:rsid w:val="00BC127D"/>
    <w:rsid w:val="00BC12F6"/>
    <w:rsid w:val="00BC16E1"/>
    <w:rsid w:val="00BC194D"/>
    <w:rsid w:val="00BC194E"/>
    <w:rsid w:val="00BC19C0"/>
    <w:rsid w:val="00BC1B21"/>
    <w:rsid w:val="00BC1BB5"/>
    <w:rsid w:val="00BC1E65"/>
    <w:rsid w:val="00BC1E98"/>
    <w:rsid w:val="00BC1F38"/>
    <w:rsid w:val="00BC1F6A"/>
    <w:rsid w:val="00BC1FF2"/>
    <w:rsid w:val="00BC2043"/>
    <w:rsid w:val="00BC20C6"/>
    <w:rsid w:val="00BC215F"/>
    <w:rsid w:val="00BC22AA"/>
    <w:rsid w:val="00BC2497"/>
    <w:rsid w:val="00BC2541"/>
    <w:rsid w:val="00BC2640"/>
    <w:rsid w:val="00BC26F8"/>
    <w:rsid w:val="00BC274F"/>
    <w:rsid w:val="00BC27A8"/>
    <w:rsid w:val="00BC2814"/>
    <w:rsid w:val="00BC292C"/>
    <w:rsid w:val="00BC2A2B"/>
    <w:rsid w:val="00BC2AFB"/>
    <w:rsid w:val="00BC2C2B"/>
    <w:rsid w:val="00BC2D02"/>
    <w:rsid w:val="00BC2EE0"/>
    <w:rsid w:val="00BC2FB5"/>
    <w:rsid w:val="00BC309F"/>
    <w:rsid w:val="00BC33DA"/>
    <w:rsid w:val="00BC357C"/>
    <w:rsid w:val="00BC35A9"/>
    <w:rsid w:val="00BC38E2"/>
    <w:rsid w:val="00BC3973"/>
    <w:rsid w:val="00BC3CCB"/>
    <w:rsid w:val="00BC3D5C"/>
    <w:rsid w:val="00BC3D8D"/>
    <w:rsid w:val="00BC3E74"/>
    <w:rsid w:val="00BC3FAF"/>
    <w:rsid w:val="00BC3FF5"/>
    <w:rsid w:val="00BC401B"/>
    <w:rsid w:val="00BC4387"/>
    <w:rsid w:val="00BC460B"/>
    <w:rsid w:val="00BC46F9"/>
    <w:rsid w:val="00BC4764"/>
    <w:rsid w:val="00BC4825"/>
    <w:rsid w:val="00BC4835"/>
    <w:rsid w:val="00BC4951"/>
    <w:rsid w:val="00BC4B02"/>
    <w:rsid w:val="00BC4C44"/>
    <w:rsid w:val="00BC4CDA"/>
    <w:rsid w:val="00BC4DBD"/>
    <w:rsid w:val="00BC4E30"/>
    <w:rsid w:val="00BC4ECE"/>
    <w:rsid w:val="00BC4EDA"/>
    <w:rsid w:val="00BC4F05"/>
    <w:rsid w:val="00BC505D"/>
    <w:rsid w:val="00BC50EB"/>
    <w:rsid w:val="00BC51E8"/>
    <w:rsid w:val="00BC58CC"/>
    <w:rsid w:val="00BC58DC"/>
    <w:rsid w:val="00BC595A"/>
    <w:rsid w:val="00BC5A08"/>
    <w:rsid w:val="00BC5C17"/>
    <w:rsid w:val="00BC600F"/>
    <w:rsid w:val="00BC6034"/>
    <w:rsid w:val="00BC60D6"/>
    <w:rsid w:val="00BC613A"/>
    <w:rsid w:val="00BC6268"/>
    <w:rsid w:val="00BC628A"/>
    <w:rsid w:val="00BC63F5"/>
    <w:rsid w:val="00BC6561"/>
    <w:rsid w:val="00BC668C"/>
    <w:rsid w:val="00BC6692"/>
    <w:rsid w:val="00BC66A3"/>
    <w:rsid w:val="00BC691B"/>
    <w:rsid w:val="00BC6BD7"/>
    <w:rsid w:val="00BC6E53"/>
    <w:rsid w:val="00BC6ECE"/>
    <w:rsid w:val="00BC6F91"/>
    <w:rsid w:val="00BC7026"/>
    <w:rsid w:val="00BC70C3"/>
    <w:rsid w:val="00BC716A"/>
    <w:rsid w:val="00BC719B"/>
    <w:rsid w:val="00BC740C"/>
    <w:rsid w:val="00BC7512"/>
    <w:rsid w:val="00BC755B"/>
    <w:rsid w:val="00BC75FA"/>
    <w:rsid w:val="00BC75FD"/>
    <w:rsid w:val="00BC7632"/>
    <w:rsid w:val="00BC7688"/>
    <w:rsid w:val="00BC76EE"/>
    <w:rsid w:val="00BC79D4"/>
    <w:rsid w:val="00BC7A1B"/>
    <w:rsid w:val="00BC7A94"/>
    <w:rsid w:val="00BC7C47"/>
    <w:rsid w:val="00BC7CEA"/>
    <w:rsid w:val="00BC7D4F"/>
    <w:rsid w:val="00BC7FE3"/>
    <w:rsid w:val="00BD0344"/>
    <w:rsid w:val="00BD040E"/>
    <w:rsid w:val="00BD0434"/>
    <w:rsid w:val="00BD0440"/>
    <w:rsid w:val="00BD046A"/>
    <w:rsid w:val="00BD0A0E"/>
    <w:rsid w:val="00BD0A74"/>
    <w:rsid w:val="00BD0B2E"/>
    <w:rsid w:val="00BD0BF6"/>
    <w:rsid w:val="00BD0C1A"/>
    <w:rsid w:val="00BD0C56"/>
    <w:rsid w:val="00BD0D0A"/>
    <w:rsid w:val="00BD10CA"/>
    <w:rsid w:val="00BD1339"/>
    <w:rsid w:val="00BD145D"/>
    <w:rsid w:val="00BD14AF"/>
    <w:rsid w:val="00BD155C"/>
    <w:rsid w:val="00BD15D7"/>
    <w:rsid w:val="00BD17EA"/>
    <w:rsid w:val="00BD19A2"/>
    <w:rsid w:val="00BD19EC"/>
    <w:rsid w:val="00BD1AE1"/>
    <w:rsid w:val="00BD1D54"/>
    <w:rsid w:val="00BD1E48"/>
    <w:rsid w:val="00BD2020"/>
    <w:rsid w:val="00BD21A6"/>
    <w:rsid w:val="00BD229A"/>
    <w:rsid w:val="00BD24AD"/>
    <w:rsid w:val="00BD27BA"/>
    <w:rsid w:val="00BD2849"/>
    <w:rsid w:val="00BD2861"/>
    <w:rsid w:val="00BD2890"/>
    <w:rsid w:val="00BD2947"/>
    <w:rsid w:val="00BD2960"/>
    <w:rsid w:val="00BD29B0"/>
    <w:rsid w:val="00BD2AD1"/>
    <w:rsid w:val="00BD2F31"/>
    <w:rsid w:val="00BD2F52"/>
    <w:rsid w:val="00BD2FE2"/>
    <w:rsid w:val="00BD33BE"/>
    <w:rsid w:val="00BD366D"/>
    <w:rsid w:val="00BD39BA"/>
    <w:rsid w:val="00BD3B57"/>
    <w:rsid w:val="00BD3BD4"/>
    <w:rsid w:val="00BD3D27"/>
    <w:rsid w:val="00BD3DD8"/>
    <w:rsid w:val="00BD3DED"/>
    <w:rsid w:val="00BD3F59"/>
    <w:rsid w:val="00BD3F76"/>
    <w:rsid w:val="00BD3FA9"/>
    <w:rsid w:val="00BD4006"/>
    <w:rsid w:val="00BD419B"/>
    <w:rsid w:val="00BD41A8"/>
    <w:rsid w:val="00BD4538"/>
    <w:rsid w:val="00BD454A"/>
    <w:rsid w:val="00BD456E"/>
    <w:rsid w:val="00BD46DD"/>
    <w:rsid w:val="00BD480E"/>
    <w:rsid w:val="00BD4878"/>
    <w:rsid w:val="00BD49CC"/>
    <w:rsid w:val="00BD4C08"/>
    <w:rsid w:val="00BD4D6C"/>
    <w:rsid w:val="00BD4F65"/>
    <w:rsid w:val="00BD4FCA"/>
    <w:rsid w:val="00BD5009"/>
    <w:rsid w:val="00BD5058"/>
    <w:rsid w:val="00BD51B2"/>
    <w:rsid w:val="00BD51CF"/>
    <w:rsid w:val="00BD534E"/>
    <w:rsid w:val="00BD54A9"/>
    <w:rsid w:val="00BD5528"/>
    <w:rsid w:val="00BD5666"/>
    <w:rsid w:val="00BD58C3"/>
    <w:rsid w:val="00BD5910"/>
    <w:rsid w:val="00BD5C2F"/>
    <w:rsid w:val="00BD5F8C"/>
    <w:rsid w:val="00BD634E"/>
    <w:rsid w:val="00BD6559"/>
    <w:rsid w:val="00BD65D6"/>
    <w:rsid w:val="00BD67E5"/>
    <w:rsid w:val="00BD6A89"/>
    <w:rsid w:val="00BD6B23"/>
    <w:rsid w:val="00BD6B27"/>
    <w:rsid w:val="00BD6BC7"/>
    <w:rsid w:val="00BD6C26"/>
    <w:rsid w:val="00BD6C49"/>
    <w:rsid w:val="00BD6CED"/>
    <w:rsid w:val="00BD6EE3"/>
    <w:rsid w:val="00BD6FB6"/>
    <w:rsid w:val="00BD7055"/>
    <w:rsid w:val="00BD707D"/>
    <w:rsid w:val="00BD7145"/>
    <w:rsid w:val="00BD7420"/>
    <w:rsid w:val="00BD7497"/>
    <w:rsid w:val="00BD7614"/>
    <w:rsid w:val="00BD7771"/>
    <w:rsid w:val="00BD7A73"/>
    <w:rsid w:val="00BD7B81"/>
    <w:rsid w:val="00BD7C6A"/>
    <w:rsid w:val="00BD7E9F"/>
    <w:rsid w:val="00BD7ED0"/>
    <w:rsid w:val="00BE0247"/>
    <w:rsid w:val="00BE0313"/>
    <w:rsid w:val="00BE03B5"/>
    <w:rsid w:val="00BE052B"/>
    <w:rsid w:val="00BE0724"/>
    <w:rsid w:val="00BE07F0"/>
    <w:rsid w:val="00BE08EF"/>
    <w:rsid w:val="00BE0AB3"/>
    <w:rsid w:val="00BE0BB6"/>
    <w:rsid w:val="00BE0C89"/>
    <w:rsid w:val="00BE0D20"/>
    <w:rsid w:val="00BE0D4A"/>
    <w:rsid w:val="00BE1003"/>
    <w:rsid w:val="00BE11E7"/>
    <w:rsid w:val="00BE1204"/>
    <w:rsid w:val="00BE1271"/>
    <w:rsid w:val="00BE1314"/>
    <w:rsid w:val="00BE13BD"/>
    <w:rsid w:val="00BE150D"/>
    <w:rsid w:val="00BE1644"/>
    <w:rsid w:val="00BE166E"/>
    <w:rsid w:val="00BE1703"/>
    <w:rsid w:val="00BE1715"/>
    <w:rsid w:val="00BE17A8"/>
    <w:rsid w:val="00BE17C4"/>
    <w:rsid w:val="00BE1C5D"/>
    <w:rsid w:val="00BE1FE0"/>
    <w:rsid w:val="00BE20E8"/>
    <w:rsid w:val="00BE2383"/>
    <w:rsid w:val="00BE2454"/>
    <w:rsid w:val="00BE283B"/>
    <w:rsid w:val="00BE2859"/>
    <w:rsid w:val="00BE2B24"/>
    <w:rsid w:val="00BE2BA7"/>
    <w:rsid w:val="00BE2EDF"/>
    <w:rsid w:val="00BE31E0"/>
    <w:rsid w:val="00BE3267"/>
    <w:rsid w:val="00BE3284"/>
    <w:rsid w:val="00BE3319"/>
    <w:rsid w:val="00BE33D6"/>
    <w:rsid w:val="00BE343C"/>
    <w:rsid w:val="00BE358C"/>
    <w:rsid w:val="00BE361B"/>
    <w:rsid w:val="00BE3724"/>
    <w:rsid w:val="00BE372D"/>
    <w:rsid w:val="00BE3A40"/>
    <w:rsid w:val="00BE3DF2"/>
    <w:rsid w:val="00BE3E7D"/>
    <w:rsid w:val="00BE4074"/>
    <w:rsid w:val="00BE4079"/>
    <w:rsid w:val="00BE4136"/>
    <w:rsid w:val="00BE453E"/>
    <w:rsid w:val="00BE4607"/>
    <w:rsid w:val="00BE47C2"/>
    <w:rsid w:val="00BE4890"/>
    <w:rsid w:val="00BE48C3"/>
    <w:rsid w:val="00BE4968"/>
    <w:rsid w:val="00BE49F2"/>
    <w:rsid w:val="00BE4CBA"/>
    <w:rsid w:val="00BE4D5D"/>
    <w:rsid w:val="00BE5092"/>
    <w:rsid w:val="00BE50FC"/>
    <w:rsid w:val="00BE517D"/>
    <w:rsid w:val="00BE51AE"/>
    <w:rsid w:val="00BE5420"/>
    <w:rsid w:val="00BE570D"/>
    <w:rsid w:val="00BE57F1"/>
    <w:rsid w:val="00BE590B"/>
    <w:rsid w:val="00BE59A8"/>
    <w:rsid w:val="00BE5B8C"/>
    <w:rsid w:val="00BE5BD0"/>
    <w:rsid w:val="00BE5D8C"/>
    <w:rsid w:val="00BE5F75"/>
    <w:rsid w:val="00BE6434"/>
    <w:rsid w:val="00BE64CB"/>
    <w:rsid w:val="00BE65B7"/>
    <w:rsid w:val="00BE66BF"/>
    <w:rsid w:val="00BE679E"/>
    <w:rsid w:val="00BE688A"/>
    <w:rsid w:val="00BE6B6F"/>
    <w:rsid w:val="00BE6C50"/>
    <w:rsid w:val="00BE6D26"/>
    <w:rsid w:val="00BE7093"/>
    <w:rsid w:val="00BE70F9"/>
    <w:rsid w:val="00BE733A"/>
    <w:rsid w:val="00BE7412"/>
    <w:rsid w:val="00BE74E5"/>
    <w:rsid w:val="00BE7670"/>
    <w:rsid w:val="00BE76A6"/>
    <w:rsid w:val="00BE78E2"/>
    <w:rsid w:val="00BE7B61"/>
    <w:rsid w:val="00BF00E4"/>
    <w:rsid w:val="00BF01D1"/>
    <w:rsid w:val="00BF053A"/>
    <w:rsid w:val="00BF0678"/>
    <w:rsid w:val="00BF0825"/>
    <w:rsid w:val="00BF0D2B"/>
    <w:rsid w:val="00BF0F57"/>
    <w:rsid w:val="00BF120F"/>
    <w:rsid w:val="00BF13B4"/>
    <w:rsid w:val="00BF14C1"/>
    <w:rsid w:val="00BF1565"/>
    <w:rsid w:val="00BF15F6"/>
    <w:rsid w:val="00BF1655"/>
    <w:rsid w:val="00BF16CF"/>
    <w:rsid w:val="00BF179E"/>
    <w:rsid w:val="00BF184F"/>
    <w:rsid w:val="00BF1945"/>
    <w:rsid w:val="00BF1AD6"/>
    <w:rsid w:val="00BF1F43"/>
    <w:rsid w:val="00BF210A"/>
    <w:rsid w:val="00BF21EA"/>
    <w:rsid w:val="00BF24B9"/>
    <w:rsid w:val="00BF24EE"/>
    <w:rsid w:val="00BF2711"/>
    <w:rsid w:val="00BF2741"/>
    <w:rsid w:val="00BF2905"/>
    <w:rsid w:val="00BF2C3F"/>
    <w:rsid w:val="00BF2CB4"/>
    <w:rsid w:val="00BF2E08"/>
    <w:rsid w:val="00BF2E30"/>
    <w:rsid w:val="00BF2F06"/>
    <w:rsid w:val="00BF2F5E"/>
    <w:rsid w:val="00BF2FD4"/>
    <w:rsid w:val="00BF30F8"/>
    <w:rsid w:val="00BF318D"/>
    <w:rsid w:val="00BF325E"/>
    <w:rsid w:val="00BF3267"/>
    <w:rsid w:val="00BF326C"/>
    <w:rsid w:val="00BF335F"/>
    <w:rsid w:val="00BF33ED"/>
    <w:rsid w:val="00BF37F4"/>
    <w:rsid w:val="00BF3845"/>
    <w:rsid w:val="00BF3883"/>
    <w:rsid w:val="00BF396C"/>
    <w:rsid w:val="00BF3DD7"/>
    <w:rsid w:val="00BF3E58"/>
    <w:rsid w:val="00BF3FD5"/>
    <w:rsid w:val="00BF3FEB"/>
    <w:rsid w:val="00BF402E"/>
    <w:rsid w:val="00BF4059"/>
    <w:rsid w:val="00BF40D0"/>
    <w:rsid w:val="00BF4779"/>
    <w:rsid w:val="00BF47F7"/>
    <w:rsid w:val="00BF4990"/>
    <w:rsid w:val="00BF4AE0"/>
    <w:rsid w:val="00BF4B2B"/>
    <w:rsid w:val="00BF4CE4"/>
    <w:rsid w:val="00BF4FF6"/>
    <w:rsid w:val="00BF5077"/>
    <w:rsid w:val="00BF50A6"/>
    <w:rsid w:val="00BF51D5"/>
    <w:rsid w:val="00BF52CB"/>
    <w:rsid w:val="00BF5571"/>
    <w:rsid w:val="00BF55A9"/>
    <w:rsid w:val="00BF56AF"/>
    <w:rsid w:val="00BF5912"/>
    <w:rsid w:val="00BF5BDC"/>
    <w:rsid w:val="00BF5C53"/>
    <w:rsid w:val="00BF63B8"/>
    <w:rsid w:val="00BF643E"/>
    <w:rsid w:val="00BF65D4"/>
    <w:rsid w:val="00BF6924"/>
    <w:rsid w:val="00BF696E"/>
    <w:rsid w:val="00BF6AA6"/>
    <w:rsid w:val="00BF6AF9"/>
    <w:rsid w:val="00BF6B19"/>
    <w:rsid w:val="00BF6CB4"/>
    <w:rsid w:val="00BF6D3B"/>
    <w:rsid w:val="00BF6F1D"/>
    <w:rsid w:val="00BF705B"/>
    <w:rsid w:val="00BF7175"/>
    <w:rsid w:val="00BF7354"/>
    <w:rsid w:val="00BF76B2"/>
    <w:rsid w:val="00BF794F"/>
    <w:rsid w:val="00BF7ACF"/>
    <w:rsid w:val="00BF7BE5"/>
    <w:rsid w:val="00BF7D5F"/>
    <w:rsid w:val="00BF7DAC"/>
    <w:rsid w:val="00BF7FC7"/>
    <w:rsid w:val="00C0021C"/>
    <w:rsid w:val="00C002ED"/>
    <w:rsid w:val="00C00447"/>
    <w:rsid w:val="00C005E3"/>
    <w:rsid w:val="00C00837"/>
    <w:rsid w:val="00C008B9"/>
    <w:rsid w:val="00C00A5C"/>
    <w:rsid w:val="00C00B1A"/>
    <w:rsid w:val="00C00B65"/>
    <w:rsid w:val="00C00C7C"/>
    <w:rsid w:val="00C00CB7"/>
    <w:rsid w:val="00C00D69"/>
    <w:rsid w:val="00C00EF6"/>
    <w:rsid w:val="00C00FB6"/>
    <w:rsid w:val="00C0122B"/>
    <w:rsid w:val="00C01410"/>
    <w:rsid w:val="00C01466"/>
    <w:rsid w:val="00C01D1F"/>
    <w:rsid w:val="00C02138"/>
    <w:rsid w:val="00C022A4"/>
    <w:rsid w:val="00C024F8"/>
    <w:rsid w:val="00C027C7"/>
    <w:rsid w:val="00C02869"/>
    <w:rsid w:val="00C02C17"/>
    <w:rsid w:val="00C02E7D"/>
    <w:rsid w:val="00C02ED8"/>
    <w:rsid w:val="00C02F4F"/>
    <w:rsid w:val="00C03011"/>
    <w:rsid w:val="00C03040"/>
    <w:rsid w:val="00C0306D"/>
    <w:rsid w:val="00C032EB"/>
    <w:rsid w:val="00C0344E"/>
    <w:rsid w:val="00C03477"/>
    <w:rsid w:val="00C034C6"/>
    <w:rsid w:val="00C0359E"/>
    <w:rsid w:val="00C03B97"/>
    <w:rsid w:val="00C03F7C"/>
    <w:rsid w:val="00C03FDC"/>
    <w:rsid w:val="00C0405E"/>
    <w:rsid w:val="00C040F6"/>
    <w:rsid w:val="00C04102"/>
    <w:rsid w:val="00C0423A"/>
    <w:rsid w:val="00C04293"/>
    <w:rsid w:val="00C04444"/>
    <w:rsid w:val="00C045C0"/>
    <w:rsid w:val="00C04616"/>
    <w:rsid w:val="00C0468D"/>
    <w:rsid w:val="00C0472E"/>
    <w:rsid w:val="00C047E5"/>
    <w:rsid w:val="00C048A0"/>
    <w:rsid w:val="00C048AF"/>
    <w:rsid w:val="00C04935"/>
    <w:rsid w:val="00C049D4"/>
    <w:rsid w:val="00C04B93"/>
    <w:rsid w:val="00C04FCC"/>
    <w:rsid w:val="00C0505D"/>
    <w:rsid w:val="00C0519C"/>
    <w:rsid w:val="00C05369"/>
    <w:rsid w:val="00C0546B"/>
    <w:rsid w:val="00C0572D"/>
    <w:rsid w:val="00C05B97"/>
    <w:rsid w:val="00C05BE3"/>
    <w:rsid w:val="00C05C02"/>
    <w:rsid w:val="00C05C67"/>
    <w:rsid w:val="00C05EBC"/>
    <w:rsid w:val="00C05FBA"/>
    <w:rsid w:val="00C065A8"/>
    <w:rsid w:val="00C0684E"/>
    <w:rsid w:val="00C06BD2"/>
    <w:rsid w:val="00C06C69"/>
    <w:rsid w:val="00C06DFE"/>
    <w:rsid w:val="00C06E33"/>
    <w:rsid w:val="00C06EC5"/>
    <w:rsid w:val="00C06F31"/>
    <w:rsid w:val="00C06F6C"/>
    <w:rsid w:val="00C0707B"/>
    <w:rsid w:val="00C072BC"/>
    <w:rsid w:val="00C0734F"/>
    <w:rsid w:val="00C0738A"/>
    <w:rsid w:val="00C073F9"/>
    <w:rsid w:val="00C076FA"/>
    <w:rsid w:val="00C07761"/>
    <w:rsid w:val="00C079A6"/>
    <w:rsid w:val="00C07BBE"/>
    <w:rsid w:val="00C07BD9"/>
    <w:rsid w:val="00C07C47"/>
    <w:rsid w:val="00C07D0A"/>
    <w:rsid w:val="00C07E71"/>
    <w:rsid w:val="00C100DD"/>
    <w:rsid w:val="00C101BA"/>
    <w:rsid w:val="00C10468"/>
    <w:rsid w:val="00C1046B"/>
    <w:rsid w:val="00C10760"/>
    <w:rsid w:val="00C10795"/>
    <w:rsid w:val="00C10863"/>
    <w:rsid w:val="00C10CA1"/>
    <w:rsid w:val="00C10ECB"/>
    <w:rsid w:val="00C10FA5"/>
    <w:rsid w:val="00C110AE"/>
    <w:rsid w:val="00C1110A"/>
    <w:rsid w:val="00C114E6"/>
    <w:rsid w:val="00C1186F"/>
    <w:rsid w:val="00C11999"/>
    <w:rsid w:val="00C11A0B"/>
    <w:rsid w:val="00C11BBB"/>
    <w:rsid w:val="00C11CBC"/>
    <w:rsid w:val="00C11CE7"/>
    <w:rsid w:val="00C1201D"/>
    <w:rsid w:val="00C12046"/>
    <w:rsid w:val="00C12186"/>
    <w:rsid w:val="00C123CA"/>
    <w:rsid w:val="00C123EB"/>
    <w:rsid w:val="00C12549"/>
    <w:rsid w:val="00C125C2"/>
    <w:rsid w:val="00C12882"/>
    <w:rsid w:val="00C12A56"/>
    <w:rsid w:val="00C12C6F"/>
    <w:rsid w:val="00C12DDD"/>
    <w:rsid w:val="00C12E85"/>
    <w:rsid w:val="00C12F03"/>
    <w:rsid w:val="00C12FDB"/>
    <w:rsid w:val="00C12FED"/>
    <w:rsid w:val="00C13050"/>
    <w:rsid w:val="00C13078"/>
    <w:rsid w:val="00C1333F"/>
    <w:rsid w:val="00C133F9"/>
    <w:rsid w:val="00C134C7"/>
    <w:rsid w:val="00C136F9"/>
    <w:rsid w:val="00C138F1"/>
    <w:rsid w:val="00C138F2"/>
    <w:rsid w:val="00C13912"/>
    <w:rsid w:val="00C13B2D"/>
    <w:rsid w:val="00C13B2E"/>
    <w:rsid w:val="00C13B52"/>
    <w:rsid w:val="00C13D0C"/>
    <w:rsid w:val="00C13EF5"/>
    <w:rsid w:val="00C13F6B"/>
    <w:rsid w:val="00C13F9B"/>
    <w:rsid w:val="00C140C2"/>
    <w:rsid w:val="00C143D9"/>
    <w:rsid w:val="00C14738"/>
    <w:rsid w:val="00C147EC"/>
    <w:rsid w:val="00C14A27"/>
    <w:rsid w:val="00C14DA7"/>
    <w:rsid w:val="00C14DD3"/>
    <w:rsid w:val="00C14EEA"/>
    <w:rsid w:val="00C1502A"/>
    <w:rsid w:val="00C150B6"/>
    <w:rsid w:val="00C15371"/>
    <w:rsid w:val="00C1543B"/>
    <w:rsid w:val="00C1548C"/>
    <w:rsid w:val="00C1554A"/>
    <w:rsid w:val="00C155FD"/>
    <w:rsid w:val="00C1581F"/>
    <w:rsid w:val="00C158C6"/>
    <w:rsid w:val="00C15AA0"/>
    <w:rsid w:val="00C15AC0"/>
    <w:rsid w:val="00C15B37"/>
    <w:rsid w:val="00C15BFE"/>
    <w:rsid w:val="00C15C6F"/>
    <w:rsid w:val="00C15D59"/>
    <w:rsid w:val="00C15D5C"/>
    <w:rsid w:val="00C15E46"/>
    <w:rsid w:val="00C15FD7"/>
    <w:rsid w:val="00C1656B"/>
    <w:rsid w:val="00C1670A"/>
    <w:rsid w:val="00C169F5"/>
    <w:rsid w:val="00C16A28"/>
    <w:rsid w:val="00C16A7C"/>
    <w:rsid w:val="00C16A85"/>
    <w:rsid w:val="00C16AD9"/>
    <w:rsid w:val="00C16B99"/>
    <w:rsid w:val="00C16E0F"/>
    <w:rsid w:val="00C16ECE"/>
    <w:rsid w:val="00C16EED"/>
    <w:rsid w:val="00C170C5"/>
    <w:rsid w:val="00C17108"/>
    <w:rsid w:val="00C1781F"/>
    <w:rsid w:val="00C178FF"/>
    <w:rsid w:val="00C179AB"/>
    <w:rsid w:val="00C17BA6"/>
    <w:rsid w:val="00C17CE1"/>
    <w:rsid w:val="00C17D96"/>
    <w:rsid w:val="00C17F37"/>
    <w:rsid w:val="00C17F4C"/>
    <w:rsid w:val="00C20037"/>
    <w:rsid w:val="00C200A8"/>
    <w:rsid w:val="00C20105"/>
    <w:rsid w:val="00C201FE"/>
    <w:rsid w:val="00C2020B"/>
    <w:rsid w:val="00C20335"/>
    <w:rsid w:val="00C205AE"/>
    <w:rsid w:val="00C208C1"/>
    <w:rsid w:val="00C20B91"/>
    <w:rsid w:val="00C20BAD"/>
    <w:rsid w:val="00C20CC7"/>
    <w:rsid w:val="00C20F41"/>
    <w:rsid w:val="00C210E2"/>
    <w:rsid w:val="00C21167"/>
    <w:rsid w:val="00C211FD"/>
    <w:rsid w:val="00C212DE"/>
    <w:rsid w:val="00C2134A"/>
    <w:rsid w:val="00C2136D"/>
    <w:rsid w:val="00C2145B"/>
    <w:rsid w:val="00C21546"/>
    <w:rsid w:val="00C215F5"/>
    <w:rsid w:val="00C21642"/>
    <w:rsid w:val="00C21691"/>
    <w:rsid w:val="00C216BC"/>
    <w:rsid w:val="00C2182F"/>
    <w:rsid w:val="00C21B8B"/>
    <w:rsid w:val="00C21C1F"/>
    <w:rsid w:val="00C21CC5"/>
    <w:rsid w:val="00C21CD2"/>
    <w:rsid w:val="00C21E2B"/>
    <w:rsid w:val="00C21E54"/>
    <w:rsid w:val="00C21FED"/>
    <w:rsid w:val="00C22127"/>
    <w:rsid w:val="00C22266"/>
    <w:rsid w:val="00C222ED"/>
    <w:rsid w:val="00C224BC"/>
    <w:rsid w:val="00C22597"/>
    <w:rsid w:val="00C225D1"/>
    <w:rsid w:val="00C228D0"/>
    <w:rsid w:val="00C22A9D"/>
    <w:rsid w:val="00C22C92"/>
    <w:rsid w:val="00C22E41"/>
    <w:rsid w:val="00C22EAD"/>
    <w:rsid w:val="00C22EDC"/>
    <w:rsid w:val="00C23622"/>
    <w:rsid w:val="00C237CB"/>
    <w:rsid w:val="00C2390E"/>
    <w:rsid w:val="00C239DD"/>
    <w:rsid w:val="00C23A10"/>
    <w:rsid w:val="00C240AF"/>
    <w:rsid w:val="00C242D9"/>
    <w:rsid w:val="00C2465D"/>
    <w:rsid w:val="00C2479B"/>
    <w:rsid w:val="00C2481E"/>
    <w:rsid w:val="00C24908"/>
    <w:rsid w:val="00C24A20"/>
    <w:rsid w:val="00C24A23"/>
    <w:rsid w:val="00C24BF2"/>
    <w:rsid w:val="00C24D8F"/>
    <w:rsid w:val="00C24EC1"/>
    <w:rsid w:val="00C250A1"/>
    <w:rsid w:val="00C252B9"/>
    <w:rsid w:val="00C2536F"/>
    <w:rsid w:val="00C256C5"/>
    <w:rsid w:val="00C25896"/>
    <w:rsid w:val="00C25CD7"/>
    <w:rsid w:val="00C25F5A"/>
    <w:rsid w:val="00C2604E"/>
    <w:rsid w:val="00C2610E"/>
    <w:rsid w:val="00C26142"/>
    <w:rsid w:val="00C26201"/>
    <w:rsid w:val="00C2638B"/>
    <w:rsid w:val="00C26530"/>
    <w:rsid w:val="00C265FF"/>
    <w:rsid w:val="00C26A6C"/>
    <w:rsid w:val="00C26A75"/>
    <w:rsid w:val="00C26B1B"/>
    <w:rsid w:val="00C26E94"/>
    <w:rsid w:val="00C2704D"/>
    <w:rsid w:val="00C27092"/>
    <w:rsid w:val="00C27253"/>
    <w:rsid w:val="00C272A9"/>
    <w:rsid w:val="00C272C2"/>
    <w:rsid w:val="00C273B2"/>
    <w:rsid w:val="00C27478"/>
    <w:rsid w:val="00C275DD"/>
    <w:rsid w:val="00C276C5"/>
    <w:rsid w:val="00C27826"/>
    <w:rsid w:val="00C2785C"/>
    <w:rsid w:val="00C27869"/>
    <w:rsid w:val="00C278C3"/>
    <w:rsid w:val="00C27A9F"/>
    <w:rsid w:val="00C27ECE"/>
    <w:rsid w:val="00C30003"/>
    <w:rsid w:val="00C300E5"/>
    <w:rsid w:val="00C301AD"/>
    <w:rsid w:val="00C30250"/>
    <w:rsid w:val="00C3029B"/>
    <w:rsid w:val="00C30369"/>
    <w:rsid w:val="00C30398"/>
    <w:rsid w:val="00C30511"/>
    <w:rsid w:val="00C3055F"/>
    <w:rsid w:val="00C3071A"/>
    <w:rsid w:val="00C307A2"/>
    <w:rsid w:val="00C307C7"/>
    <w:rsid w:val="00C30868"/>
    <w:rsid w:val="00C309F9"/>
    <w:rsid w:val="00C30A27"/>
    <w:rsid w:val="00C30BB5"/>
    <w:rsid w:val="00C30C25"/>
    <w:rsid w:val="00C30C95"/>
    <w:rsid w:val="00C30E17"/>
    <w:rsid w:val="00C30E5D"/>
    <w:rsid w:val="00C30F80"/>
    <w:rsid w:val="00C3103E"/>
    <w:rsid w:val="00C31175"/>
    <w:rsid w:val="00C31188"/>
    <w:rsid w:val="00C318B7"/>
    <w:rsid w:val="00C3196B"/>
    <w:rsid w:val="00C31C17"/>
    <w:rsid w:val="00C31D04"/>
    <w:rsid w:val="00C31D90"/>
    <w:rsid w:val="00C32120"/>
    <w:rsid w:val="00C32172"/>
    <w:rsid w:val="00C32288"/>
    <w:rsid w:val="00C32332"/>
    <w:rsid w:val="00C323B3"/>
    <w:rsid w:val="00C3247A"/>
    <w:rsid w:val="00C3257B"/>
    <w:rsid w:val="00C32646"/>
    <w:rsid w:val="00C328BF"/>
    <w:rsid w:val="00C32A9A"/>
    <w:rsid w:val="00C32AB0"/>
    <w:rsid w:val="00C32AB6"/>
    <w:rsid w:val="00C32BDD"/>
    <w:rsid w:val="00C32D9E"/>
    <w:rsid w:val="00C32DD7"/>
    <w:rsid w:val="00C32FD5"/>
    <w:rsid w:val="00C33213"/>
    <w:rsid w:val="00C33222"/>
    <w:rsid w:val="00C33246"/>
    <w:rsid w:val="00C332AA"/>
    <w:rsid w:val="00C3332D"/>
    <w:rsid w:val="00C33420"/>
    <w:rsid w:val="00C33631"/>
    <w:rsid w:val="00C33649"/>
    <w:rsid w:val="00C3375A"/>
    <w:rsid w:val="00C338D2"/>
    <w:rsid w:val="00C338F4"/>
    <w:rsid w:val="00C33EC4"/>
    <w:rsid w:val="00C33F36"/>
    <w:rsid w:val="00C3402F"/>
    <w:rsid w:val="00C34122"/>
    <w:rsid w:val="00C3416C"/>
    <w:rsid w:val="00C341C6"/>
    <w:rsid w:val="00C34218"/>
    <w:rsid w:val="00C34239"/>
    <w:rsid w:val="00C34241"/>
    <w:rsid w:val="00C343CB"/>
    <w:rsid w:val="00C344F5"/>
    <w:rsid w:val="00C3454D"/>
    <w:rsid w:val="00C347D0"/>
    <w:rsid w:val="00C348CB"/>
    <w:rsid w:val="00C34A64"/>
    <w:rsid w:val="00C34B75"/>
    <w:rsid w:val="00C34B7B"/>
    <w:rsid w:val="00C34CCA"/>
    <w:rsid w:val="00C34DAF"/>
    <w:rsid w:val="00C34FAD"/>
    <w:rsid w:val="00C3502D"/>
    <w:rsid w:val="00C35177"/>
    <w:rsid w:val="00C3520D"/>
    <w:rsid w:val="00C3538F"/>
    <w:rsid w:val="00C35586"/>
    <w:rsid w:val="00C3569D"/>
    <w:rsid w:val="00C356D7"/>
    <w:rsid w:val="00C3575D"/>
    <w:rsid w:val="00C35973"/>
    <w:rsid w:val="00C35D86"/>
    <w:rsid w:val="00C35F6F"/>
    <w:rsid w:val="00C3623F"/>
    <w:rsid w:val="00C36344"/>
    <w:rsid w:val="00C3643C"/>
    <w:rsid w:val="00C364AF"/>
    <w:rsid w:val="00C36583"/>
    <w:rsid w:val="00C36587"/>
    <w:rsid w:val="00C365F9"/>
    <w:rsid w:val="00C36752"/>
    <w:rsid w:val="00C367B6"/>
    <w:rsid w:val="00C36861"/>
    <w:rsid w:val="00C3694E"/>
    <w:rsid w:val="00C36960"/>
    <w:rsid w:val="00C36ACC"/>
    <w:rsid w:val="00C36B00"/>
    <w:rsid w:val="00C36F0A"/>
    <w:rsid w:val="00C370C6"/>
    <w:rsid w:val="00C372BF"/>
    <w:rsid w:val="00C373FF"/>
    <w:rsid w:val="00C374DB"/>
    <w:rsid w:val="00C3772D"/>
    <w:rsid w:val="00C3776D"/>
    <w:rsid w:val="00C377E3"/>
    <w:rsid w:val="00C377F1"/>
    <w:rsid w:val="00C3785A"/>
    <w:rsid w:val="00C37C19"/>
    <w:rsid w:val="00C37C5D"/>
    <w:rsid w:val="00C37D5C"/>
    <w:rsid w:val="00C37FE1"/>
    <w:rsid w:val="00C4008E"/>
    <w:rsid w:val="00C401B6"/>
    <w:rsid w:val="00C40200"/>
    <w:rsid w:val="00C402EB"/>
    <w:rsid w:val="00C403AA"/>
    <w:rsid w:val="00C403EE"/>
    <w:rsid w:val="00C40407"/>
    <w:rsid w:val="00C404E5"/>
    <w:rsid w:val="00C404F7"/>
    <w:rsid w:val="00C405ED"/>
    <w:rsid w:val="00C4091B"/>
    <w:rsid w:val="00C40A9D"/>
    <w:rsid w:val="00C40B47"/>
    <w:rsid w:val="00C40B71"/>
    <w:rsid w:val="00C40BC5"/>
    <w:rsid w:val="00C40CE2"/>
    <w:rsid w:val="00C40D22"/>
    <w:rsid w:val="00C40D72"/>
    <w:rsid w:val="00C40F65"/>
    <w:rsid w:val="00C41254"/>
    <w:rsid w:val="00C4147D"/>
    <w:rsid w:val="00C4156C"/>
    <w:rsid w:val="00C4176A"/>
    <w:rsid w:val="00C417DA"/>
    <w:rsid w:val="00C41940"/>
    <w:rsid w:val="00C41B4A"/>
    <w:rsid w:val="00C41BD3"/>
    <w:rsid w:val="00C41C2C"/>
    <w:rsid w:val="00C41C57"/>
    <w:rsid w:val="00C41D2C"/>
    <w:rsid w:val="00C41ECF"/>
    <w:rsid w:val="00C41ED2"/>
    <w:rsid w:val="00C42036"/>
    <w:rsid w:val="00C42093"/>
    <w:rsid w:val="00C42102"/>
    <w:rsid w:val="00C4210E"/>
    <w:rsid w:val="00C423C5"/>
    <w:rsid w:val="00C42508"/>
    <w:rsid w:val="00C425B1"/>
    <w:rsid w:val="00C425D6"/>
    <w:rsid w:val="00C42761"/>
    <w:rsid w:val="00C42763"/>
    <w:rsid w:val="00C427F1"/>
    <w:rsid w:val="00C42835"/>
    <w:rsid w:val="00C42877"/>
    <w:rsid w:val="00C42934"/>
    <w:rsid w:val="00C42AAC"/>
    <w:rsid w:val="00C42CF5"/>
    <w:rsid w:val="00C42E98"/>
    <w:rsid w:val="00C432E0"/>
    <w:rsid w:val="00C43395"/>
    <w:rsid w:val="00C4344D"/>
    <w:rsid w:val="00C43504"/>
    <w:rsid w:val="00C43817"/>
    <w:rsid w:val="00C439BD"/>
    <w:rsid w:val="00C43A58"/>
    <w:rsid w:val="00C43E75"/>
    <w:rsid w:val="00C43EB1"/>
    <w:rsid w:val="00C4400B"/>
    <w:rsid w:val="00C440E0"/>
    <w:rsid w:val="00C4437C"/>
    <w:rsid w:val="00C443A5"/>
    <w:rsid w:val="00C44625"/>
    <w:rsid w:val="00C449EE"/>
    <w:rsid w:val="00C44B8F"/>
    <w:rsid w:val="00C44C5B"/>
    <w:rsid w:val="00C44D43"/>
    <w:rsid w:val="00C45174"/>
    <w:rsid w:val="00C45195"/>
    <w:rsid w:val="00C453EA"/>
    <w:rsid w:val="00C455BF"/>
    <w:rsid w:val="00C4561B"/>
    <w:rsid w:val="00C456F3"/>
    <w:rsid w:val="00C45822"/>
    <w:rsid w:val="00C459D4"/>
    <w:rsid w:val="00C45A94"/>
    <w:rsid w:val="00C45B3D"/>
    <w:rsid w:val="00C45BAB"/>
    <w:rsid w:val="00C45CE3"/>
    <w:rsid w:val="00C45E03"/>
    <w:rsid w:val="00C45E4C"/>
    <w:rsid w:val="00C45E9C"/>
    <w:rsid w:val="00C45F2D"/>
    <w:rsid w:val="00C4608B"/>
    <w:rsid w:val="00C46185"/>
    <w:rsid w:val="00C46193"/>
    <w:rsid w:val="00C46276"/>
    <w:rsid w:val="00C4639C"/>
    <w:rsid w:val="00C464B5"/>
    <w:rsid w:val="00C46514"/>
    <w:rsid w:val="00C466EA"/>
    <w:rsid w:val="00C468C4"/>
    <w:rsid w:val="00C46B11"/>
    <w:rsid w:val="00C46BF5"/>
    <w:rsid w:val="00C46C7C"/>
    <w:rsid w:val="00C46D46"/>
    <w:rsid w:val="00C46D63"/>
    <w:rsid w:val="00C46DB4"/>
    <w:rsid w:val="00C46EB2"/>
    <w:rsid w:val="00C46FB2"/>
    <w:rsid w:val="00C46FB9"/>
    <w:rsid w:val="00C46FCA"/>
    <w:rsid w:val="00C4705A"/>
    <w:rsid w:val="00C47103"/>
    <w:rsid w:val="00C472CC"/>
    <w:rsid w:val="00C4736D"/>
    <w:rsid w:val="00C47465"/>
    <w:rsid w:val="00C47638"/>
    <w:rsid w:val="00C479EE"/>
    <w:rsid w:val="00C47AB5"/>
    <w:rsid w:val="00C47B08"/>
    <w:rsid w:val="00C47B30"/>
    <w:rsid w:val="00C47D57"/>
    <w:rsid w:val="00C47E34"/>
    <w:rsid w:val="00C47EBC"/>
    <w:rsid w:val="00C47EF8"/>
    <w:rsid w:val="00C50189"/>
    <w:rsid w:val="00C5028F"/>
    <w:rsid w:val="00C5049A"/>
    <w:rsid w:val="00C50567"/>
    <w:rsid w:val="00C50661"/>
    <w:rsid w:val="00C5071E"/>
    <w:rsid w:val="00C50896"/>
    <w:rsid w:val="00C50920"/>
    <w:rsid w:val="00C50A96"/>
    <w:rsid w:val="00C50BF4"/>
    <w:rsid w:val="00C50DDA"/>
    <w:rsid w:val="00C5116C"/>
    <w:rsid w:val="00C511F9"/>
    <w:rsid w:val="00C515B8"/>
    <w:rsid w:val="00C51721"/>
    <w:rsid w:val="00C51723"/>
    <w:rsid w:val="00C51743"/>
    <w:rsid w:val="00C517BE"/>
    <w:rsid w:val="00C518C8"/>
    <w:rsid w:val="00C5192A"/>
    <w:rsid w:val="00C51990"/>
    <w:rsid w:val="00C51A65"/>
    <w:rsid w:val="00C51BB7"/>
    <w:rsid w:val="00C51BFB"/>
    <w:rsid w:val="00C51C72"/>
    <w:rsid w:val="00C51F33"/>
    <w:rsid w:val="00C52025"/>
    <w:rsid w:val="00C52076"/>
    <w:rsid w:val="00C52273"/>
    <w:rsid w:val="00C522B8"/>
    <w:rsid w:val="00C52340"/>
    <w:rsid w:val="00C523BB"/>
    <w:rsid w:val="00C52448"/>
    <w:rsid w:val="00C52653"/>
    <w:rsid w:val="00C52793"/>
    <w:rsid w:val="00C5283A"/>
    <w:rsid w:val="00C5299C"/>
    <w:rsid w:val="00C52A68"/>
    <w:rsid w:val="00C52B2F"/>
    <w:rsid w:val="00C52C6D"/>
    <w:rsid w:val="00C52C78"/>
    <w:rsid w:val="00C52D0A"/>
    <w:rsid w:val="00C52E90"/>
    <w:rsid w:val="00C52FB2"/>
    <w:rsid w:val="00C53010"/>
    <w:rsid w:val="00C5302D"/>
    <w:rsid w:val="00C53261"/>
    <w:rsid w:val="00C53281"/>
    <w:rsid w:val="00C53409"/>
    <w:rsid w:val="00C53463"/>
    <w:rsid w:val="00C538B8"/>
    <w:rsid w:val="00C53959"/>
    <w:rsid w:val="00C53C39"/>
    <w:rsid w:val="00C53C4B"/>
    <w:rsid w:val="00C53CD3"/>
    <w:rsid w:val="00C53D23"/>
    <w:rsid w:val="00C53DF9"/>
    <w:rsid w:val="00C53EBF"/>
    <w:rsid w:val="00C53F8E"/>
    <w:rsid w:val="00C5433F"/>
    <w:rsid w:val="00C545B6"/>
    <w:rsid w:val="00C546DE"/>
    <w:rsid w:val="00C5474A"/>
    <w:rsid w:val="00C547C1"/>
    <w:rsid w:val="00C5481D"/>
    <w:rsid w:val="00C54B83"/>
    <w:rsid w:val="00C54BB3"/>
    <w:rsid w:val="00C54C55"/>
    <w:rsid w:val="00C54DCA"/>
    <w:rsid w:val="00C54E87"/>
    <w:rsid w:val="00C54FB5"/>
    <w:rsid w:val="00C5513A"/>
    <w:rsid w:val="00C551B7"/>
    <w:rsid w:val="00C551EA"/>
    <w:rsid w:val="00C55244"/>
    <w:rsid w:val="00C5528F"/>
    <w:rsid w:val="00C55351"/>
    <w:rsid w:val="00C553D7"/>
    <w:rsid w:val="00C553E0"/>
    <w:rsid w:val="00C55537"/>
    <w:rsid w:val="00C555FD"/>
    <w:rsid w:val="00C556A3"/>
    <w:rsid w:val="00C557A3"/>
    <w:rsid w:val="00C55940"/>
    <w:rsid w:val="00C559A2"/>
    <w:rsid w:val="00C559CD"/>
    <w:rsid w:val="00C55A0B"/>
    <w:rsid w:val="00C55A3A"/>
    <w:rsid w:val="00C55BAE"/>
    <w:rsid w:val="00C55D0E"/>
    <w:rsid w:val="00C55D60"/>
    <w:rsid w:val="00C55DC0"/>
    <w:rsid w:val="00C55E80"/>
    <w:rsid w:val="00C55EE6"/>
    <w:rsid w:val="00C5620A"/>
    <w:rsid w:val="00C5621E"/>
    <w:rsid w:val="00C56743"/>
    <w:rsid w:val="00C568BC"/>
    <w:rsid w:val="00C56A23"/>
    <w:rsid w:val="00C56AE6"/>
    <w:rsid w:val="00C56D1F"/>
    <w:rsid w:val="00C56D2A"/>
    <w:rsid w:val="00C56D7C"/>
    <w:rsid w:val="00C5705E"/>
    <w:rsid w:val="00C5713E"/>
    <w:rsid w:val="00C571B0"/>
    <w:rsid w:val="00C571BE"/>
    <w:rsid w:val="00C57263"/>
    <w:rsid w:val="00C57380"/>
    <w:rsid w:val="00C574C3"/>
    <w:rsid w:val="00C575D2"/>
    <w:rsid w:val="00C57788"/>
    <w:rsid w:val="00C5792E"/>
    <w:rsid w:val="00C57AB4"/>
    <w:rsid w:val="00C57B71"/>
    <w:rsid w:val="00C57C17"/>
    <w:rsid w:val="00C57DAF"/>
    <w:rsid w:val="00C6004F"/>
    <w:rsid w:val="00C60208"/>
    <w:rsid w:val="00C6032D"/>
    <w:rsid w:val="00C60363"/>
    <w:rsid w:val="00C603EE"/>
    <w:rsid w:val="00C60409"/>
    <w:rsid w:val="00C6042E"/>
    <w:rsid w:val="00C60556"/>
    <w:rsid w:val="00C6062A"/>
    <w:rsid w:val="00C6070F"/>
    <w:rsid w:val="00C6078B"/>
    <w:rsid w:val="00C60B6B"/>
    <w:rsid w:val="00C60CA7"/>
    <w:rsid w:val="00C61031"/>
    <w:rsid w:val="00C6107A"/>
    <w:rsid w:val="00C61242"/>
    <w:rsid w:val="00C613EA"/>
    <w:rsid w:val="00C61672"/>
    <w:rsid w:val="00C616E8"/>
    <w:rsid w:val="00C6183C"/>
    <w:rsid w:val="00C61904"/>
    <w:rsid w:val="00C61A2C"/>
    <w:rsid w:val="00C61BD7"/>
    <w:rsid w:val="00C61D3B"/>
    <w:rsid w:val="00C61EE4"/>
    <w:rsid w:val="00C62068"/>
    <w:rsid w:val="00C620D9"/>
    <w:rsid w:val="00C62228"/>
    <w:rsid w:val="00C6246A"/>
    <w:rsid w:val="00C626CC"/>
    <w:rsid w:val="00C62700"/>
    <w:rsid w:val="00C62747"/>
    <w:rsid w:val="00C6274D"/>
    <w:rsid w:val="00C627AE"/>
    <w:rsid w:val="00C62805"/>
    <w:rsid w:val="00C62842"/>
    <w:rsid w:val="00C62863"/>
    <w:rsid w:val="00C628C2"/>
    <w:rsid w:val="00C62982"/>
    <w:rsid w:val="00C62A20"/>
    <w:rsid w:val="00C62A6A"/>
    <w:rsid w:val="00C62AF3"/>
    <w:rsid w:val="00C62B89"/>
    <w:rsid w:val="00C62BD2"/>
    <w:rsid w:val="00C62DA9"/>
    <w:rsid w:val="00C63047"/>
    <w:rsid w:val="00C630F0"/>
    <w:rsid w:val="00C63206"/>
    <w:rsid w:val="00C6322A"/>
    <w:rsid w:val="00C63395"/>
    <w:rsid w:val="00C63496"/>
    <w:rsid w:val="00C6357D"/>
    <w:rsid w:val="00C636D4"/>
    <w:rsid w:val="00C637D1"/>
    <w:rsid w:val="00C638F8"/>
    <w:rsid w:val="00C639D0"/>
    <w:rsid w:val="00C639DF"/>
    <w:rsid w:val="00C63B51"/>
    <w:rsid w:val="00C63DF9"/>
    <w:rsid w:val="00C63EC2"/>
    <w:rsid w:val="00C63FF1"/>
    <w:rsid w:val="00C64074"/>
    <w:rsid w:val="00C640FF"/>
    <w:rsid w:val="00C64125"/>
    <w:rsid w:val="00C64140"/>
    <w:rsid w:val="00C64254"/>
    <w:rsid w:val="00C646F8"/>
    <w:rsid w:val="00C647A8"/>
    <w:rsid w:val="00C64955"/>
    <w:rsid w:val="00C64CC4"/>
    <w:rsid w:val="00C64E35"/>
    <w:rsid w:val="00C6519B"/>
    <w:rsid w:val="00C651D6"/>
    <w:rsid w:val="00C65563"/>
    <w:rsid w:val="00C6557A"/>
    <w:rsid w:val="00C65692"/>
    <w:rsid w:val="00C65D77"/>
    <w:rsid w:val="00C65D97"/>
    <w:rsid w:val="00C65E75"/>
    <w:rsid w:val="00C65FE9"/>
    <w:rsid w:val="00C661E0"/>
    <w:rsid w:val="00C661F6"/>
    <w:rsid w:val="00C6626B"/>
    <w:rsid w:val="00C66327"/>
    <w:rsid w:val="00C6637C"/>
    <w:rsid w:val="00C663BF"/>
    <w:rsid w:val="00C66568"/>
    <w:rsid w:val="00C665AF"/>
    <w:rsid w:val="00C6664E"/>
    <w:rsid w:val="00C667B6"/>
    <w:rsid w:val="00C668D2"/>
    <w:rsid w:val="00C669E6"/>
    <w:rsid w:val="00C66C06"/>
    <w:rsid w:val="00C66DC7"/>
    <w:rsid w:val="00C66FB4"/>
    <w:rsid w:val="00C66FD1"/>
    <w:rsid w:val="00C6709C"/>
    <w:rsid w:val="00C670AB"/>
    <w:rsid w:val="00C67364"/>
    <w:rsid w:val="00C67393"/>
    <w:rsid w:val="00C6745B"/>
    <w:rsid w:val="00C6749A"/>
    <w:rsid w:val="00C674F4"/>
    <w:rsid w:val="00C678AC"/>
    <w:rsid w:val="00C67A43"/>
    <w:rsid w:val="00C67A48"/>
    <w:rsid w:val="00C67A63"/>
    <w:rsid w:val="00C67AC9"/>
    <w:rsid w:val="00C67CA6"/>
    <w:rsid w:val="00C67D23"/>
    <w:rsid w:val="00C67DDB"/>
    <w:rsid w:val="00C67FDC"/>
    <w:rsid w:val="00C70013"/>
    <w:rsid w:val="00C7001D"/>
    <w:rsid w:val="00C703DE"/>
    <w:rsid w:val="00C7049C"/>
    <w:rsid w:val="00C704BB"/>
    <w:rsid w:val="00C70594"/>
    <w:rsid w:val="00C705CF"/>
    <w:rsid w:val="00C707B3"/>
    <w:rsid w:val="00C707E9"/>
    <w:rsid w:val="00C70959"/>
    <w:rsid w:val="00C709F2"/>
    <w:rsid w:val="00C70ADF"/>
    <w:rsid w:val="00C70C9B"/>
    <w:rsid w:val="00C70E4F"/>
    <w:rsid w:val="00C70F17"/>
    <w:rsid w:val="00C70FCE"/>
    <w:rsid w:val="00C70FD1"/>
    <w:rsid w:val="00C71067"/>
    <w:rsid w:val="00C712D0"/>
    <w:rsid w:val="00C714F9"/>
    <w:rsid w:val="00C71736"/>
    <w:rsid w:val="00C719E0"/>
    <w:rsid w:val="00C71C13"/>
    <w:rsid w:val="00C71CAA"/>
    <w:rsid w:val="00C71D17"/>
    <w:rsid w:val="00C71FB2"/>
    <w:rsid w:val="00C71FF5"/>
    <w:rsid w:val="00C72239"/>
    <w:rsid w:val="00C7227B"/>
    <w:rsid w:val="00C72335"/>
    <w:rsid w:val="00C72392"/>
    <w:rsid w:val="00C72529"/>
    <w:rsid w:val="00C72708"/>
    <w:rsid w:val="00C72713"/>
    <w:rsid w:val="00C7282E"/>
    <w:rsid w:val="00C7289F"/>
    <w:rsid w:val="00C72B44"/>
    <w:rsid w:val="00C72BE5"/>
    <w:rsid w:val="00C72DA8"/>
    <w:rsid w:val="00C72F69"/>
    <w:rsid w:val="00C7301A"/>
    <w:rsid w:val="00C7305A"/>
    <w:rsid w:val="00C73083"/>
    <w:rsid w:val="00C730AD"/>
    <w:rsid w:val="00C73125"/>
    <w:rsid w:val="00C73213"/>
    <w:rsid w:val="00C73422"/>
    <w:rsid w:val="00C7358B"/>
    <w:rsid w:val="00C73667"/>
    <w:rsid w:val="00C73A14"/>
    <w:rsid w:val="00C73A89"/>
    <w:rsid w:val="00C73B3C"/>
    <w:rsid w:val="00C73CA1"/>
    <w:rsid w:val="00C73D71"/>
    <w:rsid w:val="00C74019"/>
    <w:rsid w:val="00C7432A"/>
    <w:rsid w:val="00C74573"/>
    <w:rsid w:val="00C745C6"/>
    <w:rsid w:val="00C746E4"/>
    <w:rsid w:val="00C7475A"/>
    <w:rsid w:val="00C747CB"/>
    <w:rsid w:val="00C748B5"/>
    <w:rsid w:val="00C74A93"/>
    <w:rsid w:val="00C74AD7"/>
    <w:rsid w:val="00C74B76"/>
    <w:rsid w:val="00C74B7B"/>
    <w:rsid w:val="00C74C83"/>
    <w:rsid w:val="00C74F1E"/>
    <w:rsid w:val="00C74FC2"/>
    <w:rsid w:val="00C75021"/>
    <w:rsid w:val="00C75348"/>
    <w:rsid w:val="00C754C2"/>
    <w:rsid w:val="00C75611"/>
    <w:rsid w:val="00C75816"/>
    <w:rsid w:val="00C75876"/>
    <w:rsid w:val="00C7588F"/>
    <w:rsid w:val="00C75894"/>
    <w:rsid w:val="00C7592C"/>
    <w:rsid w:val="00C759E4"/>
    <w:rsid w:val="00C75A5A"/>
    <w:rsid w:val="00C75B94"/>
    <w:rsid w:val="00C75BDD"/>
    <w:rsid w:val="00C75BEC"/>
    <w:rsid w:val="00C75BF4"/>
    <w:rsid w:val="00C75CC2"/>
    <w:rsid w:val="00C75CFD"/>
    <w:rsid w:val="00C75EAD"/>
    <w:rsid w:val="00C75F65"/>
    <w:rsid w:val="00C75FB5"/>
    <w:rsid w:val="00C7632C"/>
    <w:rsid w:val="00C76541"/>
    <w:rsid w:val="00C76664"/>
    <w:rsid w:val="00C76677"/>
    <w:rsid w:val="00C76687"/>
    <w:rsid w:val="00C769B3"/>
    <w:rsid w:val="00C76A97"/>
    <w:rsid w:val="00C76D9C"/>
    <w:rsid w:val="00C76E15"/>
    <w:rsid w:val="00C76E79"/>
    <w:rsid w:val="00C76EF5"/>
    <w:rsid w:val="00C770FA"/>
    <w:rsid w:val="00C7714F"/>
    <w:rsid w:val="00C77200"/>
    <w:rsid w:val="00C772C7"/>
    <w:rsid w:val="00C77417"/>
    <w:rsid w:val="00C7746D"/>
    <w:rsid w:val="00C7755D"/>
    <w:rsid w:val="00C776FC"/>
    <w:rsid w:val="00C777D0"/>
    <w:rsid w:val="00C77A35"/>
    <w:rsid w:val="00C77A92"/>
    <w:rsid w:val="00C77C6D"/>
    <w:rsid w:val="00C77E5E"/>
    <w:rsid w:val="00C77E7F"/>
    <w:rsid w:val="00C800D6"/>
    <w:rsid w:val="00C801F7"/>
    <w:rsid w:val="00C80219"/>
    <w:rsid w:val="00C8022A"/>
    <w:rsid w:val="00C8065B"/>
    <w:rsid w:val="00C80AAB"/>
    <w:rsid w:val="00C80BEE"/>
    <w:rsid w:val="00C80C3D"/>
    <w:rsid w:val="00C80F73"/>
    <w:rsid w:val="00C81374"/>
    <w:rsid w:val="00C81637"/>
    <w:rsid w:val="00C816EC"/>
    <w:rsid w:val="00C8184A"/>
    <w:rsid w:val="00C81955"/>
    <w:rsid w:val="00C81CB2"/>
    <w:rsid w:val="00C81F01"/>
    <w:rsid w:val="00C8205D"/>
    <w:rsid w:val="00C8210E"/>
    <w:rsid w:val="00C82184"/>
    <w:rsid w:val="00C8219B"/>
    <w:rsid w:val="00C821B0"/>
    <w:rsid w:val="00C8240D"/>
    <w:rsid w:val="00C824BE"/>
    <w:rsid w:val="00C824C3"/>
    <w:rsid w:val="00C8253D"/>
    <w:rsid w:val="00C82565"/>
    <w:rsid w:val="00C82584"/>
    <w:rsid w:val="00C828F5"/>
    <w:rsid w:val="00C8309F"/>
    <w:rsid w:val="00C83248"/>
    <w:rsid w:val="00C8329E"/>
    <w:rsid w:val="00C832C3"/>
    <w:rsid w:val="00C8335D"/>
    <w:rsid w:val="00C8369F"/>
    <w:rsid w:val="00C83922"/>
    <w:rsid w:val="00C83A77"/>
    <w:rsid w:val="00C83AB2"/>
    <w:rsid w:val="00C83BDD"/>
    <w:rsid w:val="00C83D0E"/>
    <w:rsid w:val="00C83DCD"/>
    <w:rsid w:val="00C83E74"/>
    <w:rsid w:val="00C83E86"/>
    <w:rsid w:val="00C83FAA"/>
    <w:rsid w:val="00C84032"/>
    <w:rsid w:val="00C840B1"/>
    <w:rsid w:val="00C840B3"/>
    <w:rsid w:val="00C840D2"/>
    <w:rsid w:val="00C84110"/>
    <w:rsid w:val="00C84198"/>
    <w:rsid w:val="00C841D9"/>
    <w:rsid w:val="00C8420C"/>
    <w:rsid w:val="00C84254"/>
    <w:rsid w:val="00C84553"/>
    <w:rsid w:val="00C847FF"/>
    <w:rsid w:val="00C849B7"/>
    <w:rsid w:val="00C84A11"/>
    <w:rsid w:val="00C84A34"/>
    <w:rsid w:val="00C84A3F"/>
    <w:rsid w:val="00C84B9B"/>
    <w:rsid w:val="00C84C0C"/>
    <w:rsid w:val="00C84C39"/>
    <w:rsid w:val="00C84D26"/>
    <w:rsid w:val="00C84FAE"/>
    <w:rsid w:val="00C8501B"/>
    <w:rsid w:val="00C8513E"/>
    <w:rsid w:val="00C85212"/>
    <w:rsid w:val="00C8528C"/>
    <w:rsid w:val="00C852A6"/>
    <w:rsid w:val="00C852BA"/>
    <w:rsid w:val="00C85345"/>
    <w:rsid w:val="00C853ED"/>
    <w:rsid w:val="00C85708"/>
    <w:rsid w:val="00C859A4"/>
    <w:rsid w:val="00C85CA3"/>
    <w:rsid w:val="00C85D09"/>
    <w:rsid w:val="00C85D86"/>
    <w:rsid w:val="00C85E8D"/>
    <w:rsid w:val="00C86163"/>
    <w:rsid w:val="00C8616E"/>
    <w:rsid w:val="00C8625B"/>
    <w:rsid w:val="00C8633F"/>
    <w:rsid w:val="00C863E3"/>
    <w:rsid w:val="00C864F8"/>
    <w:rsid w:val="00C86604"/>
    <w:rsid w:val="00C86771"/>
    <w:rsid w:val="00C86AD0"/>
    <w:rsid w:val="00C86CF5"/>
    <w:rsid w:val="00C86EEB"/>
    <w:rsid w:val="00C86FD2"/>
    <w:rsid w:val="00C8705B"/>
    <w:rsid w:val="00C87097"/>
    <w:rsid w:val="00C872AB"/>
    <w:rsid w:val="00C8764E"/>
    <w:rsid w:val="00C87845"/>
    <w:rsid w:val="00C87971"/>
    <w:rsid w:val="00C87A4F"/>
    <w:rsid w:val="00C87B94"/>
    <w:rsid w:val="00C87C7F"/>
    <w:rsid w:val="00C87CAF"/>
    <w:rsid w:val="00C87CE7"/>
    <w:rsid w:val="00C9007D"/>
    <w:rsid w:val="00C9008B"/>
    <w:rsid w:val="00C9037E"/>
    <w:rsid w:val="00C906C9"/>
    <w:rsid w:val="00C9071D"/>
    <w:rsid w:val="00C907A2"/>
    <w:rsid w:val="00C9083A"/>
    <w:rsid w:val="00C90AEA"/>
    <w:rsid w:val="00C90E04"/>
    <w:rsid w:val="00C90EB9"/>
    <w:rsid w:val="00C90F29"/>
    <w:rsid w:val="00C90FCA"/>
    <w:rsid w:val="00C91107"/>
    <w:rsid w:val="00C91213"/>
    <w:rsid w:val="00C914E0"/>
    <w:rsid w:val="00C91625"/>
    <w:rsid w:val="00C917A4"/>
    <w:rsid w:val="00C917D5"/>
    <w:rsid w:val="00C91A02"/>
    <w:rsid w:val="00C91B99"/>
    <w:rsid w:val="00C91C4D"/>
    <w:rsid w:val="00C91E20"/>
    <w:rsid w:val="00C91E6C"/>
    <w:rsid w:val="00C91E8D"/>
    <w:rsid w:val="00C92335"/>
    <w:rsid w:val="00C924B1"/>
    <w:rsid w:val="00C926E8"/>
    <w:rsid w:val="00C9274E"/>
    <w:rsid w:val="00C92817"/>
    <w:rsid w:val="00C92842"/>
    <w:rsid w:val="00C929D7"/>
    <w:rsid w:val="00C92C97"/>
    <w:rsid w:val="00C92DEA"/>
    <w:rsid w:val="00C92DFF"/>
    <w:rsid w:val="00C92E8D"/>
    <w:rsid w:val="00C92EEC"/>
    <w:rsid w:val="00C92F63"/>
    <w:rsid w:val="00C92F97"/>
    <w:rsid w:val="00C9311F"/>
    <w:rsid w:val="00C9313E"/>
    <w:rsid w:val="00C93160"/>
    <w:rsid w:val="00C931D2"/>
    <w:rsid w:val="00C931E0"/>
    <w:rsid w:val="00C9321C"/>
    <w:rsid w:val="00C9324D"/>
    <w:rsid w:val="00C93335"/>
    <w:rsid w:val="00C93466"/>
    <w:rsid w:val="00C93507"/>
    <w:rsid w:val="00C93562"/>
    <w:rsid w:val="00C93629"/>
    <w:rsid w:val="00C938BE"/>
    <w:rsid w:val="00C93BCA"/>
    <w:rsid w:val="00C93D26"/>
    <w:rsid w:val="00C93DBE"/>
    <w:rsid w:val="00C940E9"/>
    <w:rsid w:val="00C94399"/>
    <w:rsid w:val="00C943C5"/>
    <w:rsid w:val="00C94679"/>
    <w:rsid w:val="00C9470B"/>
    <w:rsid w:val="00C9474A"/>
    <w:rsid w:val="00C94812"/>
    <w:rsid w:val="00C94896"/>
    <w:rsid w:val="00C9498E"/>
    <w:rsid w:val="00C94A57"/>
    <w:rsid w:val="00C94A81"/>
    <w:rsid w:val="00C94B28"/>
    <w:rsid w:val="00C94C47"/>
    <w:rsid w:val="00C94D6F"/>
    <w:rsid w:val="00C94F4E"/>
    <w:rsid w:val="00C95124"/>
    <w:rsid w:val="00C95194"/>
    <w:rsid w:val="00C95513"/>
    <w:rsid w:val="00C957A9"/>
    <w:rsid w:val="00C959B9"/>
    <w:rsid w:val="00C95B24"/>
    <w:rsid w:val="00C95CB4"/>
    <w:rsid w:val="00C9618C"/>
    <w:rsid w:val="00C962B1"/>
    <w:rsid w:val="00C962C1"/>
    <w:rsid w:val="00C962CC"/>
    <w:rsid w:val="00C962E5"/>
    <w:rsid w:val="00C9642B"/>
    <w:rsid w:val="00C964C3"/>
    <w:rsid w:val="00C96530"/>
    <w:rsid w:val="00C965EC"/>
    <w:rsid w:val="00C9661A"/>
    <w:rsid w:val="00C96707"/>
    <w:rsid w:val="00C969EA"/>
    <w:rsid w:val="00C96A18"/>
    <w:rsid w:val="00C96A4B"/>
    <w:rsid w:val="00C96CB3"/>
    <w:rsid w:val="00C9701F"/>
    <w:rsid w:val="00C97046"/>
    <w:rsid w:val="00C974C2"/>
    <w:rsid w:val="00C9754A"/>
    <w:rsid w:val="00C97560"/>
    <w:rsid w:val="00C97920"/>
    <w:rsid w:val="00C97930"/>
    <w:rsid w:val="00C979D5"/>
    <w:rsid w:val="00C97B30"/>
    <w:rsid w:val="00CA012B"/>
    <w:rsid w:val="00CA01D0"/>
    <w:rsid w:val="00CA03DB"/>
    <w:rsid w:val="00CA03EA"/>
    <w:rsid w:val="00CA044D"/>
    <w:rsid w:val="00CA0498"/>
    <w:rsid w:val="00CA06D2"/>
    <w:rsid w:val="00CA0822"/>
    <w:rsid w:val="00CA0865"/>
    <w:rsid w:val="00CA0929"/>
    <w:rsid w:val="00CA0B12"/>
    <w:rsid w:val="00CA0D28"/>
    <w:rsid w:val="00CA0E83"/>
    <w:rsid w:val="00CA0F5E"/>
    <w:rsid w:val="00CA0FBA"/>
    <w:rsid w:val="00CA0FCA"/>
    <w:rsid w:val="00CA0FEF"/>
    <w:rsid w:val="00CA1079"/>
    <w:rsid w:val="00CA12BA"/>
    <w:rsid w:val="00CA1313"/>
    <w:rsid w:val="00CA1332"/>
    <w:rsid w:val="00CA1477"/>
    <w:rsid w:val="00CA1666"/>
    <w:rsid w:val="00CA1835"/>
    <w:rsid w:val="00CA1AB4"/>
    <w:rsid w:val="00CA1D9E"/>
    <w:rsid w:val="00CA1F25"/>
    <w:rsid w:val="00CA200B"/>
    <w:rsid w:val="00CA20CE"/>
    <w:rsid w:val="00CA214B"/>
    <w:rsid w:val="00CA22D7"/>
    <w:rsid w:val="00CA2651"/>
    <w:rsid w:val="00CA280A"/>
    <w:rsid w:val="00CA295A"/>
    <w:rsid w:val="00CA2965"/>
    <w:rsid w:val="00CA2969"/>
    <w:rsid w:val="00CA2983"/>
    <w:rsid w:val="00CA29D2"/>
    <w:rsid w:val="00CA2A07"/>
    <w:rsid w:val="00CA2A17"/>
    <w:rsid w:val="00CA2BC2"/>
    <w:rsid w:val="00CA2C96"/>
    <w:rsid w:val="00CA3025"/>
    <w:rsid w:val="00CA3033"/>
    <w:rsid w:val="00CA3085"/>
    <w:rsid w:val="00CA30C5"/>
    <w:rsid w:val="00CA30CB"/>
    <w:rsid w:val="00CA30FC"/>
    <w:rsid w:val="00CA31C2"/>
    <w:rsid w:val="00CA3396"/>
    <w:rsid w:val="00CA3443"/>
    <w:rsid w:val="00CA346E"/>
    <w:rsid w:val="00CA34C1"/>
    <w:rsid w:val="00CA34E3"/>
    <w:rsid w:val="00CA3533"/>
    <w:rsid w:val="00CA3671"/>
    <w:rsid w:val="00CA36E6"/>
    <w:rsid w:val="00CA3781"/>
    <w:rsid w:val="00CA387F"/>
    <w:rsid w:val="00CA3BAF"/>
    <w:rsid w:val="00CA442D"/>
    <w:rsid w:val="00CA443C"/>
    <w:rsid w:val="00CA4496"/>
    <w:rsid w:val="00CA4503"/>
    <w:rsid w:val="00CA45F1"/>
    <w:rsid w:val="00CA4632"/>
    <w:rsid w:val="00CA467E"/>
    <w:rsid w:val="00CA469B"/>
    <w:rsid w:val="00CA46B4"/>
    <w:rsid w:val="00CA46E7"/>
    <w:rsid w:val="00CA46EE"/>
    <w:rsid w:val="00CA48F2"/>
    <w:rsid w:val="00CA4B53"/>
    <w:rsid w:val="00CA4B89"/>
    <w:rsid w:val="00CA4BAD"/>
    <w:rsid w:val="00CA4DB1"/>
    <w:rsid w:val="00CA4ED5"/>
    <w:rsid w:val="00CA516A"/>
    <w:rsid w:val="00CA5186"/>
    <w:rsid w:val="00CA518B"/>
    <w:rsid w:val="00CA522B"/>
    <w:rsid w:val="00CA53F1"/>
    <w:rsid w:val="00CA53FD"/>
    <w:rsid w:val="00CA5649"/>
    <w:rsid w:val="00CA575E"/>
    <w:rsid w:val="00CA586A"/>
    <w:rsid w:val="00CA58DD"/>
    <w:rsid w:val="00CA594E"/>
    <w:rsid w:val="00CA5A06"/>
    <w:rsid w:val="00CA5ADC"/>
    <w:rsid w:val="00CA5BFE"/>
    <w:rsid w:val="00CA6021"/>
    <w:rsid w:val="00CA6099"/>
    <w:rsid w:val="00CA610E"/>
    <w:rsid w:val="00CA6248"/>
    <w:rsid w:val="00CA6317"/>
    <w:rsid w:val="00CA6388"/>
    <w:rsid w:val="00CA656D"/>
    <w:rsid w:val="00CA69D9"/>
    <w:rsid w:val="00CA6BAF"/>
    <w:rsid w:val="00CA6BD2"/>
    <w:rsid w:val="00CA6EEB"/>
    <w:rsid w:val="00CA71DE"/>
    <w:rsid w:val="00CA7289"/>
    <w:rsid w:val="00CA7298"/>
    <w:rsid w:val="00CA72F8"/>
    <w:rsid w:val="00CA7560"/>
    <w:rsid w:val="00CA76CD"/>
    <w:rsid w:val="00CA778E"/>
    <w:rsid w:val="00CA7916"/>
    <w:rsid w:val="00CA79E3"/>
    <w:rsid w:val="00CA7C9D"/>
    <w:rsid w:val="00CA7CAE"/>
    <w:rsid w:val="00CA7D92"/>
    <w:rsid w:val="00CA7E36"/>
    <w:rsid w:val="00CA7E85"/>
    <w:rsid w:val="00CB020D"/>
    <w:rsid w:val="00CB0293"/>
    <w:rsid w:val="00CB0597"/>
    <w:rsid w:val="00CB0837"/>
    <w:rsid w:val="00CB08B5"/>
    <w:rsid w:val="00CB08F2"/>
    <w:rsid w:val="00CB0B85"/>
    <w:rsid w:val="00CB0BFB"/>
    <w:rsid w:val="00CB0CDC"/>
    <w:rsid w:val="00CB0E04"/>
    <w:rsid w:val="00CB0EC5"/>
    <w:rsid w:val="00CB1007"/>
    <w:rsid w:val="00CB1095"/>
    <w:rsid w:val="00CB11BE"/>
    <w:rsid w:val="00CB1494"/>
    <w:rsid w:val="00CB16BB"/>
    <w:rsid w:val="00CB18D3"/>
    <w:rsid w:val="00CB19D5"/>
    <w:rsid w:val="00CB1C44"/>
    <w:rsid w:val="00CB1E05"/>
    <w:rsid w:val="00CB1E44"/>
    <w:rsid w:val="00CB205C"/>
    <w:rsid w:val="00CB2094"/>
    <w:rsid w:val="00CB20FA"/>
    <w:rsid w:val="00CB213A"/>
    <w:rsid w:val="00CB2237"/>
    <w:rsid w:val="00CB233A"/>
    <w:rsid w:val="00CB248C"/>
    <w:rsid w:val="00CB25EF"/>
    <w:rsid w:val="00CB275C"/>
    <w:rsid w:val="00CB277D"/>
    <w:rsid w:val="00CB2814"/>
    <w:rsid w:val="00CB2867"/>
    <w:rsid w:val="00CB2901"/>
    <w:rsid w:val="00CB29EF"/>
    <w:rsid w:val="00CB2B90"/>
    <w:rsid w:val="00CB2DF7"/>
    <w:rsid w:val="00CB2EC0"/>
    <w:rsid w:val="00CB3066"/>
    <w:rsid w:val="00CB30E8"/>
    <w:rsid w:val="00CB31AA"/>
    <w:rsid w:val="00CB3385"/>
    <w:rsid w:val="00CB33A4"/>
    <w:rsid w:val="00CB33B4"/>
    <w:rsid w:val="00CB3787"/>
    <w:rsid w:val="00CB37D5"/>
    <w:rsid w:val="00CB3A05"/>
    <w:rsid w:val="00CB3BDF"/>
    <w:rsid w:val="00CB3C97"/>
    <w:rsid w:val="00CB3D3F"/>
    <w:rsid w:val="00CB3D5C"/>
    <w:rsid w:val="00CB3E9C"/>
    <w:rsid w:val="00CB40B8"/>
    <w:rsid w:val="00CB4103"/>
    <w:rsid w:val="00CB412F"/>
    <w:rsid w:val="00CB43E0"/>
    <w:rsid w:val="00CB44FB"/>
    <w:rsid w:val="00CB458B"/>
    <w:rsid w:val="00CB4675"/>
    <w:rsid w:val="00CB4697"/>
    <w:rsid w:val="00CB469E"/>
    <w:rsid w:val="00CB47D5"/>
    <w:rsid w:val="00CB48EC"/>
    <w:rsid w:val="00CB492A"/>
    <w:rsid w:val="00CB4A30"/>
    <w:rsid w:val="00CB4B07"/>
    <w:rsid w:val="00CB4D53"/>
    <w:rsid w:val="00CB4D7F"/>
    <w:rsid w:val="00CB4D96"/>
    <w:rsid w:val="00CB4EFB"/>
    <w:rsid w:val="00CB4F1E"/>
    <w:rsid w:val="00CB50DA"/>
    <w:rsid w:val="00CB5146"/>
    <w:rsid w:val="00CB522C"/>
    <w:rsid w:val="00CB5524"/>
    <w:rsid w:val="00CB57CF"/>
    <w:rsid w:val="00CB58DD"/>
    <w:rsid w:val="00CB5944"/>
    <w:rsid w:val="00CB5BA5"/>
    <w:rsid w:val="00CB5F94"/>
    <w:rsid w:val="00CB608C"/>
    <w:rsid w:val="00CB65E3"/>
    <w:rsid w:val="00CB674D"/>
    <w:rsid w:val="00CB686F"/>
    <w:rsid w:val="00CB6A2A"/>
    <w:rsid w:val="00CB6E08"/>
    <w:rsid w:val="00CB6EB8"/>
    <w:rsid w:val="00CB720A"/>
    <w:rsid w:val="00CB7474"/>
    <w:rsid w:val="00CB7760"/>
    <w:rsid w:val="00CB77DF"/>
    <w:rsid w:val="00CB7889"/>
    <w:rsid w:val="00CB7954"/>
    <w:rsid w:val="00CB7956"/>
    <w:rsid w:val="00CB7964"/>
    <w:rsid w:val="00CB7D1A"/>
    <w:rsid w:val="00CB7E27"/>
    <w:rsid w:val="00CB7FC3"/>
    <w:rsid w:val="00CC0091"/>
    <w:rsid w:val="00CC00A3"/>
    <w:rsid w:val="00CC0205"/>
    <w:rsid w:val="00CC0353"/>
    <w:rsid w:val="00CC0836"/>
    <w:rsid w:val="00CC0958"/>
    <w:rsid w:val="00CC0C50"/>
    <w:rsid w:val="00CC0E07"/>
    <w:rsid w:val="00CC0F63"/>
    <w:rsid w:val="00CC0FD8"/>
    <w:rsid w:val="00CC1154"/>
    <w:rsid w:val="00CC1229"/>
    <w:rsid w:val="00CC1258"/>
    <w:rsid w:val="00CC143C"/>
    <w:rsid w:val="00CC1448"/>
    <w:rsid w:val="00CC1449"/>
    <w:rsid w:val="00CC1A44"/>
    <w:rsid w:val="00CC1A69"/>
    <w:rsid w:val="00CC1AB7"/>
    <w:rsid w:val="00CC1ACA"/>
    <w:rsid w:val="00CC1B3E"/>
    <w:rsid w:val="00CC1BCD"/>
    <w:rsid w:val="00CC1C67"/>
    <w:rsid w:val="00CC1DC0"/>
    <w:rsid w:val="00CC1F85"/>
    <w:rsid w:val="00CC1F91"/>
    <w:rsid w:val="00CC21FD"/>
    <w:rsid w:val="00CC238A"/>
    <w:rsid w:val="00CC25FB"/>
    <w:rsid w:val="00CC2659"/>
    <w:rsid w:val="00CC26A8"/>
    <w:rsid w:val="00CC2820"/>
    <w:rsid w:val="00CC28A1"/>
    <w:rsid w:val="00CC29A9"/>
    <w:rsid w:val="00CC2A81"/>
    <w:rsid w:val="00CC2B12"/>
    <w:rsid w:val="00CC2B67"/>
    <w:rsid w:val="00CC2CF5"/>
    <w:rsid w:val="00CC2E25"/>
    <w:rsid w:val="00CC2E80"/>
    <w:rsid w:val="00CC30EA"/>
    <w:rsid w:val="00CC31D0"/>
    <w:rsid w:val="00CC32AC"/>
    <w:rsid w:val="00CC33A2"/>
    <w:rsid w:val="00CC33EB"/>
    <w:rsid w:val="00CC3A8D"/>
    <w:rsid w:val="00CC3C0F"/>
    <w:rsid w:val="00CC3D36"/>
    <w:rsid w:val="00CC3D4D"/>
    <w:rsid w:val="00CC3EC7"/>
    <w:rsid w:val="00CC3FB2"/>
    <w:rsid w:val="00CC40D6"/>
    <w:rsid w:val="00CC40FA"/>
    <w:rsid w:val="00CC42E2"/>
    <w:rsid w:val="00CC4344"/>
    <w:rsid w:val="00CC4583"/>
    <w:rsid w:val="00CC48A0"/>
    <w:rsid w:val="00CC4918"/>
    <w:rsid w:val="00CC49A4"/>
    <w:rsid w:val="00CC4C47"/>
    <w:rsid w:val="00CC4C7A"/>
    <w:rsid w:val="00CC4E02"/>
    <w:rsid w:val="00CC4E88"/>
    <w:rsid w:val="00CC4EC2"/>
    <w:rsid w:val="00CC5041"/>
    <w:rsid w:val="00CC5119"/>
    <w:rsid w:val="00CC512A"/>
    <w:rsid w:val="00CC5179"/>
    <w:rsid w:val="00CC517D"/>
    <w:rsid w:val="00CC5398"/>
    <w:rsid w:val="00CC541A"/>
    <w:rsid w:val="00CC544A"/>
    <w:rsid w:val="00CC5633"/>
    <w:rsid w:val="00CC57D9"/>
    <w:rsid w:val="00CC582E"/>
    <w:rsid w:val="00CC5837"/>
    <w:rsid w:val="00CC5B6A"/>
    <w:rsid w:val="00CC5B72"/>
    <w:rsid w:val="00CC5C5B"/>
    <w:rsid w:val="00CC5FB5"/>
    <w:rsid w:val="00CC60E9"/>
    <w:rsid w:val="00CC61C6"/>
    <w:rsid w:val="00CC6283"/>
    <w:rsid w:val="00CC662B"/>
    <w:rsid w:val="00CC6689"/>
    <w:rsid w:val="00CC66AB"/>
    <w:rsid w:val="00CC6802"/>
    <w:rsid w:val="00CC69AA"/>
    <w:rsid w:val="00CC6A45"/>
    <w:rsid w:val="00CC6A87"/>
    <w:rsid w:val="00CC6AC9"/>
    <w:rsid w:val="00CC6AF7"/>
    <w:rsid w:val="00CC6B5C"/>
    <w:rsid w:val="00CC6C2B"/>
    <w:rsid w:val="00CC6C38"/>
    <w:rsid w:val="00CC6CC5"/>
    <w:rsid w:val="00CC6D33"/>
    <w:rsid w:val="00CC6D5A"/>
    <w:rsid w:val="00CC7277"/>
    <w:rsid w:val="00CC7308"/>
    <w:rsid w:val="00CC744E"/>
    <w:rsid w:val="00CC74B3"/>
    <w:rsid w:val="00CC765D"/>
    <w:rsid w:val="00CC780C"/>
    <w:rsid w:val="00CC793E"/>
    <w:rsid w:val="00CC7A19"/>
    <w:rsid w:val="00CC7A65"/>
    <w:rsid w:val="00CC7A82"/>
    <w:rsid w:val="00CC7BDF"/>
    <w:rsid w:val="00CC7D26"/>
    <w:rsid w:val="00CC7E28"/>
    <w:rsid w:val="00CD01C8"/>
    <w:rsid w:val="00CD0269"/>
    <w:rsid w:val="00CD02FE"/>
    <w:rsid w:val="00CD0359"/>
    <w:rsid w:val="00CD04C8"/>
    <w:rsid w:val="00CD0559"/>
    <w:rsid w:val="00CD06C7"/>
    <w:rsid w:val="00CD08AC"/>
    <w:rsid w:val="00CD0AEB"/>
    <w:rsid w:val="00CD0B0E"/>
    <w:rsid w:val="00CD0EA3"/>
    <w:rsid w:val="00CD0EB9"/>
    <w:rsid w:val="00CD0F39"/>
    <w:rsid w:val="00CD1057"/>
    <w:rsid w:val="00CD1058"/>
    <w:rsid w:val="00CD10E5"/>
    <w:rsid w:val="00CD10F0"/>
    <w:rsid w:val="00CD1155"/>
    <w:rsid w:val="00CD1196"/>
    <w:rsid w:val="00CD12D9"/>
    <w:rsid w:val="00CD132C"/>
    <w:rsid w:val="00CD13F4"/>
    <w:rsid w:val="00CD147C"/>
    <w:rsid w:val="00CD15A2"/>
    <w:rsid w:val="00CD1614"/>
    <w:rsid w:val="00CD1679"/>
    <w:rsid w:val="00CD1813"/>
    <w:rsid w:val="00CD18AD"/>
    <w:rsid w:val="00CD18E0"/>
    <w:rsid w:val="00CD1936"/>
    <w:rsid w:val="00CD19A1"/>
    <w:rsid w:val="00CD1B07"/>
    <w:rsid w:val="00CD1B39"/>
    <w:rsid w:val="00CD1B75"/>
    <w:rsid w:val="00CD1C37"/>
    <w:rsid w:val="00CD1D27"/>
    <w:rsid w:val="00CD1D85"/>
    <w:rsid w:val="00CD1E6E"/>
    <w:rsid w:val="00CD2100"/>
    <w:rsid w:val="00CD21CA"/>
    <w:rsid w:val="00CD2207"/>
    <w:rsid w:val="00CD22BD"/>
    <w:rsid w:val="00CD2429"/>
    <w:rsid w:val="00CD2466"/>
    <w:rsid w:val="00CD250A"/>
    <w:rsid w:val="00CD25C4"/>
    <w:rsid w:val="00CD2675"/>
    <w:rsid w:val="00CD27FD"/>
    <w:rsid w:val="00CD298D"/>
    <w:rsid w:val="00CD2AED"/>
    <w:rsid w:val="00CD2D20"/>
    <w:rsid w:val="00CD2F8C"/>
    <w:rsid w:val="00CD332C"/>
    <w:rsid w:val="00CD34D8"/>
    <w:rsid w:val="00CD3774"/>
    <w:rsid w:val="00CD3A66"/>
    <w:rsid w:val="00CD3BF4"/>
    <w:rsid w:val="00CD4124"/>
    <w:rsid w:val="00CD44C2"/>
    <w:rsid w:val="00CD4604"/>
    <w:rsid w:val="00CD4782"/>
    <w:rsid w:val="00CD478C"/>
    <w:rsid w:val="00CD49F1"/>
    <w:rsid w:val="00CD4BCC"/>
    <w:rsid w:val="00CD4C77"/>
    <w:rsid w:val="00CD4EBE"/>
    <w:rsid w:val="00CD50EB"/>
    <w:rsid w:val="00CD517A"/>
    <w:rsid w:val="00CD51C6"/>
    <w:rsid w:val="00CD51E5"/>
    <w:rsid w:val="00CD5271"/>
    <w:rsid w:val="00CD528B"/>
    <w:rsid w:val="00CD557B"/>
    <w:rsid w:val="00CD56E9"/>
    <w:rsid w:val="00CD578D"/>
    <w:rsid w:val="00CD57A9"/>
    <w:rsid w:val="00CD59E6"/>
    <w:rsid w:val="00CD5A64"/>
    <w:rsid w:val="00CD5A7E"/>
    <w:rsid w:val="00CD5BBF"/>
    <w:rsid w:val="00CD5E68"/>
    <w:rsid w:val="00CD5F32"/>
    <w:rsid w:val="00CD5F5B"/>
    <w:rsid w:val="00CD61A7"/>
    <w:rsid w:val="00CD6301"/>
    <w:rsid w:val="00CD6510"/>
    <w:rsid w:val="00CD65B5"/>
    <w:rsid w:val="00CD668F"/>
    <w:rsid w:val="00CD6779"/>
    <w:rsid w:val="00CD6837"/>
    <w:rsid w:val="00CD689F"/>
    <w:rsid w:val="00CD6AEC"/>
    <w:rsid w:val="00CD6B43"/>
    <w:rsid w:val="00CD6E5A"/>
    <w:rsid w:val="00CD720F"/>
    <w:rsid w:val="00CD733F"/>
    <w:rsid w:val="00CD7419"/>
    <w:rsid w:val="00CD7524"/>
    <w:rsid w:val="00CD7535"/>
    <w:rsid w:val="00CD766A"/>
    <w:rsid w:val="00CD7710"/>
    <w:rsid w:val="00CD7818"/>
    <w:rsid w:val="00CD78F5"/>
    <w:rsid w:val="00CD795B"/>
    <w:rsid w:val="00CD7AA2"/>
    <w:rsid w:val="00CD7BE9"/>
    <w:rsid w:val="00CD7E26"/>
    <w:rsid w:val="00CE004C"/>
    <w:rsid w:val="00CE0502"/>
    <w:rsid w:val="00CE05C4"/>
    <w:rsid w:val="00CE0688"/>
    <w:rsid w:val="00CE06BB"/>
    <w:rsid w:val="00CE08B4"/>
    <w:rsid w:val="00CE0994"/>
    <w:rsid w:val="00CE0A7E"/>
    <w:rsid w:val="00CE0C36"/>
    <w:rsid w:val="00CE0DB7"/>
    <w:rsid w:val="00CE0E85"/>
    <w:rsid w:val="00CE0E8B"/>
    <w:rsid w:val="00CE0F85"/>
    <w:rsid w:val="00CE102C"/>
    <w:rsid w:val="00CE134C"/>
    <w:rsid w:val="00CE138E"/>
    <w:rsid w:val="00CE139C"/>
    <w:rsid w:val="00CE13CB"/>
    <w:rsid w:val="00CE140C"/>
    <w:rsid w:val="00CE14B8"/>
    <w:rsid w:val="00CE14EB"/>
    <w:rsid w:val="00CE15E2"/>
    <w:rsid w:val="00CE16BB"/>
    <w:rsid w:val="00CE186B"/>
    <w:rsid w:val="00CE18CB"/>
    <w:rsid w:val="00CE1CE2"/>
    <w:rsid w:val="00CE2015"/>
    <w:rsid w:val="00CE2115"/>
    <w:rsid w:val="00CE2297"/>
    <w:rsid w:val="00CE22CA"/>
    <w:rsid w:val="00CE2420"/>
    <w:rsid w:val="00CE25CD"/>
    <w:rsid w:val="00CE26D5"/>
    <w:rsid w:val="00CE272F"/>
    <w:rsid w:val="00CE2842"/>
    <w:rsid w:val="00CE28E2"/>
    <w:rsid w:val="00CE28E3"/>
    <w:rsid w:val="00CE2AD8"/>
    <w:rsid w:val="00CE2B74"/>
    <w:rsid w:val="00CE2C0F"/>
    <w:rsid w:val="00CE3070"/>
    <w:rsid w:val="00CE3092"/>
    <w:rsid w:val="00CE30A7"/>
    <w:rsid w:val="00CE3166"/>
    <w:rsid w:val="00CE319D"/>
    <w:rsid w:val="00CE35BF"/>
    <w:rsid w:val="00CE37E6"/>
    <w:rsid w:val="00CE3B5A"/>
    <w:rsid w:val="00CE3B6C"/>
    <w:rsid w:val="00CE3B6D"/>
    <w:rsid w:val="00CE3B9C"/>
    <w:rsid w:val="00CE3CD0"/>
    <w:rsid w:val="00CE3EBC"/>
    <w:rsid w:val="00CE3ED9"/>
    <w:rsid w:val="00CE3F5C"/>
    <w:rsid w:val="00CE40FD"/>
    <w:rsid w:val="00CE4318"/>
    <w:rsid w:val="00CE4327"/>
    <w:rsid w:val="00CE4510"/>
    <w:rsid w:val="00CE4565"/>
    <w:rsid w:val="00CE46DE"/>
    <w:rsid w:val="00CE4758"/>
    <w:rsid w:val="00CE4807"/>
    <w:rsid w:val="00CE48D2"/>
    <w:rsid w:val="00CE4B1E"/>
    <w:rsid w:val="00CE4BD1"/>
    <w:rsid w:val="00CE4DDF"/>
    <w:rsid w:val="00CE4F34"/>
    <w:rsid w:val="00CE4FB6"/>
    <w:rsid w:val="00CE5103"/>
    <w:rsid w:val="00CE51DB"/>
    <w:rsid w:val="00CE5219"/>
    <w:rsid w:val="00CE52A8"/>
    <w:rsid w:val="00CE545C"/>
    <w:rsid w:val="00CE55CE"/>
    <w:rsid w:val="00CE560A"/>
    <w:rsid w:val="00CE5685"/>
    <w:rsid w:val="00CE56EC"/>
    <w:rsid w:val="00CE5837"/>
    <w:rsid w:val="00CE5956"/>
    <w:rsid w:val="00CE5A87"/>
    <w:rsid w:val="00CE5ACD"/>
    <w:rsid w:val="00CE5AFD"/>
    <w:rsid w:val="00CE5CAF"/>
    <w:rsid w:val="00CE5FE3"/>
    <w:rsid w:val="00CE600D"/>
    <w:rsid w:val="00CE6029"/>
    <w:rsid w:val="00CE6273"/>
    <w:rsid w:val="00CE62A2"/>
    <w:rsid w:val="00CE644E"/>
    <w:rsid w:val="00CE65A4"/>
    <w:rsid w:val="00CE65FA"/>
    <w:rsid w:val="00CE6869"/>
    <w:rsid w:val="00CE6A75"/>
    <w:rsid w:val="00CE6B23"/>
    <w:rsid w:val="00CE6C33"/>
    <w:rsid w:val="00CE6D82"/>
    <w:rsid w:val="00CE6DB9"/>
    <w:rsid w:val="00CE6EB5"/>
    <w:rsid w:val="00CE6EE6"/>
    <w:rsid w:val="00CE7001"/>
    <w:rsid w:val="00CE70A0"/>
    <w:rsid w:val="00CE7253"/>
    <w:rsid w:val="00CE75DA"/>
    <w:rsid w:val="00CE7640"/>
    <w:rsid w:val="00CE7786"/>
    <w:rsid w:val="00CE7B24"/>
    <w:rsid w:val="00CE7C60"/>
    <w:rsid w:val="00CE7D4E"/>
    <w:rsid w:val="00CE7D71"/>
    <w:rsid w:val="00CE7D88"/>
    <w:rsid w:val="00CE7DFB"/>
    <w:rsid w:val="00CE7E78"/>
    <w:rsid w:val="00CE7E7B"/>
    <w:rsid w:val="00CE7EC4"/>
    <w:rsid w:val="00CE7ECE"/>
    <w:rsid w:val="00CF00A0"/>
    <w:rsid w:val="00CF0367"/>
    <w:rsid w:val="00CF03ED"/>
    <w:rsid w:val="00CF0473"/>
    <w:rsid w:val="00CF04A6"/>
    <w:rsid w:val="00CF0690"/>
    <w:rsid w:val="00CF082E"/>
    <w:rsid w:val="00CF0991"/>
    <w:rsid w:val="00CF0BFA"/>
    <w:rsid w:val="00CF0C39"/>
    <w:rsid w:val="00CF0CB4"/>
    <w:rsid w:val="00CF0CD5"/>
    <w:rsid w:val="00CF1491"/>
    <w:rsid w:val="00CF1496"/>
    <w:rsid w:val="00CF15EA"/>
    <w:rsid w:val="00CF160B"/>
    <w:rsid w:val="00CF1730"/>
    <w:rsid w:val="00CF17CC"/>
    <w:rsid w:val="00CF183C"/>
    <w:rsid w:val="00CF186A"/>
    <w:rsid w:val="00CF18BD"/>
    <w:rsid w:val="00CF1922"/>
    <w:rsid w:val="00CF1A95"/>
    <w:rsid w:val="00CF1B3C"/>
    <w:rsid w:val="00CF1B5B"/>
    <w:rsid w:val="00CF1B71"/>
    <w:rsid w:val="00CF20AB"/>
    <w:rsid w:val="00CF2304"/>
    <w:rsid w:val="00CF255D"/>
    <w:rsid w:val="00CF27E8"/>
    <w:rsid w:val="00CF2941"/>
    <w:rsid w:val="00CF2BA8"/>
    <w:rsid w:val="00CF2CF7"/>
    <w:rsid w:val="00CF2D10"/>
    <w:rsid w:val="00CF2DEF"/>
    <w:rsid w:val="00CF2E18"/>
    <w:rsid w:val="00CF2EE9"/>
    <w:rsid w:val="00CF2F79"/>
    <w:rsid w:val="00CF30F5"/>
    <w:rsid w:val="00CF3428"/>
    <w:rsid w:val="00CF35C6"/>
    <w:rsid w:val="00CF3619"/>
    <w:rsid w:val="00CF36EF"/>
    <w:rsid w:val="00CF38A9"/>
    <w:rsid w:val="00CF3977"/>
    <w:rsid w:val="00CF39B6"/>
    <w:rsid w:val="00CF3C1A"/>
    <w:rsid w:val="00CF3CD6"/>
    <w:rsid w:val="00CF3DAD"/>
    <w:rsid w:val="00CF3DB7"/>
    <w:rsid w:val="00CF40C8"/>
    <w:rsid w:val="00CF40CB"/>
    <w:rsid w:val="00CF4107"/>
    <w:rsid w:val="00CF4109"/>
    <w:rsid w:val="00CF416E"/>
    <w:rsid w:val="00CF42FA"/>
    <w:rsid w:val="00CF449F"/>
    <w:rsid w:val="00CF4549"/>
    <w:rsid w:val="00CF46FF"/>
    <w:rsid w:val="00CF48E5"/>
    <w:rsid w:val="00CF4AD9"/>
    <w:rsid w:val="00CF4BF5"/>
    <w:rsid w:val="00CF4DB0"/>
    <w:rsid w:val="00CF4E9E"/>
    <w:rsid w:val="00CF4ED9"/>
    <w:rsid w:val="00CF4F7A"/>
    <w:rsid w:val="00CF4FAE"/>
    <w:rsid w:val="00CF51B6"/>
    <w:rsid w:val="00CF52B3"/>
    <w:rsid w:val="00CF552C"/>
    <w:rsid w:val="00CF5595"/>
    <w:rsid w:val="00CF5B53"/>
    <w:rsid w:val="00CF5BE9"/>
    <w:rsid w:val="00CF5C94"/>
    <w:rsid w:val="00CF5D49"/>
    <w:rsid w:val="00CF5DB7"/>
    <w:rsid w:val="00CF5DE4"/>
    <w:rsid w:val="00CF5DE5"/>
    <w:rsid w:val="00CF5F7E"/>
    <w:rsid w:val="00CF63B5"/>
    <w:rsid w:val="00CF6419"/>
    <w:rsid w:val="00CF64EB"/>
    <w:rsid w:val="00CF65FE"/>
    <w:rsid w:val="00CF6634"/>
    <w:rsid w:val="00CF6696"/>
    <w:rsid w:val="00CF67D7"/>
    <w:rsid w:val="00CF6838"/>
    <w:rsid w:val="00CF68A8"/>
    <w:rsid w:val="00CF6913"/>
    <w:rsid w:val="00CF6A71"/>
    <w:rsid w:val="00CF6D32"/>
    <w:rsid w:val="00CF6F8B"/>
    <w:rsid w:val="00CF702D"/>
    <w:rsid w:val="00CF7080"/>
    <w:rsid w:val="00CF71C2"/>
    <w:rsid w:val="00CF71C7"/>
    <w:rsid w:val="00CF7271"/>
    <w:rsid w:val="00CF7304"/>
    <w:rsid w:val="00CF7374"/>
    <w:rsid w:val="00CF7418"/>
    <w:rsid w:val="00CF74D6"/>
    <w:rsid w:val="00CF77A8"/>
    <w:rsid w:val="00CF7886"/>
    <w:rsid w:val="00CF7975"/>
    <w:rsid w:val="00CF7A89"/>
    <w:rsid w:val="00D000AF"/>
    <w:rsid w:val="00D00135"/>
    <w:rsid w:val="00D001A9"/>
    <w:rsid w:val="00D00202"/>
    <w:rsid w:val="00D002FA"/>
    <w:rsid w:val="00D003E8"/>
    <w:rsid w:val="00D0050E"/>
    <w:rsid w:val="00D007C6"/>
    <w:rsid w:val="00D00974"/>
    <w:rsid w:val="00D00AA8"/>
    <w:rsid w:val="00D00BD1"/>
    <w:rsid w:val="00D00EF4"/>
    <w:rsid w:val="00D00FF0"/>
    <w:rsid w:val="00D010D4"/>
    <w:rsid w:val="00D010EC"/>
    <w:rsid w:val="00D01375"/>
    <w:rsid w:val="00D0172D"/>
    <w:rsid w:val="00D017D4"/>
    <w:rsid w:val="00D0186D"/>
    <w:rsid w:val="00D018B9"/>
    <w:rsid w:val="00D018CC"/>
    <w:rsid w:val="00D01BEF"/>
    <w:rsid w:val="00D01CB9"/>
    <w:rsid w:val="00D01CD3"/>
    <w:rsid w:val="00D02416"/>
    <w:rsid w:val="00D02737"/>
    <w:rsid w:val="00D02B87"/>
    <w:rsid w:val="00D02C3F"/>
    <w:rsid w:val="00D02EDB"/>
    <w:rsid w:val="00D03039"/>
    <w:rsid w:val="00D031A6"/>
    <w:rsid w:val="00D036F2"/>
    <w:rsid w:val="00D037E5"/>
    <w:rsid w:val="00D03860"/>
    <w:rsid w:val="00D0398B"/>
    <w:rsid w:val="00D03A3F"/>
    <w:rsid w:val="00D03A51"/>
    <w:rsid w:val="00D03ACF"/>
    <w:rsid w:val="00D03AE3"/>
    <w:rsid w:val="00D03C14"/>
    <w:rsid w:val="00D03C85"/>
    <w:rsid w:val="00D03CC8"/>
    <w:rsid w:val="00D03CDF"/>
    <w:rsid w:val="00D03CE9"/>
    <w:rsid w:val="00D03D62"/>
    <w:rsid w:val="00D03DE1"/>
    <w:rsid w:val="00D03ECD"/>
    <w:rsid w:val="00D03FCC"/>
    <w:rsid w:val="00D040F8"/>
    <w:rsid w:val="00D0435E"/>
    <w:rsid w:val="00D043FD"/>
    <w:rsid w:val="00D0444E"/>
    <w:rsid w:val="00D044D4"/>
    <w:rsid w:val="00D04DF5"/>
    <w:rsid w:val="00D04F17"/>
    <w:rsid w:val="00D05052"/>
    <w:rsid w:val="00D0505E"/>
    <w:rsid w:val="00D05332"/>
    <w:rsid w:val="00D0537F"/>
    <w:rsid w:val="00D05451"/>
    <w:rsid w:val="00D05521"/>
    <w:rsid w:val="00D0553A"/>
    <w:rsid w:val="00D055A6"/>
    <w:rsid w:val="00D0562F"/>
    <w:rsid w:val="00D056A3"/>
    <w:rsid w:val="00D05714"/>
    <w:rsid w:val="00D057DA"/>
    <w:rsid w:val="00D059B6"/>
    <w:rsid w:val="00D05AAB"/>
    <w:rsid w:val="00D05AE7"/>
    <w:rsid w:val="00D05B5D"/>
    <w:rsid w:val="00D05B71"/>
    <w:rsid w:val="00D05CD1"/>
    <w:rsid w:val="00D05E7D"/>
    <w:rsid w:val="00D05EFB"/>
    <w:rsid w:val="00D0605C"/>
    <w:rsid w:val="00D060CB"/>
    <w:rsid w:val="00D060D9"/>
    <w:rsid w:val="00D060F2"/>
    <w:rsid w:val="00D06755"/>
    <w:rsid w:val="00D067DC"/>
    <w:rsid w:val="00D0682F"/>
    <w:rsid w:val="00D06898"/>
    <w:rsid w:val="00D06B6F"/>
    <w:rsid w:val="00D06B7E"/>
    <w:rsid w:val="00D06CAB"/>
    <w:rsid w:val="00D06D1A"/>
    <w:rsid w:val="00D06EAB"/>
    <w:rsid w:val="00D06F9E"/>
    <w:rsid w:val="00D071EA"/>
    <w:rsid w:val="00D071F6"/>
    <w:rsid w:val="00D0758A"/>
    <w:rsid w:val="00D07595"/>
    <w:rsid w:val="00D0768F"/>
    <w:rsid w:val="00D07869"/>
    <w:rsid w:val="00D07988"/>
    <w:rsid w:val="00D07999"/>
    <w:rsid w:val="00D079BE"/>
    <w:rsid w:val="00D07B1B"/>
    <w:rsid w:val="00D07BAD"/>
    <w:rsid w:val="00D07CE2"/>
    <w:rsid w:val="00D07CF2"/>
    <w:rsid w:val="00D07D08"/>
    <w:rsid w:val="00D07D6A"/>
    <w:rsid w:val="00D07DBD"/>
    <w:rsid w:val="00D07F54"/>
    <w:rsid w:val="00D10107"/>
    <w:rsid w:val="00D102A6"/>
    <w:rsid w:val="00D102F7"/>
    <w:rsid w:val="00D103F3"/>
    <w:rsid w:val="00D104B4"/>
    <w:rsid w:val="00D10843"/>
    <w:rsid w:val="00D108D4"/>
    <w:rsid w:val="00D1091D"/>
    <w:rsid w:val="00D10BE0"/>
    <w:rsid w:val="00D10CBB"/>
    <w:rsid w:val="00D11235"/>
    <w:rsid w:val="00D114D3"/>
    <w:rsid w:val="00D116F2"/>
    <w:rsid w:val="00D116FD"/>
    <w:rsid w:val="00D11783"/>
    <w:rsid w:val="00D11791"/>
    <w:rsid w:val="00D118FD"/>
    <w:rsid w:val="00D11D49"/>
    <w:rsid w:val="00D11DC5"/>
    <w:rsid w:val="00D11FAC"/>
    <w:rsid w:val="00D1205B"/>
    <w:rsid w:val="00D121E5"/>
    <w:rsid w:val="00D121FA"/>
    <w:rsid w:val="00D12217"/>
    <w:rsid w:val="00D122AF"/>
    <w:rsid w:val="00D12370"/>
    <w:rsid w:val="00D12624"/>
    <w:rsid w:val="00D127A4"/>
    <w:rsid w:val="00D128B1"/>
    <w:rsid w:val="00D12A43"/>
    <w:rsid w:val="00D12A93"/>
    <w:rsid w:val="00D12B50"/>
    <w:rsid w:val="00D12CF1"/>
    <w:rsid w:val="00D12CFB"/>
    <w:rsid w:val="00D12F55"/>
    <w:rsid w:val="00D131AB"/>
    <w:rsid w:val="00D131E5"/>
    <w:rsid w:val="00D13300"/>
    <w:rsid w:val="00D1343E"/>
    <w:rsid w:val="00D135A9"/>
    <w:rsid w:val="00D1361E"/>
    <w:rsid w:val="00D1368D"/>
    <w:rsid w:val="00D137B7"/>
    <w:rsid w:val="00D13890"/>
    <w:rsid w:val="00D13928"/>
    <w:rsid w:val="00D13B8A"/>
    <w:rsid w:val="00D13BB6"/>
    <w:rsid w:val="00D13BE5"/>
    <w:rsid w:val="00D13C21"/>
    <w:rsid w:val="00D13C81"/>
    <w:rsid w:val="00D13D2C"/>
    <w:rsid w:val="00D13ECB"/>
    <w:rsid w:val="00D13F57"/>
    <w:rsid w:val="00D13FFF"/>
    <w:rsid w:val="00D14072"/>
    <w:rsid w:val="00D1420A"/>
    <w:rsid w:val="00D14361"/>
    <w:rsid w:val="00D1446E"/>
    <w:rsid w:val="00D147CA"/>
    <w:rsid w:val="00D14864"/>
    <w:rsid w:val="00D14954"/>
    <w:rsid w:val="00D149B7"/>
    <w:rsid w:val="00D14A42"/>
    <w:rsid w:val="00D14C6D"/>
    <w:rsid w:val="00D14DF6"/>
    <w:rsid w:val="00D14EEB"/>
    <w:rsid w:val="00D14F82"/>
    <w:rsid w:val="00D14FAF"/>
    <w:rsid w:val="00D14FE5"/>
    <w:rsid w:val="00D14FFD"/>
    <w:rsid w:val="00D15660"/>
    <w:rsid w:val="00D1568B"/>
    <w:rsid w:val="00D157D5"/>
    <w:rsid w:val="00D158F7"/>
    <w:rsid w:val="00D15B48"/>
    <w:rsid w:val="00D15CFB"/>
    <w:rsid w:val="00D15D8D"/>
    <w:rsid w:val="00D15E5A"/>
    <w:rsid w:val="00D15EB6"/>
    <w:rsid w:val="00D15EEE"/>
    <w:rsid w:val="00D1613A"/>
    <w:rsid w:val="00D16276"/>
    <w:rsid w:val="00D1629A"/>
    <w:rsid w:val="00D1641D"/>
    <w:rsid w:val="00D164E7"/>
    <w:rsid w:val="00D165D4"/>
    <w:rsid w:val="00D16750"/>
    <w:rsid w:val="00D167E2"/>
    <w:rsid w:val="00D168A6"/>
    <w:rsid w:val="00D1696D"/>
    <w:rsid w:val="00D16A7B"/>
    <w:rsid w:val="00D16BCE"/>
    <w:rsid w:val="00D17095"/>
    <w:rsid w:val="00D1745A"/>
    <w:rsid w:val="00D17646"/>
    <w:rsid w:val="00D1771C"/>
    <w:rsid w:val="00D1773C"/>
    <w:rsid w:val="00D1786C"/>
    <w:rsid w:val="00D178F1"/>
    <w:rsid w:val="00D17AA4"/>
    <w:rsid w:val="00D17CD7"/>
    <w:rsid w:val="00D17FBB"/>
    <w:rsid w:val="00D202D7"/>
    <w:rsid w:val="00D202FA"/>
    <w:rsid w:val="00D202FE"/>
    <w:rsid w:val="00D205A7"/>
    <w:rsid w:val="00D2069A"/>
    <w:rsid w:val="00D206CC"/>
    <w:rsid w:val="00D20747"/>
    <w:rsid w:val="00D2083B"/>
    <w:rsid w:val="00D209CE"/>
    <w:rsid w:val="00D20A6A"/>
    <w:rsid w:val="00D20AB9"/>
    <w:rsid w:val="00D20BBA"/>
    <w:rsid w:val="00D20C51"/>
    <w:rsid w:val="00D20E5A"/>
    <w:rsid w:val="00D21502"/>
    <w:rsid w:val="00D215BC"/>
    <w:rsid w:val="00D2180E"/>
    <w:rsid w:val="00D2196E"/>
    <w:rsid w:val="00D21A50"/>
    <w:rsid w:val="00D21E55"/>
    <w:rsid w:val="00D220ED"/>
    <w:rsid w:val="00D22197"/>
    <w:rsid w:val="00D222D4"/>
    <w:rsid w:val="00D222DD"/>
    <w:rsid w:val="00D22421"/>
    <w:rsid w:val="00D22F6F"/>
    <w:rsid w:val="00D22FA0"/>
    <w:rsid w:val="00D23154"/>
    <w:rsid w:val="00D234C9"/>
    <w:rsid w:val="00D236B4"/>
    <w:rsid w:val="00D23750"/>
    <w:rsid w:val="00D23924"/>
    <w:rsid w:val="00D23950"/>
    <w:rsid w:val="00D23953"/>
    <w:rsid w:val="00D23AC7"/>
    <w:rsid w:val="00D23C5A"/>
    <w:rsid w:val="00D23C8E"/>
    <w:rsid w:val="00D23CD4"/>
    <w:rsid w:val="00D23CED"/>
    <w:rsid w:val="00D2403E"/>
    <w:rsid w:val="00D24182"/>
    <w:rsid w:val="00D241BC"/>
    <w:rsid w:val="00D242B1"/>
    <w:rsid w:val="00D243A2"/>
    <w:rsid w:val="00D243B6"/>
    <w:rsid w:val="00D2444A"/>
    <w:rsid w:val="00D2446E"/>
    <w:rsid w:val="00D244C1"/>
    <w:rsid w:val="00D24D56"/>
    <w:rsid w:val="00D24EE9"/>
    <w:rsid w:val="00D2517E"/>
    <w:rsid w:val="00D2517F"/>
    <w:rsid w:val="00D25244"/>
    <w:rsid w:val="00D25494"/>
    <w:rsid w:val="00D25541"/>
    <w:rsid w:val="00D25EF5"/>
    <w:rsid w:val="00D26332"/>
    <w:rsid w:val="00D26567"/>
    <w:rsid w:val="00D26590"/>
    <w:rsid w:val="00D26792"/>
    <w:rsid w:val="00D267AB"/>
    <w:rsid w:val="00D26A1A"/>
    <w:rsid w:val="00D26A1F"/>
    <w:rsid w:val="00D26A69"/>
    <w:rsid w:val="00D26B11"/>
    <w:rsid w:val="00D26C13"/>
    <w:rsid w:val="00D26CEE"/>
    <w:rsid w:val="00D26E00"/>
    <w:rsid w:val="00D26F66"/>
    <w:rsid w:val="00D27069"/>
    <w:rsid w:val="00D27313"/>
    <w:rsid w:val="00D27628"/>
    <w:rsid w:val="00D27858"/>
    <w:rsid w:val="00D278A2"/>
    <w:rsid w:val="00D278A7"/>
    <w:rsid w:val="00D2793F"/>
    <w:rsid w:val="00D27A78"/>
    <w:rsid w:val="00D27B67"/>
    <w:rsid w:val="00D27B6E"/>
    <w:rsid w:val="00D27BE6"/>
    <w:rsid w:val="00D27C7C"/>
    <w:rsid w:val="00D27CE6"/>
    <w:rsid w:val="00D27D5D"/>
    <w:rsid w:val="00D30075"/>
    <w:rsid w:val="00D30106"/>
    <w:rsid w:val="00D301B3"/>
    <w:rsid w:val="00D302CC"/>
    <w:rsid w:val="00D3033B"/>
    <w:rsid w:val="00D306CF"/>
    <w:rsid w:val="00D307C7"/>
    <w:rsid w:val="00D308A4"/>
    <w:rsid w:val="00D308A6"/>
    <w:rsid w:val="00D308CA"/>
    <w:rsid w:val="00D30DB6"/>
    <w:rsid w:val="00D30DE6"/>
    <w:rsid w:val="00D30EF2"/>
    <w:rsid w:val="00D312B5"/>
    <w:rsid w:val="00D31351"/>
    <w:rsid w:val="00D31374"/>
    <w:rsid w:val="00D31379"/>
    <w:rsid w:val="00D3151A"/>
    <w:rsid w:val="00D31542"/>
    <w:rsid w:val="00D315C8"/>
    <w:rsid w:val="00D316CD"/>
    <w:rsid w:val="00D31AA0"/>
    <w:rsid w:val="00D31BEF"/>
    <w:rsid w:val="00D31D56"/>
    <w:rsid w:val="00D31DD0"/>
    <w:rsid w:val="00D31DFA"/>
    <w:rsid w:val="00D31E1C"/>
    <w:rsid w:val="00D31F81"/>
    <w:rsid w:val="00D32009"/>
    <w:rsid w:val="00D3203C"/>
    <w:rsid w:val="00D320BE"/>
    <w:rsid w:val="00D321E3"/>
    <w:rsid w:val="00D3220D"/>
    <w:rsid w:val="00D322E1"/>
    <w:rsid w:val="00D32366"/>
    <w:rsid w:val="00D32402"/>
    <w:rsid w:val="00D325AF"/>
    <w:rsid w:val="00D3273B"/>
    <w:rsid w:val="00D327C8"/>
    <w:rsid w:val="00D32843"/>
    <w:rsid w:val="00D328A9"/>
    <w:rsid w:val="00D32A1F"/>
    <w:rsid w:val="00D32C33"/>
    <w:rsid w:val="00D32C89"/>
    <w:rsid w:val="00D32CE9"/>
    <w:rsid w:val="00D32DCB"/>
    <w:rsid w:val="00D32E41"/>
    <w:rsid w:val="00D32EA3"/>
    <w:rsid w:val="00D32FDA"/>
    <w:rsid w:val="00D337A2"/>
    <w:rsid w:val="00D337E3"/>
    <w:rsid w:val="00D33848"/>
    <w:rsid w:val="00D3394B"/>
    <w:rsid w:val="00D33A71"/>
    <w:rsid w:val="00D33AFF"/>
    <w:rsid w:val="00D33FB2"/>
    <w:rsid w:val="00D33FD7"/>
    <w:rsid w:val="00D34089"/>
    <w:rsid w:val="00D340A0"/>
    <w:rsid w:val="00D34139"/>
    <w:rsid w:val="00D341BF"/>
    <w:rsid w:val="00D34237"/>
    <w:rsid w:val="00D34248"/>
    <w:rsid w:val="00D345E5"/>
    <w:rsid w:val="00D345E8"/>
    <w:rsid w:val="00D34765"/>
    <w:rsid w:val="00D34A36"/>
    <w:rsid w:val="00D34B09"/>
    <w:rsid w:val="00D34B0B"/>
    <w:rsid w:val="00D34B4E"/>
    <w:rsid w:val="00D34B8E"/>
    <w:rsid w:val="00D34C33"/>
    <w:rsid w:val="00D34CC5"/>
    <w:rsid w:val="00D35047"/>
    <w:rsid w:val="00D3505C"/>
    <w:rsid w:val="00D353A6"/>
    <w:rsid w:val="00D35652"/>
    <w:rsid w:val="00D3579D"/>
    <w:rsid w:val="00D35A75"/>
    <w:rsid w:val="00D35CAA"/>
    <w:rsid w:val="00D35D3C"/>
    <w:rsid w:val="00D35D40"/>
    <w:rsid w:val="00D35E9B"/>
    <w:rsid w:val="00D35F6B"/>
    <w:rsid w:val="00D36132"/>
    <w:rsid w:val="00D36352"/>
    <w:rsid w:val="00D36393"/>
    <w:rsid w:val="00D363CA"/>
    <w:rsid w:val="00D363FA"/>
    <w:rsid w:val="00D36560"/>
    <w:rsid w:val="00D367FA"/>
    <w:rsid w:val="00D36EFC"/>
    <w:rsid w:val="00D3718C"/>
    <w:rsid w:val="00D371F6"/>
    <w:rsid w:val="00D3731E"/>
    <w:rsid w:val="00D37388"/>
    <w:rsid w:val="00D37519"/>
    <w:rsid w:val="00D37554"/>
    <w:rsid w:val="00D37639"/>
    <w:rsid w:val="00D37722"/>
    <w:rsid w:val="00D37979"/>
    <w:rsid w:val="00D37B69"/>
    <w:rsid w:val="00D37D28"/>
    <w:rsid w:val="00D37E2D"/>
    <w:rsid w:val="00D400BE"/>
    <w:rsid w:val="00D400FA"/>
    <w:rsid w:val="00D40180"/>
    <w:rsid w:val="00D401CF"/>
    <w:rsid w:val="00D402BC"/>
    <w:rsid w:val="00D40325"/>
    <w:rsid w:val="00D404D2"/>
    <w:rsid w:val="00D40679"/>
    <w:rsid w:val="00D40789"/>
    <w:rsid w:val="00D4088F"/>
    <w:rsid w:val="00D4098E"/>
    <w:rsid w:val="00D40A05"/>
    <w:rsid w:val="00D40D46"/>
    <w:rsid w:val="00D40D83"/>
    <w:rsid w:val="00D40F05"/>
    <w:rsid w:val="00D411CE"/>
    <w:rsid w:val="00D4127A"/>
    <w:rsid w:val="00D41355"/>
    <w:rsid w:val="00D41593"/>
    <w:rsid w:val="00D41611"/>
    <w:rsid w:val="00D41C1C"/>
    <w:rsid w:val="00D41C99"/>
    <w:rsid w:val="00D41CB1"/>
    <w:rsid w:val="00D41ECA"/>
    <w:rsid w:val="00D41F32"/>
    <w:rsid w:val="00D41FAE"/>
    <w:rsid w:val="00D41FB0"/>
    <w:rsid w:val="00D421D2"/>
    <w:rsid w:val="00D422E0"/>
    <w:rsid w:val="00D424B6"/>
    <w:rsid w:val="00D4269A"/>
    <w:rsid w:val="00D42789"/>
    <w:rsid w:val="00D4296C"/>
    <w:rsid w:val="00D42AE8"/>
    <w:rsid w:val="00D42AF5"/>
    <w:rsid w:val="00D42C29"/>
    <w:rsid w:val="00D42CF9"/>
    <w:rsid w:val="00D42DE5"/>
    <w:rsid w:val="00D42E92"/>
    <w:rsid w:val="00D42EA7"/>
    <w:rsid w:val="00D431FF"/>
    <w:rsid w:val="00D432EE"/>
    <w:rsid w:val="00D433B4"/>
    <w:rsid w:val="00D43557"/>
    <w:rsid w:val="00D435EF"/>
    <w:rsid w:val="00D436A6"/>
    <w:rsid w:val="00D43B9F"/>
    <w:rsid w:val="00D43C9F"/>
    <w:rsid w:val="00D43D33"/>
    <w:rsid w:val="00D43D82"/>
    <w:rsid w:val="00D4416D"/>
    <w:rsid w:val="00D44230"/>
    <w:rsid w:val="00D444D7"/>
    <w:rsid w:val="00D44911"/>
    <w:rsid w:val="00D449A2"/>
    <w:rsid w:val="00D44BD8"/>
    <w:rsid w:val="00D4501C"/>
    <w:rsid w:val="00D450E0"/>
    <w:rsid w:val="00D452F9"/>
    <w:rsid w:val="00D453D9"/>
    <w:rsid w:val="00D4548C"/>
    <w:rsid w:val="00D45636"/>
    <w:rsid w:val="00D456BC"/>
    <w:rsid w:val="00D45707"/>
    <w:rsid w:val="00D45741"/>
    <w:rsid w:val="00D45792"/>
    <w:rsid w:val="00D45900"/>
    <w:rsid w:val="00D45910"/>
    <w:rsid w:val="00D459E9"/>
    <w:rsid w:val="00D45B34"/>
    <w:rsid w:val="00D45C94"/>
    <w:rsid w:val="00D45E51"/>
    <w:rsid w:val="00D45ECF"/>
    <w:rsid w:val="00D45EF0"/>
    <w:rsid w:val="00D45EFF"/>
    <w:rsid w:val="00D4626E"/>
    <w:rsid w:val="00D46319"/>
    <w:rsid w:val="00D4637B"/>
    <w:rsid w:val="00D46382"/>
    <w:rsid w:val="00D464BC"/>
    <w:rsid w:val="00D465AE"/>
    <w:rsid w:val="00D4662E"/>
    <w:rsid w:val="00D46962"/>
    <w:rsid w:val="00D469A2"/>
    <w:rsid w:val="00D46A80"/>
    <w:rsid w:val="00D46B53"/>
    <w:rsid w:val="00D46C08"/>
    <w:rsid w:val="00D46C13"/>
    <w:rsid w:val="00D46E16"/>
    <w:rsid w:val="00D46E83"/>
    <w:rsid w:val="00D46EE1"/>
    <w:rsid w:val="00D46FFB"/>
    <w:rsid w:val="00D470C1"/>
    <w:rsid w:val="00D471BF"/>
    <w:rsid w:val="00D4724D"/>
    <w:rsid w:val="00D47366"/>
    <w:rsid w:val="00D47415"/>
    <w:rsid w:val="00D477CE"/>
    <w:rsid w:val="00D478CB"/>
    <w:rsid w:val="00D4794A"/>
    <w:rsid w:val="00D479E0"/>
    <w:rsid w:val="00D479E4"/>
    <w:rsid w:val="00D47C00"/>
    <w:rsid w:val="00D47FD1"/>
    <w:rsid w:val="00D50127"/>
    <w:rsid w:val="00D50218"/>
    <w:rsid w:val="00D50457"/>
    <w:rsid w:val="00D5046F"/>
    <w:rsid w:val="00D507C5"/>
    <w:rsid w:val="00D50816"/>
    <w:rsid w:val="00D508BC"/>
    <w:rsid w:val="00D50983"/>
    <w:rsid w:val="00D509E6"/>
    <w:rsid w:val="00D50A8A"/>
    <w:rsid w:val="00D50B40"/>
    <w:rsid w:val="00D50BAE"/>
    <w:rsid w:val="00D50C4D"/>
    <w:rsid w:val="00D50CE0"/>
    <w:rsid w:val="00D50CE5"/>
    <w:rsid w:val="00D50E27"/>
    <w:rsid w:val="00D511B7"/>
    <w:rsid w:val="00D5126F"/>
    <w:rsid w:val="00D512C4"/>
    <w:rsid w:val="00D51392"/>
    <w:rsid w:val="00D516FA"/>
    <w:rsid w:val="00D5172A"/>
    <w:rsid w:val="00D51807"/>
    <w:rsid w:val="00D5188F"/>
    <w:rsid w:val="00D51B17"/>
    <w:rsid w:val="00D51B32"/>
    <w:rsid w:val="00D51C3B"/>
    <w:rsid w:val="00D51DC3"/>
    <w:rsid w:val="00D51DF8"/>
    <w:rsid w:val="00D51FBA"/>
    <w:rsid w:val="00D5205F"/>
    <w:rsid w:val="00D52134"/>
    <w:rsid w:val="00D52507"/>
    <w:rsid w:val="00D5259A"/>
    <w:rsid w:val="00D52711"/>
    <w:rsid w:val="00D52811"/>
    <w:rsid w:val="00D52835"/>
    <w:rsid w:val="00D52837"/>
    <w:rsid w:val="00D5290F"/>
    <w:rsid w:val="00D530B2"/>
    <w:rsid w:val="00D5322F"/>
    <w:rsid w:val="00D532E3"/>
    <w:rsid w:val="00D53499"/>
    <w:rsid w:val="00D535CF"/>
    <w:rsid w:val="00D536B2"/>
    <w:rsid w:val="00D53746"/>
    <w:rsid w:val="00D53944"/>
    <w:rsid w:val="00D53C2C"/>
    <w:rsid w:val="00D53D7B"/>
    <w:rsid w:val="00D54198"/>
    <w:rsid w:val="00D543FE"/>
    <w:rsid w:val="00D5448A"/>
    <w:rsid w:val="00D5462E"/>
    <w:rsid w:val="00D54B6C"/>
    <w:rsid w:val="00D54B93"/>
    <w:rsid w:val="00D54C79"/>
    <w:rsid w:val="00D54F96"/>
    <w:rsid w:val="00D550DB"/>
    <w:rsid w:val="00D5537C"/>
    <w:rsid w:val="00D554E7"/>
    <w:rsid w:val="00D5567E"/>
    <w:rsid w:val="00D5596F"/>
    <w:rsid w:val="00D559A5"/>
    <w:rsid w:val="00D55DCE"/>
    <w:rsid w:val="00D55E91"/>
    <w:rsid w:val="00D55EA5"/>
    <w:rsid w:val="00D55F26"/>
    <w:rsid w:val="00D55F44"/>
    <w:rsid w:val="00D56227"/>
    <w:rsid w:val="00D5657E"/>
    <w:rsid w:val="00D565F8"/>
    <w:rsid w:val="00D56627"/>
    <w:rsid w:val="00D566EA"/>
    <w:rsid w:val="00D569A8"/>
    <w:rsid w:val="00D569E5"/>
    <w:rsid w:val="00D56C02"/>
    <w:rsid w:val="00D56C41"/>
    <w:rsid w:val="00D56D71"/>
    <w:rsid w:val="00D56E55"/>
    <w:rsid w:val="00D56FFB"/>
    <w:rsid w:val="00D570C1"/>
    <w:rsid w:val="00D5718C"/>
    <w:rsid w:val="00D57194"/>
    <w:rsid w:val="00D57299"/>
    <w:rsid w:val="00D5744F"/>
    <w:rsid w:val="00D57522"/>
    <w:rsid w:val="00D576E0"/>
    <w:rsid w:val="00D579DC"/>
    <w:rsid w:val="00D57A56"/>
    <w:rsid w:val="00D57DB7"/>
    <w:rsid w:val="00D57E09"/>
    <w:rsid w:val="00D601C9"/>
    <w:rsid w:val="00D601FD"/>
    <w:rsid w:val="00D6023A"/>
    <w:rsid w:val="00D60288"/>
    <w:rsid w:val="00D602F1"/>
    <w:rsid w:val="00D6033A"/>
    <w:rsid w:val="00D6050B"/>
    <w:rsid w:val="00D6051F"/>
    <w:rsid w:val="00D6070F"/>
    <w:rsid w:val="00D60838"/>
    <w:rsid w:val="00D608F4"/>
    <w:rsid w:val="00D60993"/>
    <w:rsid w:val="00D609B0"/>
    <w:rsid w:val="00D60BF7"/>
    <w:rsid w:val="00D60D2F"/>
    <w:rsid w:val="00D60D7E"/>
    <w:rsid w:val="00D60E18"/>
    <w:rsid w:val="00D60E2F"/>
    <w:rsid w:val="00D60ED4"/>
    <w:rsid w:val="00D610A0"/>
    <w:rsid w:val="00D61398"/>
    <w:rsid w:val="00D6170E"/>
    <w:rsid w:val="00D617BE"/>
    <w:rsid w:val="00D61956"/>
    <w:rsid w:val="00D619BB"/>
    <w:rsid w:val="00D61BC2"/>
    <w:rsid w:val="00D61BCB"/>
    <w:rsid w:val="00D61BE9"/>
    <w:rsid w:val="00D6207A"/>
    <w:rsid w:val="00D6226B"/>
    <w:rsid w:val="00D62416"/>
    <w:rsid w:val="00D62482"/>
    <w:rsid w:val="00D624FA"/>
    <w:rsid w:val="00D62587"/>
    <w:rsid w:val="00D625DF"/>
    <w:rsid w:val="00D62644"/>
    <w:rsid w:val="00D627E5"/>
    <w:rsid w:val="00D6288C"/>
    <w:rsid w:val="00D62AE3"/>
    <w:rsid w:val="00D62BF1"/>
    <w:rsid w:val="00D62D26"/>
    <w:rsid w:val="00D62E2B"/>
    <w:rsid w:val="00D6319D"/>
    <w:rsid w:val="00D63339"/>
    <w:rsid w:val="00D63357"/>
    <w:rsid w:val="00D635B3"/>
    <w:rsid w:val="00D63621"/>
    <w:rsid w:val="00D636A9"/>
    <w:rsid w:val="00D63803"/>
    <w:rsid w:val="00D63A5C"/>
    <w:rsid w:val="00D63A8E"/>
    <w:rsid w:val="00D63B68"/>
    <w:rsid w:val="00D63C31"/>
    <w:rsid w:val="00D63D9C"/>
    <w:rsid w:val="00D63DCD"/>
    <w:rsid w:val="00D63F6C"/>
    <w:rsid w:val="00D6424A"/>
    <w:rsid w:val="00D64310"/>
    <w:rsid w:val="00D64874"/>
    <w:rsid w:val="00D648CB"/>
    <w:rsid w:val="00D64BF6"/>
    <w:rsid w:val="00D64BFB"/>
    <w:rsid w:val="00D64D7D"/>
    <w:rsid w:val="00D64D98"/>
    <w:rsid w:val="00D65260"/>
    <w:rsid w:val="00D65372"/>
    <w:rsid w:val="00D65414"/>
    <w:rsid w:val="00D6598F"/>
    <w:rsid w:val="00D65CB0"/>
    <w:rsid w:val="00D65E55"/>
    <w:rsid w:val="00D65EA8"/>
    <w:rsid w:val="00D65F7D"/>
    <w:rsid w:val="00D66031"/>
    <w:rsid w:val="00D6618C"/>
    <w:rsid w:val="00D662CE"/>
    <w:rsid w:val="00D666C7"/>
    <w:rsid w:val="00D666C9"/>
    <w:rsid w:val="00D66A1C"/>
    <w:rsid w:val="00D66B2D"/>
    <w:rsid w:val="00D66B82"/>
    <w:rsid w:val="00D66BF2"/>
    <w:rsid w:val="00D66C3C"/>
    <w:rsid w:val="00D66C41"/>
    <w:rsid w:val="00D66CC2"/>
    <w:rsid w:val="00D66DB2"/>
    <w:rsid w:val="00D66DDA"/>
    <w:rsid w:val="00D66DFD"/>
    <w:rsid w:val="00D66EEF"/>
    <w:rsid w:val="00D66FAE"/>
    <w:rsid w:val="00D672FF"/>
    <w:rsid w:val="00D67319"/>
    <w:rsid w:val="00D673AD"/>
    <w:rsid w:val="00D673D7"/>
    <w:rsid w:val="00D6741A"/>
    <w:rsid w:val="00D67673"/>
    <w:rsid w:val="00D67699"/>
    <w:rsid w:val="00D677E4"/>
    <w:rsid w:val="00D67843"/>
    <w:rsid w:val="00D6790D"/>
    <w:rsid w:val="00D679D9"/>
    <w:rsid w:val="00D67A96"/>
    <w:rsid w:val="00D67B07"/>
    <w:rsid w:val="00D67CE8"/>
    <w:rsid w:val="00D67E72"/>
    <w:rsid w:val="00D67EA9"/>
    <w:rsid w:val="00D70135"/>
    <w:rsid w:val="00D70162"/>
    <w:rsid w:val="00D70165"/>
    <w:rsid w:val="00D70247"/>
    <w:rsid w:val="00D703C9"/>
    <w:rsid w:val="00D70421"/>
    <w:rsid w:val="00D70431"/>
    <w:rsid w:val="00D705BD"/>
    <w:rsid w:val="00D705C0"/>
    <w:rsid w:val="00D706EC"/>
    <w:rsid w:val="00D70835"/>
    <w:rsid w:val="00D70855"/>
    <w:rsid w:val="00D709E2"/>
    <w:rsid w:val="00D70CF6"/>
    <w:rsid w:val="00D70DE5"/>
    <w:rsid w:val="00D70E0E"/>
    <w:rsid w:val="00D71329"/>
    <w:rsid w:val="00D713DC"/>
    <w:rsid w:val="00D718BB"/>
    <w:rsid w:val="00D718EA"/>
    <w:rsid w:val="00D71970"/>
    <w:rsid w:val="00D71983"/>
    <w:rsid w:val="00D7198B"/>
    <w:rsid w:val="00D71AB9"/>
    <w:rsid w:val="00D71D42"/>
    <w:rsid w:val="00D71D83"/>
    <w:rsid w:val="00D71DA8"/>
    <w:rsid w:val="00D71DB3"/>
    <w:rsid w:val="00D7205E"/>
    <w:rsid w:val="00D7224F"/>
    <w:rsid w:val="00D722C5"/>
    <w:rsid w:val="00D724B7"/>
    <w:rsid w:val="00D72558"/>
    <w:rsid w:val="00D72665"/>
    <w:rsid w:val="00D726A2"/>
    <w:rsid w:val="00D726D8"/>
    <w:rsid w:val="00D72759"/>
    <w:rsid w:val="00D7293E"/>
    <w:rsid w:val="00D7299E"/>
    <w:rsid w:val="00D72A57"/>
    <w:rsid w:val="00D72B36"/>
    <w:rsid w:val="00D72C27"/>
    <w:rsid w:val="00D72D4A"/>
    <w:rsid w:val="00D72D6C"/>
    <w:rsid w:val="00D72DDA"/>
    <w:rsid w:val="00D72F85"/>
    <w:rsid w:val="00D72FC9"/>
    <w:rsid w:val="00D73005"/>
    <w:rsid w:val="00D73210"/>
    <w:rsid w:val="00D7327A"/>
    <w:rsid w:val="00D7327E"/>
    <w:rsid w:val="00D7352E"/>
    <w:rsid w:val="00D7355A"/>
    <w:rsid w:val="00D737BE"/>
    <w:rsid w:val="00D73B59"/>
    <w:rsid w:val="00D73B73"/>
    <w:rsid w:val="00D73BD6"/>
    <w:rsid w:val="00D73C78"/>
    <w:rsid w:val="00D73CF9"/>
    <w:rsid w:val="00D74099"/>
    <w:rsid w:val="00D741E8"/>
    <w:rsid w:val="00D7422D"/>
    <w:rsid w:val="00D7425B"/>
    <w:rsid w:val="00D7437B"/>
    <w:rsid w:val="00D744A6"/>
    <w:rsid w:val="00D7486A"/>
    <w:rsid w:val="00D74BCE"/>
    <w:rsid w:val="00D74D98"/>
    <w:rsid w:val="00D75031"/>
    <w:rsid w:val="00D7506D"/>
    <w:rsid w:val="00D750CF"/>
    <w:rsid w:val="00D75112"/>
    <w:rsid w:val="00D75206"/>
    <w:rsid w:val="00D75570"/>
    <w:rsid w:val="00D75583"/>
    <w:rsid w:val="00D7575A"/>
    <w:rsid w:val="00D75AFB"/>
    <w:rsid w:val="00D75CEB"/>
    <w:rsid w:val="00D75D5E"/>
    <w:rsid w:val="00D75DB6"/>
    <w:rsid w:val="00D75E15"/>
    <w:rsid w:val="00D75E3F"/>
    <w:rsid w:val="00D75E47"/>
    <w:rsid w:val="00D760FE"/>
    <w:rsid w:val="00D7627D"/>
    <w:rsid w:val="00D7641F"/>
    <w:rsid w:val="00D764D4"/>
    <w:rsid w:val="00D76544"/>
    <w:rsid w:val="00D765FB"/>
    <w:rsid w:val="00D768DF"/>
    <w:rsid w:val="00D769A1"/>
    <w:rsid w:val="00D76AE0"/>
    <w:rsid w:val="00D76C23"/>
    <w:rsid w:val="00D76C86"/>
    <w:rsid w:val="00D7705A"/>
    <w:rsid w:val="00D77246"/>
    <w:rsid w:val="00D77322"/>
    <w:rsid w:val="00D7739E"/>
    <w:rsid w:val="00D77417"/>
    <w:rsid w:val="00D774FE"/>
    <w:rsid w:val="00D77548"/>
    <w:rsid w:val="00D77587"/>
    <w:rsid w:val="00D77658"/>
    <w:rsid w:val="00D77668"/>
    <w:rsid w:val="00D776B0"/>
    <w:rsid w:val="00D777DE"/>
    <w:rsid w:val="00D77CAF"/>
    <w:rsid w:val="00D77DE9"/>
    <w:rsid w:val="00D77FAB"/>
    <w:rsid w:val="00D77FF1"/>
    <w:rsid w:val="00D8013B"/>
    <w:rsid w:val="00D80144"/>
    <w:rsid w:val="00D80197"/>
    <w:rsid w:val="00D80221"/>
    <w:rsid w:val="00D80448"/>
    <w:rsid w:val="00D8065B"/>
    <w:rsid w:val="00D806CE"/>
    <w:rsid w:val="00D806E7"/>
    <w:rsid w:val="00D80759"/>
    <w:rsid w:val="00D8076C"/>
    <w:rsid w:val="00D808F5"/>
    <w:rsid w:val="00D80A0D"/>
    <w:rsid w:val="00D80AC8"/>
    <w:rsid w:val="00D80C82"/>
    <w:rsid w:val="00D80CC1"/>
    <w:rsid w:val="00D80CF2"/>
    <w:rsid w:val="00D80DC4"/>
    <w:rsid w:val="00D80DD7"/>
    <w:rsid w:val="00D80EA0"/>
    <w:rsid w:val="00D80EF1"/>
    <w:rsid w:val="00D80F41"/>
    <w:rsid w:val="00D80FBA"/>
    <w:rsid w:val="00D80FD5"/>
    <w:rsid w:val="00D812AF"/>
    <w:rsid w:val="00D81449"/>
    <w:rsid w:val="00D8171D"/>
    <w:rsid w:val="00D81837"/>
    <w:rsid w:val="00D81908"/>
    <w:rsid w:val="00D81933"/>
    <w:rsid w:val="00D81977"/>
    <w:rsid w:val="00D819D2"/>
    <w:rsid w:val="00D81DE3"/>
    <w:rsid w:val="00D81ED6"/>
    <w:rsid w:val="00D82013"/>
    <w:rsid w:val="00D821DC"/>
    <w:rsid w:val="00D821F6"/>
    <w:rsid w:val="00D82246"/>
    <w:rsid w:val="00D82355"/>
    <w:rsid w:val="00D824B0"/>
    <w:rsid w:val="00D82880"/>
    <w:rsid w:val="00D8298F"/>
    <w:rsid w:val="00D82AB9"/>
    <w:rsid w:val="00D831AF"/>
    <w:rsid w:val="00D8343E"/>
    <w:rsid w:val="00D83504"/>
    <w:rsid w:val="00D83657"/>
    <w:rsid w:val="00D837C8"/>
    <w:rsid w:val="00D837E7"/>
    <w:rsid w:val="00D83968"/>
    <w:rsid w:val="00D83CC4"/>
    <w:rsid w:val="00D83DD4"/>
    <w:rsid w:val="00D83E2F"/>
    <w:rsid w:val="00D83F26"/>
    <w:rsid w:val="00D84073"/>
    <w:rsid w:val="00D840B5"/>
    <w:rsid w:val="00D840FA"/>
    <w:rsid w:val="00D84122"/>
    <w:rsid w:val="00D8417F"/>
    <w:rsid w:val="00D8432C"/>
    <w:rsid w:val="00D84418"/>
    <w:rsid w:val="00D84565"/>
    <w:rsid w:val="00D8460C"/>
    <w:rsid w:val="00D84670"/>
    <w:rsid w:val="00D84683"/>
    <w:rsid w:val="00D846BC"/>
    <w:rsid w:val="00D848AC"/>
    <w:rsid w:val="00D84B16"/>
    <w:rsid w:val="00D84B17"/>
    <w:rsid w:val="00D84B72"/>
    <w:rsid w:val="00D84C12"/>
    <w:rsid w:val="00D84C9F"/>
    <w:rsid w:val="00D851A2"/>
    <w:rsid w:val="00D8533A"/>
    <w:rsid w:val="00D85754"/>
    <w:rsid w:val="00D85AE6"/>
    <w:rsid w:val="00D85C29"/>
    <w:rsid w:val="00D85C65"/>
    <w:rsid w:val="00D85CE6"/>
    <w:rsid w:val="00D85DDD"/>
    <w:rsid w:val="00D85F07"/>
    <w:rsid w:val="00D85FAE"/>
    <w:rsid w:val="00D860EB"/>
    <w:rsid w:val="00D860F0"/>
    <w:rsid w:val="00D86159"/>
    <w:rsid w:val="00D861CA"/>
    <w:rsid w:val="00D8656A"/>
    <w:rsid w:val="00D86703"/>
    <w:rsid w:val="00D867B2"/>
    <w:rsid w:val="00D86979"/>
    <w:rsid w:val="00D869F1"/>
    <w:rsid w:val="00D86A27"/>
    <w:rsid w:val="00D86A43"/>
    <w:rsid w:val="00D86C8F"/>
    <w:rsid w:val="00D86CE7"/>
    <w:rsid w:val="00D87281"/>
    <w:rsid w:val="00D872B7"/>
    <w:rsid w:val="00D87313"/>
    <w:rsid w:val="00D875EF"/>
    <w:rsid w:val="00D876D9"/>
    <w:rsid w:val="00D877BF"/>
    <w:rsid w:val="00D87909"/>
    <w:rsid w:val="00D879F3"/>
    <w:rsid w:val="00D87C5E"/>
    <w:rsid w:val="00D87C63"/>
    <w:rsid w:val="00D87D73"/>
    <w:rsid w:val="00D87DE9"/>
    <w:rsid w:val="00D87E05"/>
    <w:rsid w:val="00D87E0D"/>
    <w:rsid w:val="00D87FB2"/>
    <w:rsid w:val="00D90353"/>
    <w:rsid w:val="00D90367"/>
    <w:rsid w:val="00D90499"/>
    <w:rsid w:val="00D905EB"/>
    <w:rsid w:val="00D90663"/>
    <w:rsid w:val="00D907D6"/>
    <w:rsid w:val="00D90A7D"/>
    <w:rsid w:val="00D90A8C"/>
    <w:rsid w:val="00D90B02"/>
    <w:rsid w:val="00D90BE8"/>
    <w:rsid w:val="00D90C74"/>
    <w:rsid w:val="00D90CDF"/>
    <w:rsid w:val="00D90D03"/>
    <w:rsid w:val="00D90DFC"/>
    <w:rsid w:val="00D90E1C"/>
    <w:rsid w:val="00D911DC"/>
    <w:rsid w:val="00D91319"/>
    <w:rsid w:val="00D91680"/>
    <w:rsid w:val="00D916D4"/>
    <w:rsid w:val="00D91798"/>
    <w:rsid w:val="00D917FC"/>
    <w:rsid w:val="00D91949"/>
    <w:rsid w:val="00D919F9"/>
    <w:rsid w:val="00D91A97"/>
    <w:rsid w:val="00D91C47"/>
    <w:rsid w:val="00D91D2B"/>
    <w:rsid w:val="00D91F07"/>
    <w:rsid w:val="00D92116"/>
    <w:rsid w:val="00D92202"/>
    <w:rsid w:val="00D9236F"/>
    <w:rsid w:val="00D92451"/>
    <w:rsid w:val="00D925BB"/>
    <w:rsid w:val="00D92607"/>
    <w:rsid w:val="00D92661"/>
    <w:rsid w:val="00D92694"/>
    <w:rsid w:val="00D926D0"/>
    <w:rsid w:val="00D929AB"/>
    <w:rsid w:val="00D92A8F"/>
    <w:rsid w:val="00D92A9D"/>
    <w:rsid w:val="00D92B98"/>
    <w:rsid w:val="00D92B99"/>
    <w:rsid w:val="00D92CFE"/>
    <w:rsid w:val="00D92DDE"/>
    <w:rsid w:val="00D92E03"/>
    <w:rsid w:val="00D92F92"/>
    <w:rsid w:val="00D92FD1"/>
    <w:rsid w:val="00D930D3"/>
    <w:rsid w:val="00D9328A"/>
    <w:rsid w:val="00D93373"/>
    <w:rsid w:val="00D934A1"/>
    <w:rsid w:val="00D93817"/>
    <w:rsid w:val="00D938E6"/>
    <w:rsid w:val="00D939D3"/>
    <w:rsid w:val="00D93B51"/>
    <w:rsid w:val="00D93B62"/>
    <w:rsid w:val="00D93C69"/>
    <w:rsid w:val="00D93C8A"/>
    <w:rsid w:val="00D93CAF"/>
    <w:rsid w:val="00D93D22"/>
    <w:rsid w:val="00D93D55"/>
    <w:rsid w:val="00D93D63"/>
    <w:rsid w:val="00D94050"/>
    <w:rsid w:val="00D94143"/>
    <w:rsid w:val="00D941D8"/>
    <w:rsid w:val="00D94288"/>
    <w:rsid w:val="00D947BC"/>
    <w:rsid w:val="00D947F9"/>
    <w:rsid w:val="00D9480F"/>
    <w:rsid w:val="00D9493A"/>
    <w:rsid w:val="00D94A4A"/>
    <w:rsid w:val="00D94B33"/>
    <w:rsid w:val="00D94B7A"/>
    <w:rsid w:val="00D94C52"/>
    <w:rsid w:val="00D94D79"/>
    <w:rsid w:val="00D94DFC"/>
    <w:rsid w:val="00D94E8F"/>
    <w:rsid w:val="00D94E94"/>
    <w:rsid w:val="00D94EF0"/>
    <w:rsid w:val="00D951F6"/>
    <w:rsid w:val="00D95736"/>
    <w:rsid w:val="00D957A7"/>
    <w:rsid w:val="00D95836"/>
    <w:rsid w:val="00D958C6"/>
    <w:rsid w:val="00D958D6"/>
    <w:rsid w:val="00D95A7A"/>
    <w:rsid w:val="00D95B23"/>
    <w:rsid w:val="00D95B94"/>
    <w:rsid w:val="00D95D9C"/>
    <w:rsid w:val="00D961DF"/>
    <w:rsid w:val="00D96315"/>
    <w:rsid w:val="00D9638C"/>
    <w:rsid w:val="00D96509"/>
    <w:rsid w:val="00D9654C"/>
    <w:rsid w:val="00D9681D"/>
    <w:rsid w:val="00D968D0"/>
    <w:rsid w:val="00D9699D"/>
    <w:rsid w:val="00D96AE4"/>
    <w:rsid w:val="00D96B14"/>
    <w:rsid w:val="00D96B4E"/>
    <w:rsid w:val="00D96B71"/>
    <w:rsid w:val="00D96C25"/>
    <w:rsid w:val="00D96C2A"/>
    <w:rsid w:val="00D96E04"/>
    <w:rsid w:val="00D96E2E"/>
    <w:rsid w:val="00D96EA6"/>
    <w:rsid w:val="00D96F70"/>
    <w:rsid w:val="00D97166"/>
    <w:rsid w:val="00D9717F"/>
    <w:rsid w:val="00D9724B"/>
    <w:rsid w:val="00D973F7"/>
    <w:rsid w:val="00D975C3"/>
    <w:rsid w:val="00D97757"/>
    <w:rsid w:val="00D97758"/>
    <w:rsid w:val="00D9779D"/>
    <w:rsid w:val="00D977AF"/>
    <w:rsid w:val="00D97823"/>
    <w:rsid w:val="00D978CE"/>
    <w:rsid w:val="00D97A25"/>
    <w:rsid w:val="00D97AB3"/>
    <w:rsid w:val="00DA01D4"/>
    <w:rsid w:val="00DA0486"/>
    <w:rsid w:val="00DA04B9"/>
    <w:rsid w:val="00DA05DC"/>
    <w:rsid w:val="00DA070F"/>
    <w:rsid w:val="00DA0812"/>
    <w:rsid w:val="00DA08A2"/>
    <w:rsid w:val="00DA0924"/>
    <w:rsid w:val="00DA0A3B"/>
    <w:rsid w:val="00DA0B19"/>
    <w:rsid w:val="00DA0E0A"/>
    <w:rsid w:val="00DA0E22"/>
    <w:rsid w:val="00DA0ECB"/>
    <w:rsid w:val="00DA1004"/>
    <w:rsid w:val="00DA1104"/>
    <w:rsid w:val="00DA1264"/>
    <w:rsid w:val="00DA12C9"/>
    <w:rsid w:val="00DA13D9"/>
    <w:rsid w:val="00DA1437"/>
    <w:rsid w:val="00DA1802"/>
    <w:rsid w:val="00DA18A3"/>
    <w:rsid w:val="00DA1904"/>
    <w:rsid w:val="00DA190E"/>
    <w:rsid w:val="00DA19A1"/>
    <w:rsid w:val="00DA1BE6"/>
    <w:rsid w:val="00DA1BF0"/>
    <w:rsid w:val="00DA1DDB"/>
    <w:rsid w:val="00DA1EE3"/>
    <w:rsid w:val="00DA20A4"/>
    <w:rsid w:val="00DA20FA"/>
    <w:rsid w:val="00DA215E"/>
    <w:rsid w:val="00DA2312"/>
    <w:rsid w:val="00DA23AD"/>
    <w:rsid w:val="00DA24C7"/>
    <w:rsid w:val="00DA261D"/>
    <w:rsid w:val="00DA2661"/>
    <w:rsid w:val="00DA26F4"/>
    <w:rsid w:val="00DA2770"/>
    <w:rsid w:val="00DA2840"/>
    <w:rsid w:val="00DA2919"/>
    <w:rsid w:val="00DA2976"/>
    <w:rsid w:val="00DA29A8"/>
    <w:rsid w:val="00DA2B5D"/>
    <w:rsid w:val="00DA2BD7"/>
    <w:rsid w:val="00DA2C72"/>
    <w:rsid w:val="00DA2F9D"/>
    <w:rsid w:val="00DA2FC8"/>
    <w:rsid w:val="00DA3080"/>
    <w:rsid w:val="00DA3106"/>
    <w:rsid w:val="00DA3173"/>
    <w:rsid w:val="00DA3362"/>
    <w:rsid w:val="00DA33F4"/>
    <w:rsid w:val="00DA33FC"/>
    <w:rsid w:val="00DA344F"/>
    <w:rsid w:val="00DA34E2"/>
    <w:rsid w:val="00DA35A5"/>
    <w:rsid w:val="00DA3C12"/>
    <w:rsid w:val="00DA3E33"/>
    <w:rsid w:val="00DA3E55"/>
    <w:rsid w:val="00DA400E"/>
    <w:rsid w:val="00DA417D"/>
    <w:rsid w:val="00DA420C"/>
    <w:rsid w:val="00DA430B"/>
    <w:rsid w:val="00DA46E4"/>
    <w:rsid w:val="00DA4B87"/>
    <w:rsid w:val="00DA4CF8"/>
    <w:rsid w:val="00DA4D5B"/>
    <w:rsid w:val="00DA4D9C"/>
    <w:rsid w:val="00DA4E31"/>
    <w:rsid w:val="00DA4F54"/>
    <w:rsid w:val="00DA51B6"/>
    <w:rsid w:val="00DA51D1"/>
    <w:rsid w:val="00DA5226"/>
    <w:rsid w:val="00DA5392"/>
    <w:rsid w:val="00DA560C"/>
    <w:rsid w:val="00DA57A5"/>
    <w:rsid w:val="00DA5ABC"/>
    <w:rsid w:val="00DA5B4C"/>
    <w:rsid w:val="00DA5CF2"/>
    <w:rsid w:val="00DA5DD9"/>
    <w:rsid w:val="00DA5E18"/>
    <w:rsid w:val="00DA5F0B"/>
    <w:rsid w:val="00DA5F63"/>
    <w:rsid w:val="00DA5FAF"/>
    <w:rsid w:val="00DA6087"/>
    <w:rsid w:val="00DA6154"/>
    <w:rsid w:val="00DA6166"/>
    <w:rsid w:val="00DA6176"/>
    <w:rsid w:val="00DA624D"/>
    <w:rsid w:val="00DA62C4"/>
    <w:rsid w:val="00DA63D7"/>
    <w:rsid w:val="00DA649C"/>
    <w:rsid w:val="00DA6572"/>
    <w:rsid w:val="00DA657A"/>
    <w:rsid w:val="00DA6668"/>
    <w:rsid w:val="00DA686B"/>
    <w:rsid w:val="00DA68A8"/>
    <w:rsid w:val="00DA6A08"/>
    <w:rsid w:val="00DA6B87"/>
    <w:rsid w:val="00DA6EED"/>
    <w:rsid w:val="00DA7068"/>
    <w:rsid w:val="00DA727D"/>
    <w:rsid w:val="00DA73A2"/>
    <w:rsid w:val="00DA7638"/>
    <w:rsid w:val="00DA76DD"/>
    <w:rsid w:val="00DA78A3"/>
    <w:rsid w:val="00DA78E2"/>
    <w:rsid w:val="00DA7ADB"/>
    <w:rsid w:val="00DA7F76"/>
    <w:rsid w:val="00DB0080"/>
    <w:rsid w:val="00DB0123"/>
    <w:rsid w:val="00DB015A"/>
    <w:rsid w:val="00DB0297"/>
    <w:rsid w:val="00DB02D4"/>
    <w:rsid w:val="00DB02EB"/>
    <w:rsid w:val="00DB03EE"/>
    <w:rsid w:val="00DB04D7"/>
    <w:rsid w:val="00DB062E"/>
    <w:rsid w:val="00DB084D"/>
    <w:rsid w:val="00DB085B"/>
    <w:rsid w:val="00DB095D"/>
    <w:rsid w:val="00DB0BF3"/>
    <w:rsid w:val="00DB0CB4"/>
    <w:rsid w:val="00DB0CC1"/>
    <w:rsid w:val="00DB0D44"/>
    <w:rsid w:val="00DB0E52"/>
    <w:rsid w:val="00DB0E9D"/>
    <w:rsid w:val="00DB0EC2"/>
    <w:rsid w:val="00DB0FF8"/>
    <w:rsid w:val="00DB10F2"/>
    <w:rsid w:val="00DB1295"/>
    <w:rsid w:val="00DB1356"/>
    <w:rsid w:val="00DB1523"/>
    <w:rsid w:val="00DB1554"/>
    <w:rsid w:val="00DB176D"/>
    <w:rsid w:val="00DB1ABF"/>
    <w:rsid w:val="00DB1DE7"/>
    <w:rsid w:val="00DB1E16"/>
    <w:rsid w:val="00DB1FB3"/>
    <w:rsid w:val="00DB20BA"/>
    <w:rsid w:val="00DB2132"/>
    <w:rsid w:val="00DB21BE"/>
    <w:rsid w:val="00DB2357"/>
    <w:rsid w:val="00DB2373"/>
    <w:rsid w:val="00DB247A"/>
    <w:rsid w:val="00DB24BF"/>
    <w:rsid w:val="00DB24E6"/>
    <w:rsid w:val="00DB2927"/>
    <w:rsid w:val="00DB2A6E"/>
    <w:rsid w:val="00DB2A75"/>
    <w:rsid w:val="00DB2E91"/>
    <w:rsid w:val="00DB2EA9"/>
    <w:rsid w:val="00DB3178"/>
    <w:rsid w:val="00DB332A"/>
    <w:rsid w:val="00DB339D"/>
    <w:rsid w:val="00DB349E"/>
    <w:rsid w:val="00DB36F9"/>
    <w:rsid w:val="00DB3C3C"/>
    <w:rsid w:val="00DB3C7C"/>
    <w:rsid w:val="00DB4042"/>
    <w:rsid w:val="00DB4113"/>
    <w:rsid w:val="00DB4291"/>
    <w:rsid w:val="00DB43C7"/>
    <w:rsid w:val="00DB44D6"/>
    <w:rsid w:val="00DB4541"/>
    <w:rsid w:val="00DB4660"/>
    <w:rsid w:val="00DB46CE"/>
    <w:rsid w:val="00DB485D"/>
    <w:rsid w:val="00DB4D9F"/>
    <w:rsid w:val="00DB5306"/>
    <w:rsid w:val="00DB5797"/>
    <w:rsid w:val="00DB57A0"/>
    <w:rsid w:val="00DB57F9"/>
    <w:rsid w:val="00DB58CA"/>
    <w:rsid w:val="00DB58F7"/>
    <w:rsid w:val="00DB5CEA"/>
    <w:rsid w:val="00DB5D03"/>
    <w:rsid w:val="00DB5FB4"/>
    <w:rsid w:val="00DB6120"/>
    <w:rsid w:val="00DB619D"/>
    <w:rsid w:val="00DB61E4"/>
    <w:rsid w:val="00DB6207"/>
    <w:rsid w:val="00DB64B5"/>
    <w:rsid w:val="00DB67B0"/>
    <w:rsid w:val="00DB6961"/>
    <w:rsid w:val="00DB6A6E"/>
    <w:rsid w:val="00DB6A9C"/>
    <w:rsid w:val="00DB6BCA"/>
    <w:rsid w:val="00DB6C24"/>
    <w:rsid w:val="00DB6E1A"/>
    <w:rsid w:val="00DB6E4B"/>
    <w:rsid w:val="00DB6E89"/>
    <w:rsid w:val="00DB702F"/>
    <w:rsid w:val="00DB705D"/>
    <w:rsid w:val="00DB71CF"/>
    <w:rsid w:val="00DB72FA"/>
    <w:rsid w:val="00DB7343"/>
    <w:rsid w:val="00DB736A"/>
    <w:rsid w:val="00DB7418"/>
    <w:rsid w:val="00DB74AF"/>
    <w:rsid w:val="00DB74C6"/>
    <w:rsid w:val="00DB7546"/>
    <w:rsid w:val="00DB778F"/>
    <w:rsid w:val="00DB79C7"/>
    <w:rsid w:val="00DB7B56"/>
    <w:rsid w:val="00DB7BA9"/>
    <w:rsid w:val="00DB7D72"/>
    <w:rsid w:val="00DB7DCD"/>
    <w:rsid w:val="00DB7EA2"/>
    <w:rsid w:val="00DB7F49"/>
    <w:rsid w:val="00DC0018"/>
    <w:rsid w:val="00DC01B6"/>
    <w:rsid w:val="00DC023D"/>
    <w:rsid w:val="00DC02C0"/>
    <w:rsid w:val="00DC02CE"/>
    <w:rsid w:val="00DC0353"/>
    <w:rsid w:val="00DC05C1"/>
    <w:rsid w:val="00DC0699"/>
    <w:rsid w:val="00DC06F0"/>
    <w:rsid w:val="00DC0953"/>
    <w:rsid w:val="00DC0AC9"/>
    <w:rsid w:val="00DC0B66"/>
    <w:rsid w:val="00DC0CF4"/>
    <w:rsid w:val="00DC0E30"/>
    <w:rsid w:val="00DC0EDF"/>
    <w:rsid w:val="00DC1013"/>
    <w:rsid w:val="00DC10C3"/>
    <w:rsid w:val="00DC11B0"/>
    <w:rsid w:val="00DC11CE"/>
    <w:rsid w:val="00DC129C"/>
    <w:rsid w:val="00DC1335"/>
    <w:rsid w:val="00DC137F"/>
    <w:rsid w:val="00DC141A"/>
    <w:rsid w:val="00DC1456"/>
    <w:rsid w:val="00DC146D"/>
    <w:rsid w:val="00DC150C"/>
    <w:rsid w:val="00DC16C7"/>
    <w:rsid w:val="00DC1753"/>
    <w:rsid w:val="00DC180F"/>
    <w:rsid w:val="00DC195B"/>
    <w:rsid w:val="00DC19E2"/>
    <w:rsid w:val="00DC1A05"/>
    <w:rsid w:val="00DC1B6F"/>
    <w:rsid w:val="00DC1C61"/>
    <w:rsid w:val="00DC1D71"/>
    <w:rsid w:val="00DC1EE1"/>
    <w:rsid w:val="00DC20F1"/>
    <w:rsid w:val="00DC2448"/>
    <w:rsid w:val="00DC249F"/>
    <w:rsid w:val="00DC25AE"/>
    <w:rsid w:val="00DC27F5"/>
    <w:rsid w:val="00DC28D5"/>
    <w:rsid w:val="00DC2A1D"/>
    <w:rsid w:val="00DC2B40"/>
    <w:rsid w:val="00DC2B63"/>
    <w:rsid w:val="00DC2C20"/>
    <w:rsid w:val="00DC2D61"/>
    <w:rsid w:val="00DC3212"/>
    <w:rsid w:val="00DC340C"/>
    <w:rsid w:val="00DC365B"/>
    <w:rsid w:val="00DC382E"/>
    <w:rsid w:val="00DC3BB8"/>
    <w:rsid w:val="00DC3C92"/>
    <w:rsid w:val="00DC3D7A"/>
    <w:rsid w:val="00DC3E89"/>
    <w:rsid w:val="00DC3F49"/>
    <w:rsid w:val="00DC3F8C"/>
    <w:rsid w:val="00DC40B6"/>
    <w:rsid w:val="00DC412C"/>
    <w:rsid w:val="00DC44F9"/>
    <w:rsid w:val="00DC4579"/>
    <w:rsid w:val="00DC467B"/>
    <w:rsid w:val="00DC4941"/>
    <w:rsid w:val="00DC49C5"/>
    <w:rsid w:val="00DC4A88"/>
    <w:rsid w:val="00DC4F9B"/>
    <w:rsid w:val="00DC52EA"/>
    <w:rsid w:val="00DC532D"/>
    <w:rsid w:val="00DC53CC"/>
    <w:rsid w:val="00DC5505"/>
    <w:rsid w:val="00DC5599"/>
    <w:rsid w:val="00DC594C"/>
    <w:rsid w:val="00DC596D"/>
    <w:rsid w:val="00DC59A4"/>
    <w:rsid w:val="00DC59BB"/>
    <w:rsid w:val="00DC5A47"/>
    <w:rsid w:val="00DC5AF5"/>
    <w:rsid w:val="00DC5AFE"/>
    <w:rsid w:val="00DC5C69"/>
    <w:rsid w:val="00DC5D01"/>
    <w:rsid w:val="00DC5D0C"/>
    <w:rsid w:val="00DC5D4F"/>
    <w:rsid w:val="00DC5F7B"/>
    <w:rsid w:val="00DC6008"/>
    <w:rsid w:val="00DC61DF"/>
    <w:rsid w:val="00DC6216"/>
    <w:rsid w:val="00DC63C7"/>
    <w:rsid w:val="00DC646F"/>
    <w:rsid w:val="00DC6578"/>
    <w:rsid w:val="00DC663B"/>
    <w:rsid w:val="00DC6706"/>
    <w:rsid w:val="00DC6709"/>
    <w:rsid w:val="00DC6781"/>
    <w:rsid w:val="00DC6788"/>
    <w:rsid w:val="00DC67A3"/>
    <w:rsid w:val="00DC69CC"/>
    <w:rsid w:val="00DC6A9B"/>
    <w:rsid w:val="00DC6C79"/>
    <w:rsid w:val="00DC6CA9"/>
    <w:rsid w:val="00DC6DF5"/>
    <w:rsid w:val="00DC6E0E"/>
    <w:rsid w:val="00DC6F41"/>
    <w:rsid w:val="00DC6FCB"/>
    <w:rsid w:val="00DC70E7"/>
    <w:rsid w:val="00DC71F7"/>
    <w:rsid w:val="00DC75AA"/>
    <w:rsid w:val="00DC75F0"/>
    <w:rsid w:val="00DC7731"/>
    <w:rsid w:val="00DC77CA"/>
    <w:rsid w:val="00DC782D"/>
    <w:rsid w:val="00DC786C"/>
    <w:rsid w:val="00DC78BE"/>
    <w:rsid w:val="00DC7940"/>
    <w:rsid w:val="00DC7A35"/>
    <w:rsid w:val="00DC7C34"/>
    <w:rsid w:val="00DC7E63"/>
    <w:rsid w:val="00DD01A9"/>
    <w:rsid w:val="00DD0227"/>
    <w:rsid w:val="00DD0262"/>
    <w:rsid w:val="00DD0525"/>
    <w:rsid w:val="00DD06D0"/>
    <w:rsid w:val="00DD0815"/>
    <w:rsid w:val="00DD0A27"/>
    <w:rsid w:val="00DD0BAA"/>
    <w:rsid w:val="00DD0C5D"/>
    <w:rsid w:val="00DD0EB0"/>
    <w:rsid w:val="00DD0F96"/>
    <w:rsid w:val="00DD10C3"/>
    <w:rsid w:val="00DD1138"/>
    <w:rsid w:val="00DD1186"/>
    <w:rsid w:val="00DD1199"/>
    <w:rsid w:val="00DD1478"/>
    <w:rsid w:val="00DD14E4"/>
    <w:rsid w:val="00DD14FE"/>
    <w:rsid w:val="00DD17EA"/>
    <w:rsid w:val="00DD182F"/>
    <w:rsid w:val="00DD18D7"/>
    <w:rsid w:val="00DD1A7F"/>
    <w:rsid w:val="00DD1B5C"/>
    <w:rsid w:val="00DD1BA7"/>
    <w:rsid w:val="00DD1D0E"/>
    <w:rsid w:val="00DD2089"/>
    <w:rsid w:val="00DD2179"/>
    <w:rsid w:val="00DD21D9"/>
    <w:rsid w:val="00DD2253"/>
    <w:rsid w:val="00DD22A2"/>
    <w:rsid w:val="00DD2384"/>
    <w:rsid w:val="00DD242E"/>
    <w:rsid w:val="00DD2524"/>
    <w:rsid w:val="00DD2601"/>
    <w:rsid w:val="00DD268B"/>
    <w:rsid w:val="00DD29D7"/>
    <w:rsid w:val="00DD29F5"/>
    <w:rsid w:val="00DD2B6E"/>
    <w:rsid w:val="00DD2B94"/>
    <w:rsid w:val="00DD2D0A"/>
    <w:rsid w:val="00DD2D74"/>
    <w:rsid w:val="00DD2DF3"/>
    <w:rsid w:val="00DD2F28"/>
    <w:rsid w:val="00DD30C8"/>
    <w:rsid w:val="00DD3343"/>
    <w:rsid w:val="00DD33D6"/>
    <w:rsid w:val="00DD3527"/>
    <w:rsid w:val="00DD3605"/>
    <w:rsid w:val="00DD372E"/>
    <w:rsid w:val="00DD37EB"/>
    <w:rsid w:val="00DD3800"/>
    <w:rsid w:val="00DD386A"/>
    <w:rsid w:val="00DD390E"/>
    <w:rsid w:val="00DD3981"/>
    <w:rsid w:val="00DD3AC7"/>
    <w:rsid w:val="00DD3B70"/>
    <w:rsid w:val="00DD3CFF"/>
    <w:rsid w:val="00DD3DFA"/>
    <w:rsid w:val="00DD3E39"/>
    <w:rsid w:val="00DD40C8"/>
    <w:rsid w:val="00DD4186"/>
    <w:rsid w:val="00DD4287"/>
    <w:rsid w:val="00DD4407"/>
    <w:rsid w:val="00DD4457"/>
    <w:rsid w:val="00DD4564"/>
    <w:rsid w:val="00DD47C2"/>
    <w:rsid w:val="00DD481F"/>
    <w:rsid w:val="00DD48CD"/>
    <w:rsid w:val="00DD49CD"/>
    <w:rsid w:val="00DD4B25"/>
    <w:rsid w:val="00DD4C5A"/>
    <w:rsid w:val="00DD4CA5"/>
    <w:rsid w:val="00DD4FB2"/>
    <w:rsid w:val="00DD4FD3"/>
    <w:rsid w:val="00DD50F0"/>
    <w:rsid w:val="00DD5193"/>
    <w:rsid w:val="00DD51FC"/>
    <w:rsid w:val="00DD5239"/>
    <w:rsid w:val="00DD525A"/>
    <w:rsid w:val="00DD5593"/>
    <w:rsid w:val="00DD5796"/>
    <w:rsid w:val="00DD5945"/>
    <w:rsid w:val="00DD5A6D"/>
    <w:rsid w:val="00DD5BAF"/>
    <w:rsid w:val="00DD5DE6"/>
    <w:rsid w:val="00DD5EBE"/>
    <w:rsid w:val="00DD61C1"/>
    <w:rsid w:val="00DD62A0"/>
    <w:rsid w:val="00DD6562"/>
    <w:rsid w:val="00DD65F3"/>
    <w:rsid w:val="00DD671F"/>
    <w:rsid w:val="00DD687E"/>
    <w:rsid w:val="00DD6902"/>
    <w:rsid w:val="00DD6961"/>
    <w:rsid w:val="00DD6972"/>
    <w:rsid w:val="00DD6ED9"/>
    <w:rsid w:val="00DD6FF6"/>
    <w:rsid w:val="00DD7295"/>
    <w:rsid w:val="00DD7448"/>
    <w:rsid w:val="00DD74CD"/>
    <w:rsid w:val="00DD74FD"/>
    <w:rsid w:val="00DD750B"/>
    <w:rsid w:val="00DD75E8"/>
    <w:rsid w:val="00DD7621"/>
    <w:rsid w:val="00DD784A"/>
    <w:rsid w:val="00DD795E"/>
    <w:rsid w:val="00DD79AC"/>
    <w:rsid w:val="00DD7AB0"/>
    <w:rsid w:val="00DD7B4B"/>
    <w:rsid w:val="00DD7B91"/>
    <w:rsid w:val="00DD7C3B"/>
    <w:rsid w:val="00DD7C80"/>
    <w:rsid w:val="00DD7D3C"/>
    <w:rsid w:val="00DD7DFA"/>
    <w:rsid w:val="00DD7F25"/>
    <w:rsid w:val="00DE02AD"/>
    <w:rsid w:val="00DE0552"/>
    <w:rsid w:val="00DE087D"/>
    <w:rsid w:val="00DE0932"/>
    <w:rsid w:val="00DE0BCC"/>
    <w:rsid w:val="00DE0C86"/>
    <w:rsid w:val="00DE0E4D"/>
    <w:rsid w:val="00DE0E61"/>
    <w:rsid w:val="00DE11D2"/>
    <w:rsid w:val="00DE12B4"/>
    <w:rsid w:val="00DE1356"/>
    <w:rsid w:val="00DE14B9"/>
    <w:rsid w:val="00DE16BE"/>
    <w:rsid w:val="00DE18C1"/>
    <w:rsid w:val="00DE1950"/>
    <w:rsid w:val="00DE195A"/>
    <w:rsid w:val="00DE1C1A"/>
    <w:rsid w:val="00DE1C60"/>
    <w:rsid w:val="00DE1D68"/>
    <w:rsid w:val="00DE1E6B"/>
    <w:rsid w:val="00DE1FFF"/>
    <w:rsid w:val="00DE20E6"/>
    <w:rsid w:val="00DE222D"/>
    <w:rsid w:val="00DE227E"/>
    <w:rsid w:val="00DE252A"/>
    <w:rsid w:val="00DE26C9"/>
    <w:rsid w:val="00DE26F3"/>
    <w:rsid w:val="00DE272A"/>
    <w:rsid w:val="00DE276F"/>
    <w:rsid w:val="00DE2900"/>
    <w:rsid w:val="00DE2946"/>
    <w:rsid w:val="00DE2A7E"/>
    <w:rsid w:val="00DE2AA4"/>
    <w:rsid w:val="00DE2B20"/>
    <w:rsid w:val="00DE2BA8"/>
    <w:rsid w:val="00DE2C63"/>
    <w:rsid w:val="00DE2F89"/>
    <w:rsid w:val="00DE3104"/>
    <w:rsid w:val="00DE310B"/>
    <w:rsid w:val="00DE3111"/>
    <w:rsid w:val="00DE3159"/>
    <w:rsid w:val="00DE316D"/>
    <w:rsid w:val="00DE32A1"/>
    <w:rsid w:val="00DE345F"/>
    <w:rsid w:val="00DE34B5"/>
    <w:rsid w:val="00DE36CE"/>
    <w:rsid w:val="00DE3B73"/>
    <w:rsid w:val="00DE3BD6"/>
    <w:rsid w:val="00DE3C13"/>
    <w:rsid w:val="00DE3C5C"/>
    <w:rsid w:val="00DE3D73"/>
    <w:rsid w:val="00DE41EC"/>
    <w:rsid w:val="00DE46DC"/>
    <w:rsid w:val="00DE47C7"/>
    <w:rsid w:val="00DE4861"/>
    <w:rsid w:val="00DE4933"/>
    <w:rsid w:val="00DE4955"/>
    <w:rsid w:val="00DE4A19"/>
    <w:rsid w:val="00DE4A71"/>
    <w:rsid w:val="00DE4EB2"/>
    <w:rsid w:val="00DE4F6F"/>
    <w:rsid w:val="00DE5022"/>
    <w:rsid w:val="00DE5092"/>
    <w:rsid w:val="00DE50C5"/>
    <w:rsid w:val="00DE51A3"/>
    <w:rsid w:val="00DE5252"/>
    <w:rsid w:val="00DE53B8"/>
    <w:rsid w:val="00DE553C"/>
    <w:rsid w:val="00DE579A"/>
    <w:rsid w:val="00DE57EF"/>
    <w:rsid w:val="00DE5927"/>
    <w:rsid w:val="00DE59A3"/>
    <w:rsid w:val="00DE59A9"/>
    <w:rsid w:val="00DE5ADD"/>
    <w:rsid w:val="00DE5C31"/>
    <w:rsid w:val="00DE5C42"/>
    <w:rsid w:val="00DE5FF9"/>
    <w:rsid w:val="00DE6140"/>
    <w:rsid w:val="00DE618B"/>
    <w:rsid w:val="00DE61F4"/>
    <w:rsid w:val="00DE643D"/>
    <w:rsid w:val="00DE68C2"/>
    <w:rsid w:val="00DE6B26"/>
    <w:rsid w:val="00DE6C17"/>
    <w:rsid w:val="00DE6C27"/>
    <w:rsid w:val="00DE6C3A"/>
    <w:rsid w:val="00DE6C5F"/>
    <w:rsid w:val="00DE6C8C"/>
    <w:rsid w:val="00DE6CEB"/>
    <w:rsid w:val="00DE6D2D"/>
    <w:rsid w:val="00DE6D33"/>
    <w:rsid w:val="00DE6EA4"/>
    <w:rsid w:val="00DE6EA6"/>
    <w:rsid w:val="00DE7049"/>
    <w:rsid w:val="00DE7225"/>
    <w:rsid w:val="00DE7249"/>
    <w:rsid w:val="00DE733C"/>
    <w:rsid w:val="00DE7565"/>
    <w:rsid w:val="00DE75A9"/>
    <w:rsid w:val="00DE79A6"/>
    <w:rsid w:val="00DE7A09"/>
    <w:rsid w:val="00DE7B17"/>
    <w:rsid w:val="00DE7B3D"/>
    <w:rsid w:val="00DE7BA8"/>
    <w:rsid w:val="00DE7E72"/>
    <w:rsid w:val="00DE7E75"/>
    <w:rsid w:val="00DE7FB8"/>
    <w:rsid w:val="00DE7FD1"/>
    <w:rsid w:val="00DF0316"/>
    <w:rsid w:val="00DF0396"/>
    <w:rsid w:val="00DF0499"/>
    <w:rsid w:val="00DF0A2B"/>
    <w:rsid w:val="00DF0B1D"/>
    <w:rsid w:val="00DF0C26"/>
    <w:rsid w:val="00DF100F"/>
    <w:rsid w:val="00DF10D5"/>
    <w:rsid w:val="00DF11B7"/>
    <w:rsid w:val="00DF11BD"/>
    <w:rsid w:val="00DF1389"/>
    <w:rsid w:val="00DF19BF"/>
    <w:rsid w:val="00DF19EC"/>
    <w:rsid w:val="00DF1F5B"/>
    <w:rsid w:val="00DF1F6C"/>
    <w:rsid w:val="00DF206E"/>
    <w:rsid w:val="00DF2112"/>
    <w:rsid w:val="00DF211D"/>
    <w:rsid w:val="00DF216D"/>
    <w:rsid w:val="00DF21EC"/>
    <w:rsid w:val="00DF2785"/>
    <w:rsid w:val="00DF288C"/>
    <w:rsid w:val="00DF2A6F"/>
    <w:rsid w:val="00DF2C61"/>
    <w:rsid w:val="00DF2CF7"/>
    <w:rsid w:val="00DF3115"/>
    <w:rsid w:val="00DF3357"/>
    <w:rsid w:val="00DF3464"/>
    <w:rsid w:val="00DF3713"/>
    <w:rsid w:val="00DF3A26"/>
    <w:rsid w:val="00DF3A6A"/>
    <w:rsid w:val="00DF3A71"/>
    <w:rsid w:val="00DF3B4D"/>
    <w:rsid w:val="00DF3B67"/>
    <w:rsid w:val="00DF3C6A"/>
    <w:rsid w:val="00DF3CE8"/>
    <w:rsid w:val="00DF3DDD"/>
    <w:rsid w:val="00DF3DFD"/>
    <w:rsid w:val="00DF3EB5"/>
    <w:rsid w:val="00DF4078"/>
    <w:rsid w:val="00DF40E8"/>
    <w:rsid w:val="00DF4128"/>
    <w:rsid w:val="00DF4134"/>
    <w:rsid w:val="00DF4170"/>
    <w:rsid w:val="00DF4216"/>
    <w:rsid w:val="00DF424D"/>
    <w:rsid w:val="00DF4353"/>
    <w:rsid w:val="00DF4501"/>
    <w:rsid w:val="00DF4892"/>
    <w:rsid w:val="00DF492E"/>
    <w:rsid w:val="00DF4A17"/>
    <w:rsid w:val="00DF4BBB"/>
    <w:rsid w:val="00DF4DC3"/>
    <w:rsid w:val="00DF4E14"/>
    <w:rsid w:val="00DF50C8"/>
    <w:rsid w:val="00DF5158"/>
    <w:rsid w:val="00DF5161"/>
    <w:rsid w:val="00DF5185"/>
    <w:rsid w:val="00DF51F3"/>
    <w:rsid w:val="00DF533D"/>
    <w:rsid w:val="00DF543A"/>
    <w:rsid w:val="00DF56CC"/>
    <w:rsid w:val="00DF590F"/>
    <w:rsid w:val="00DF591B"/>
    <w:rsid w:val="00DF5B14"/>
    <w:rsid w:val="00DF5B4D"/>
    <w:rsid w:val="00DF5C0C"/>
    <w:rsid w:val="00DF5CCB"/>
    <w:rsid w:val="00DF6013"/>
    <w:rsid w:val="00DF6146"/>
    <w:rsid w:val="00DF62FB"/>
    <w:rsid w:val="00DF648F"/>
    <w:rsid w:val="00DF65B4"/>
    <w:rsid w:val="00DF690D"/>
    <w:rsid w:val="00DF6911"/>
    <w:rsid w:val="00DF6969"/>
    <w:rsid w:val="00DF6A26"/>
    <w:rsid w:val="00DF6D09"/>
    <w:rsid w:val="00DF6E8E"/>
    <w:rsid w:val="00DF6F2C"/>
    <w:rsid w:val="00DF72F7"/>
    <w:rsid w:val="00DF751E"/>
    <w:rsid w:val="00DF75DA"/>
    <w:rsid w:val="00DF7BB1"/>
    <w:rsid w:val="00DF7C7F"/>
    <w:rsid w:val="00DF7E2C"/>
    <w:rsid w:val="00DF7E7F"/>
    <w:rsid w:val="00DF7F0A"/>
    <w:rsid w:val="00DF7F7B"/>
    <w:rsid w:val="00E000C3"/>
    <w:rsid w:val="00E0015A"/>
    <w:rsid w:val="00E0027A"/>
    <w:rsid w:val="00E00412"/>
    <w:rsid w:val="00E004ED"/>
    <w:rsid w:val="00E0062C"/>
    <w:rsid w:val="00E0067D"/>
    <w:rsid w:val="00E007FF"/>
    <w:rsid w:val="00E0087D"/>
    <w:rsid w:val="00E00887"/>
    <w:rsid w:val="00E00B58"/>
    <w:rsid w:val="00E00C2E"/>
    <w:rsid w:val="00E00D08"/>
    <w:rsid w:val="00E00E2E"/>
    <w:rsid w:val="00E01017"/>
    <w:rsid w:val="00E010D3"/>
    <w:rsid w:val="00E01266"/>
    <w:rsid w:val="00E01750"/>
    <w:rsid w:val="00E0179A"/>
    <w:rsid w:val="00E01A72"/>
    <w:rsid w:val="00E01E20"/>
    <w:rsid w:val="00E01EC0"/>
    <w:rsid w:val="00E02399"/>
    <w:rsid w:val="00E023ED"/>
    <w:rsid w:val="00E0252E"/>
    <w:rsid w:val="00E0268F"/>
    <w:rsid w:val="00E026C0"/>
    <w:rsid w:val="00E02914"/>
    <w:rsid w:val="00E02CBC"/>
    <w:rsid w:val="00E02D99"/>
    <w:rsid w:val="00E02DD5"/>
    <w:rsid w:val="00E02E3A"/>
    <w:rsid w:val="00E02F5D"/>
    <w:rsid w:val="00E02FE4"/>
    <w:rsid w:val="00E0304A"/>
    <w:rsid w:val="00E031E4"/>
    <w:rsid w:val="00E032A7"/>
    <w:rsid w:val="00E03617"/>
    <w:rsid w:val="00E036C8"/>
    <w:rsid w:val="00E036CE"/>
    <w:rsid w:val="00E039C5"/>
    <w:rsid w:val="00E03A1D"/>
    <w:rsid w:val="00E03A98"/>
    <w:rsid w:val="00E03C05"/>
    <w:rsid w:val="00E03C4A"/>
    <w:rsid w:val="00E03D58"/>
    <w:rsid w:val="00E03D8A"/>
    <w:rsid w:val="00E03DB7"/>
    <w:rsid w:val="00E04097"/>
    <w:rsid w:val="00E04281"/>
    <w:rsid w:val="00E0454E"/>
    <w:rsid w:val="00E0489A"/>
    <w:rsid w:val="00E04AAD"/>
    <w:rsid w:val="00E04FBB"/>
    <w:rsid w:val="00E051FD"/>
    <w:rsid w:val="00E05366"/>
    <w:rsid w:val="00E0549F"/>
    <w:rsid w:val="00E054ED"/>
    <w:rsid w:val="00E0559F"/>
    <w:rsid w:val="00E0577E"/>
    <w:rsid w:val="00E057B1"/>
    <w:rsid w:val="00E05857"/>
    <w:rsid w:val="00E05A14"/>
    <w:rsid w:val="00E05A9D"/>
    <w:rsid w:val="00E05B99"/>
    <w:rsid w:val="00E05C4A"/>
    <w:rsid w:val="00E05CB3"/>
    <w:rsid w:val="00E05CD5"/>
    <w:rsid w:val="00E05D2A"/>
    <w:rsid w:val="00E05E28"/>
    <w:rsid w:val="00E06348"/>
    <w:rsid w:val="00E063FA"/>
    <w:rsid w:val="00E064A0"/>
    <w:rsid w:val="00E06676"/>
    <w:rsid w:val="00E0684B"/>
    <w:rsid w:val="00E069C2"/>
    <w:rsid w:val="00E069F9"/>
    <w:rsid w:val="00E06B01"/>
    <w:rsid w:val="00E06D77"/>
    <w:rsid w:val="00E06DE9"/>
    <w:rsid w:val="00E06E1D"/>
    <w:rsid w:val="00E06EA2"/>
    <w:rsid w:val="00E06F25"/>
    <w:rsid w:val="00E07046"/>
    <w:rsid w:val="00E071EE"/>
    <w:rsid w:val="00E07252"/>
    <w:rsid w:val="00E072F5"/>
    <w:rsid w:val="00E07516"/>
    <w:rsid w:val="00E0796D"/>
    <w:rsid w:val="00E07B22"/>
    <w:rsid w:val="00E07CFE"/>
    <w:rsid w:val="00E07DEC"/>
    <w:rsid w:val="00E07F0D"/>
    <w:rsid w:val="00E07FB5"/>
    <w:rsid w:val="00E101B1"/>
    <w:rsid w:val="00E1024F"/>
    <w:rsid w:val="00E10275"/>
    <w:rsid w:val="00E103AE"/>
    <w:rsid w:val="00E103B2"/>
    <w:rsid w:val="00E1042C"/>
    <w:rsid w:val="00E104F9"/>
    <w:rsid w:val="00E10589"/>
    <w:rsid w:val="00E106F7"/>
    <w:rsid w:val="00E10BC2"/>
    <w:rsid w:val="00E10BDD"/>
    <w:rsid w:val="00E10CF2"/>
    <w:rsid w:val="00E10E75"/>
    <w:rsid w:val="00E10F2C"/>
    <w:rsid w:val="00E11118"/>
    <w:rsid w:val="00E1113F"/>
    <w:rsid w:val="00E1149D"/>
    <w:rsid w:val="00E11597"/>
    <w:rsid w:val="00E117B5"/>
    <w:rsid w:val="00E118D1"/>
    <w:rsid w:val="00E11C95"/>
    <w:rsid w:val="00E11D57"/>
    <w:rsid w:val="00E11FD7"/>
    <w:rsid w:val="00E12451"/>
    <w:rsid w:val="00E124A9"/>
    <w:rsid w:val="00E124DC"/>
    <w:rsid w:val="00E127AF"/>
    <w:rsid w:val="00E12839"/>
    <w:rsid w:val="00E12869"/>
    <w:rsid w:val="00E128F1"/>
    <w:rsid w:val="00E12984"/>
    <w:rsid w:val="00E129AC"/>
    <w:rsid w:val="00E12A8D"/>
    <w:rsid w:val="00E12BEC"/>
    <w:rsid w:val="00E12C94"/>
    <w:rsid w:val="00E12CEF"/>
    <w:rsid w:val="00E12DE3"/>
    <w:rsid w:val="00E12F34"/>
    <w:rsid w:val="00E1309D"/>
    <w:rsid w:val="00E130B0"/>
    <w:rsid w:val="00E13409"/>
    <w:rsid w:val="00E13512"/>
    <w:rsid w:val="00E135F9"/>
    <w:rsid w:val="00E13809"/>
    <w:rsid w:val="00E138F3"/>
    <w:rsid w:val="00E1392F"/>
    <w:rsid w:val="00E13A14"/>
    <w:rsid w:val="00E13CA4"/>
    <w:rsid w:val="00E13D1C"/>
    <w:rsid w:val="00E13D7B"/>
    <w:rsid w:val="00E141D3"/>
    <w:rsid w:val="00E14272"/>
    <w:rsid w:val="00E14428"/>
    <w:rsid w:val="00E1444E"/>
    <w:rsid w:val="00E145C4"/>
    <w:rsid w:val="00E14707"/>
    <w:rsid w:val="00E148C7"/>
    <w:rsid w:val="00E148D7"/>
    <w:rsid w:val="00E14946"/>
    <w:rsid w:val="00E14982"/>
    <w:rsid w:val="00E149C1"/>
    <w:rsid w:val="00E149E9"/>
    <w:rsid w:val="00E14A0E"/>
    <w:rsid w:val="00E14AE4"/>
    <w:rsid w:val="00E14B28"/>
    <w:rsid w:val="00E14B6D"/>
    <w:rsid w:val="00E152E8"/>
    <w:rsid w:val="00E15624"/>
    <w:rsid w:val="00E1567C"/>
    <w:rsid w:val="00E156C4"/>
    <w:rsid w:val="00E1575B"/>
    <w:rsid w:val="00E15953"/>
    <w:rsid w:val="00E15A24"/>
    <w:rsid w:val="00E15A2B"/>
    <w:rsid w:val="00E15AF4"/>
    <w:rsid w:val="00E15B5F"/>
    <w:rsid w:val="00E15D00"/>
    <w:rsid w:val="00E15F67"/>
    <w:rsid w:val="00E15FC0"/>
    <w:rsid w:val="00E15FCD"/>
    <w:rsid w:val="00E160F2"/>
    <w:rsid w:val="00E160FD"/>
    <w:rsid w:val="00E164CB"/>
    <w:rsid w:val="00E164F4"/>
    <w:rsid w:val="00E16602"/>
    <w:rsid w:val="00E1660C"/>
    <w:rsid w:val="00E166E2"/>
    <w:rsid w:val="00E169BD"/>
    <w:rsid w:val="00E16B9C"/>
    <w:rsid w:val="00E16BAD"/>
    <w:rsid w:val="00E16F7A"/>
    <w:rsid w:val="00E16FD7"/>
    <w:rsid w:val="00E1708A"/>
    <w:rsid w:val="00E173C6"/>
    <w:rsid w:val="00E17414"/>
    <w:rsid w:val="00E174ED"/>
    <w:rsid w:val="00E1750B"/>
    <w:rsid w:val="00E17539"/>
    <w:rsid w:val="00E177AD"/>
    <w:rsid w:val="00E17882"/>
    <w:rsid w:val="00E1793D"/>
    <w:rsid w:val="00E17956"/>
    <w:rsid w:val="00E179E0"/>
    <w:rsid w:val="00E17F45"/>
    <w:rsid w:val="00E204E8"/>
    <w:rsid w:val="00E2077F"/>
    <w:rsid w:val="00E2091A"/>
    <w:rsid w:val="00E209BA"/>
    <w:rsid w:val="00E20D64"/>
    <w:rsid w:val="00E20E06"/>
    <w:rsid w:val="00E20E83"/>
    <w:rsid w:val="00E21002"/>
    <w:rsid w:val="00E21761"/>
    <w:rsid w:val="00E21AFD"/>
    <w:rsid w:val="00E21B55"/>
    <w:rsid w:val="00E21C09"/>
    <w:rsid w:val="00E21C14"/>
    <w:rsid w:val="00E21DE3"/>
    <w:rsid w:val="00E21E29"/>
    <w:rsid w:val="00E21E7F"/>
    <w:rsid w:val="00E21E8E"/>
    <w:rsid w:val="00E22009"/>
    <w:rsid w:val="00E2205F"/>
    <w:rsid w:val="00E22151"/>
    <w:rsid w:val="00E2223C"/>
    <w:rsid w:val="00E2235D"/>
    <w:rsid w:val="00E223C6"/>
    <w:rsid w:val="00E22450"/>
    <w:rsid w:val="00E2247F"/>
    <w:rsid w:val="00E22648"/>
    <w:rsid w:val="00E228CD"/>
    <w:rsid w:val="00E22988"/>
    <w:rsid w:val="00E22A09"/>
    <w:rsid w:val="00E22A1C"/>
    <w:rsid w:val="00E22A79"/>
    <w:rsid w:val="00E22BAF"/>
    <w:rsid w:val="00E22C9D"/>
    <w:rsid w:val="00E22F21"/>
    <w:rsid w:val="00E2303D"/>
    <w:rsid w:val="00E231D4"/>
    <w:rsid w:val="00E23339"/>
    <w:rsid w:val="00E2333C"/>
    <w:rsid w:val="00E2367B"/>
    <w:rsid w:val="00E23800"/>
    <w:rsid w:val="00E239C9"/>
    <w:rsid w:val="00E23C22"/>
    <w:rsid w:val="00E23CA4"/>
    <w:rsid w:val="00E23D1E"/>
    <w:rsid w:val="00E2425B"/>
    <w:rsid w:val="00E24351"/>
    <w:rsid w:val="00E24364"/>
    <w:rsid w:val="00E244AD"/>
    <w:rsid w:val="00E24587"/>
    <w:rsid w:val="00E246D9"/>
    <w:rsid w:val="00E2470A"/>
    <w:rsid w:val="00E24831"/>
    <w:rsid w:val="00E249FE"/>
    <w:rsid w:val="00E24B16"/>
    <w:rsid w:val="00E24DD3"/>
    <w:rsid w:val="00E24F60"/>
    <w:rsid w:val="00E24F85"/>
    <w:rsid w:val="00E24FEA"/>
    <w:rsid w:val="00E2509D"/>
    <w:rsid w:val="00E2512D"/>
    <w:rsid w:val="00E25180"/>
    <w:rsid w:val="00E251AD"/>
    <w:rsid w:val="00E25211"/>
    <w:rsid w:val="00E25392"/>
    <w:rsid w:val="00E25453"/>
    <w:rsid w:val="00E25516"/>
    <w:rsid w:val="00E2558D"/>
    <w:rsid w:val="00E25638"/>
    <w:rsid w:val="00E25686"/>
    <w:rsid w:val="00E256DC"/>
    <w:rsid w:val="00E256E8"/>
    <w:rsid w:val="00E25DAB"/>
    <w:rsid w:val="00E25DD2"/>
    <w:rsid w:val="00E25E9C"/>
    <w:rsid w:val="00E25FD9"/>
    <w:rsid w:val="00E26051"/>
    <w:rsid w:val="00E261F3"/>
    <w:rsid w:val="00E2647A"/>
    <w:rsid w:val="00E264AF"/>
    <w:rsid w:val="00E264EB"/>
    <w:rsid w:val="00E265DC"/>
    <w:rsid w:val="00E266FC"/>
    <w:rsid w:val="00E26759"/>
    <w:rsid w:val="00E26786"/>
    <w:rsid w:val="00E267A7"/>
    <w:rsid w:val="00E26D12"/>
    <w:rsid w:val="00E26E8A"/>
    <w:rsid w:val="00E26EEC"/>
    <w:rsid w:val="00E26F33"/>
    <w:rsid w:val="00E26FB5"/>
    <w:rsid w:val="00E26FFD"/>
    <w:rsid w:val="00E27116"/>
    <w:rsid w:val="00E2714E"/>
    <w:rsid w:val="00E27239"/>
    <w:rsid w:val="00E272D7"/>
    <w:rsid w:val="00E27351"/>
    <w:rsid w:val="00E27415"/>
    <w:rsid w:val="00E27473"/>
    <w:rsid w:val="00E27484"/>
    <w:rsid w:val="00E27673"/>
    <w:rsid w:val="00E2774C"/>
    <w:rsid w:val="00E27753"/>
    <w:rsid w:val="00E27802"/>
    <w:rsid w:val="00E279D2"/>
    <w:rsid w:val="00E279F7"/>
    <w:rsid w:val="00E27C07"/>
    <w:rsid w:val="00E27EE0"/>
    <w:rsid w:val="00E27F53"/>
    <w:rsid w:val="00E27FF2"/>
    <w:rsid w:val="00E30087"/>
    <w:rsid w:val="00E30155"/>
    <w:rsid w:val="00E3028C"/>
    <w:rsid w:val="00E302F4"/>
    <w:rsid w:val="00E306E9"/>
    <w:rsid w:val="00E30802"/>
    <w:rsid w:val="00E30985"/>
    <w:rsid w:val="00E30BD4"/>
    <w:rsid w:val="00E30C84"/>
    <w:rsid w:val="00E30C8F"/>
    <w:rsid w:val="00E30CB4"/>
    <w:rsid w:val="00E30CD5"/>
    <w:rsid w:val="00E30DD7"/>
    <w:rsid w:val="00E30F78"/>
    <w:rsid w:val="00E30FD6"/>
    <w:rsid w:val="00E310CB"/>
    <w:rsid w:val="00E311C8"/>
    <w:rsid w:val="00E313C0"/>
    <w:rsid w:val="00E31486"/>
    <w:rsid w:val="00E315BD"/>
    <w:rsid w:val="00E31640"/>
    <w:rsid w:val="00E318EB"/>
    <w:rsid w:val="00E31A7D"/>
    <w:rsid w:val="00E31AB2"/>
    <w:rsid w:val="00E31B73"/>
    <w:rsid w:val="00E3218E"/>
    <w:rsid w:val="00E321AC"/>
    <w:rsid w:val="00E321B9"/>
    <w:rsid w:val="00E32347"/>
    <w:rsid w:val="00E32658"/>
    <w:rsid w:val="00E32717"/>
    <w:rsid w:val="00E32859"/>
    <w:rsid w:val="00E3287F"/>
    <w:rsid w:val="00E329A1"/>
    <w:rsid w:val="00E32B2A"/>
    <w:rsid w:val="00E32E14"/>
    <w:rsid w:val="00E32E69"/>
    <w:rsid w:val="00E32E87"/>
    <w:rsid w:val="00E33005"/>
    <w:rsid w:val="00E33026"/>
    <w:rsid w:val="00E330A7"/>
    <w:rsid w:val="00E330E6"/>
    <w:rsid w:val="00E33116"/>
    <w:rsid w:val="00E33205"/>
    <w:rsid w:val="00E3327E"/>
    <w:rsid w:val="00E332CE"/>
    <w:rsid w:val="00E333B4"/>
    <w:rsid w:val="00E33433"/>
    <w:rsid w:val="00E33459"/>
    <w:rsid w:val="00E3355E"/>
    <w:rsid w:val="00E33562"/>
    <w:rsid w:val="00E3386F"/>
    <w:rsid w:val="00E3393B"/>
    <w:rsid w:val="00E339E0"/>
    <w:rsid w:val="00E33F71"/>
    <w:rsid w:val="00E3418B"/>
    <w:rsid w:val="00E34488"/>
    <w:rsid w:val="00E34570"/>
    <w:rsid w:val="00E34707"/>
    <w:rsid w:val="00E34760"/>
    <w:rsid w:val="00E34A65"/>
    <w:rsid w:val="00E34A9C"/>
    <w:rsid w:val="00E34B32"/>
    <w:rsid w:val="00E34C09"/>
    <w:rsid w:val="00E34CD1"/>
    <w:rsid w:val="00E34D50"/>
    <w:rsid w:val="00E34DB1"/>
    <w:rsid w:val="00E34DD1"/>
    <w:rsid w:val="00E34DF0"/>
    <w:rsid w:val="00E34EA6"/>
    <w:rsid w:val="00E34FB6"/>
    <w:rsid w:val="00E34FD2"/>
    <w:rsid w:val="00E35019"/>
    <w:rsid w:val="00E3502F"/>
    <w:rsid w:val="00E3509B"/>
    <w:rsid w:val="00E35163"/>
    <w:rsid w:val="00E35393"/>
    <w:rsid w:val="00E35797"/>
    <w:rsid w:val="00E359E3"/>
    <w:rsid w:val="00E35A35"/>
    <w:rsid w:val="00E35AC3"/>
    <w:rsid w:val="00E35B3B"/>
    <w:rsid w:val="00E35D97"/>
    <w:rsid w:val="00E3607D"/>
    <w:rsid w:val="00E360E1"/>
    <w:rsid w:val="00E362B6"/>
    <w:rsid w:val="00E3631E"/>
    <w:rsid w:val="00E3641A"/>
    <w:rsid w:val="00E36617"/>
    <w:rsid w:val="00E366A0"/>
    <w:rsid w:val="00E3674D"/>
    <w:rsid w:val="00E36C31"/>
    <w:rsid w:val="00E36EB9"/>
    <w:rsid w:val="00E36FD4"/>
    <w:rsid w:val="00E371FF"/>
    <w:rsid w:val="00E37292"/>
    <w:rsid w:val="00E3741E"/>
    <w:rsid w:val="00E37482"/>
    <w:rsid w:val="00E37699"/>
    <w:rsid w:val="00E377F1"/>
    <w:rsid w:val="00E37928"/>
    <w:rsid w:val="00E37D45"/>
    <w:rsid w:val="00E37D5D"/>
    <w:rsid w:val="00E37DE2"/>
    <w:rsid w:val="00E402B7"/>
    <w:rsid w:val="00E403DF"/>
    <w:rsid w:val="00E4048D"/>
    <w:rsid w:val="00E40687"/>
    <w:rsid w:val="00E406B0"/>
    <w:rsid w:val="00E4082A"/>
    <w:rsid w:val="00E40B83"/>
    <w:rsid w:val="00E40BB7"/>
    <w:rsid w:val="00E40D5E"/>
    <w:rsid w:val="00E40E2F"/>
    <w:rsid w:val="00E40E33"/>
    <w:rsid w:val="00E40E4E"/>
    <w:rsid w:val="00E40FD7"/>
    <w:rsid w:val="00E4100B"/>
    <w:rsid w:val="00E41074"/>
    <w:rsid w:val="00E4111D"/>
    <w:rsid w:val="00E413E7"/>
    <w:rsid w:val="00E4144A"/>
    <w:rsid w:val="00E41462"/>
    <w:rsid w:val="00E415C2"/>
    <w:rsid w:val="00E41767"/>
    <w:rsid w:val="00E417C5"/>
    <w:rsid w:val="00E4186B"/>
    <w:rsid w:val="00E41953"/>
    <w:rsid w:val="00E41981"/>
    <w:rsid w:val="00E41A79"/>
    <w:rsid w:val="00E41B79"/>
    <w:rsid w:val="00E41CD1"/>
    <w:rsid w:val="00E41D2B"/>
    <w:rsid w:val="00E41E95"/>
    <w:rsid w:val="00E41F13"/>
    <w:rsid w:val="00E41F6D"/>
    <w:rsid w:val="00E42349"/>
    <w:rsid w:val="00E425AC"/>
    <w:rsid w:val="00E425B5"/>
    <w:rsid w:val="00E428BC"/>
    <w:rsid w:val="00E429BE"/>
    <w:rsid w:val="00E42A58"/>
    <w:rsid w:val="00E42B82"/>
    <w:rsid w:val="00E42BCB"/>
    <w:rsid w:val="00E42BFD"/>
    <w:rsid w:val="00E42C1F"/>
    <w:rsid w:val="00E42C5C"/>
    <w:rsid w:val="00E42D2B"/>
    <w:rsid w:val="00E42D6C"/>
    <w:rsid w:val="00E43243"/>
    <w:rsid w:val="00E43297"/>
    <w:rsid w:val="00E432CB"/>
    <w:rsid w:val="00E43536"/>
    <w:rsid w:val="00E4363F"/>
    <w:rsid w:val="00E4372D"/>
    <w:rsid w:val="00E437CB"/>
    <w:rsid w:val="00E439FB"/>
    <w:rsid w:val="00E43DBA"/>
    <w:rsid w:val="00E43DF5"/>
    <w:rsid w:val="00E43F58"/>
    <w:rsid w:val="00E43FB1"/>
    <w:rsid w:val="00E44006"/>
    <w:rsid w:val="00E4401E"/>
    <w:rsid w:val="00E44143"/>
    <w:rsid w:val="00E441C7"/>
    <w:rsid w:val="00E44340"/>
    <w:rsid w:val="00E44420"/>
    <w:rsid w:val="00E4444E"/>
    <w:rsid w:val="00E44561"/>
    <w:rsid w:val="00E44703"/>
    <w:rsid w:val="00E447AA"/>
    <w:rsid w:val="00E4481B"/>
    <w:rsid w:val="00E44847"/>
    <w:rsid w:val="00E44A92"/>
    <w:rsid w:val="00E44D0D"/>
    <w:rsid w:val="00E44FFE"/>
    <w:rsid w:val="00E45146"/>
    <w:rsid w:val="00E451CB"/>
    <w:rsid w:val="00E45377"/>
    <w:rsid w:val="00E454A6"/>
    <w:rsid w:val="00E4577D"/>
    <w:rsid w:val="00E457AC"/>
    <w:rsid w:val="00E457F0"/>
    <w:rsid w:val="00E4587B"/>
    <w:rsid w:val="00E458CC"/>
    <w:rsid w:val="00E459F2"/>
    <w:rsid w:val="00E45A93"/>
    <w:rsid w:val="00E45ACF"/>
    <w:rsid w:val="00E45AFA"/>
    <w:rsid w:val="00E45B37"/>
    <w:rsid w:val="00E45B75"/>
    <w:rsid w:val="00E45CAE"/>
    <w:rsid w:val="00E45CDA"/>
    <w:rsid w:val="00E45D50"/>
    <w:rsid w:val="00E45E6F"/>
    <w:rsid w:val="00E45FDB"/>
    <w:rsid w:val="00E4614A"/>
    <w:rsid w:val="00E462A3"/>
    <w:rsid w:val="00E46322"/>
    <w:rsid w:val="00E46399"/>
    <w:rsid w:val="00E4648B"/>
    <w:rsid w:val="00E466ED"/>
    <w:rsid w:val="00E46714"/>
    <w:rsid w:val="00E46855"/>
    <w:rsid w:val="00E46892"/>
    <w:rsid w:val="00E46957"/>
    <w:rsid w:val="00E46B52"/>
    <w:rsid w:val="00E46DE9"/>
    <w:rsid w:val="00E47184"/>
    <w:rsid w:val="00E472EE"/>
    <w:rsid w:val="00E47328"/>
    <w:rsid w:val="00E47362"/>
    <w:rsid w:val="00E475ED"/>
    <w:rsid w:val="00E476DA"/>
    <w:rsid w:val="00E4787B"/>
    <w:rsid w:val="00E47898"/>
    <w:rsid w:val="00E47938"/>
    <w:rsid w:val="00E4798B"/>
    <w:rsid w:val="00E47B8B"/>
    <w:rsid w:val="00E47EE2"/>
    <w:rsid w:val="00E47F55"/>
    <w:rsid w:val="00E50010"/>
    <w:rsid w:val="00E5031B"/>
    <w:rsid w:val="00E50371"/>
    <w:rsid w:val="00E503C7"/>
    <w:rsid w:val="00E5052D"/>
    <w:rsid w:val="00E5066C"/>
    <w:rsid w:val="00E5071A"/>
    <w:rsid w:val="00E5073F"/>
    <w:rsid w:val="00E5099F"/>
    <w:rsid w:val="00E509B5"/>
    <w:rsid w:val="00E50A17"/>
    <w:rsid w:val="00E50BE0"/>
    <w:rsid w:val="00E50E51"/>
    <w:rsid w:val="00E50EB0"/>
    <w:rsid w:val="00E50F91"/>
    <w:rsid w:val="00E51009"/>
    <w:rsid w:val="00E51109"/>
    <w:rsid w:val="00E51111"/>
    <w:rsid w:val="00E51126"/>
    <w:rsid w:val="00E511E8"/>
    <w:rsid w:val="00E512D5"/>
    <w:rsid w:val="00E51308"/>
    <w:rsid w:val="00E51310"/>
    <w:rsid w:val="00E51377"/>
    <w:rsid w:val="00E51445"/>
    <w:rsid w:val="00E51972"/>
    <w:rsid w:val="00E519A5"/>
    <w:rsid w:val="00E51AE1"/>
    <w:rsid w:val="00E51D3E"/>
    <w:rsid w:val="00E51DEB"/>
    <w:rsid w:val="00E51FE9"/>
    <w:rsid w:val="00E51FEB"/>
    <w:rsid w:val="00E5208D"/>
    <w:rsid w:val="00E52265"/>
    <w:rsid w:val="00E522D1"/>
    <w:rsid w:val="00E52400"/>
    <w:rsid w:val="00E5256C"/>
    <w:rsid w:val="00E5259E"/>
    <w:rsid w:val="00E525CC"/>
    <w:rsid w:val="00E5265C"/>
    <w:rsid w:val="00E5272A"/>
    <w:rsid w:val="00E52972"/>
    <w:rsid w:val="00E52A22"/>
    <w:rsid w:val="00E52A5B"/>
    <w:rsid w:val="00E52A70"/>
    <w:rsid w:val="00E52C0C"/>
    <w:rsid w:val="00E52E5D"/>
    <w:rsid w:val="00E53383"/>
    <w:rsid w:val="00E5342C"/>
    <w:rsid w:val="00E535A6"/>
    <w:rsid w:val="00E53967"/>
    <w:rsid w:val="00E53A85"/>
    <w:rsid w:val="00E53B27"/>
    <w:rsid w:val="00E53C13"/>
    <w:rsid w:val="00E53D7F"/>
    <w:rsid w:val="00E53EA9"/>
    <w:rsid w:val="00E542E2"/>
    <w:rsid w:val="00E54354"/>
    <w:rsid w:val="00E543A8"/>
    <w:rsid w:val="00E544D3"/>
    <w:rsid w:val="00E5462E"/>
    <w:rsid w:val="00E5478A"/>
    <w:rsid w:val="00E54800"/>
    <w:rsid w:val="00E54A9F"/>
    <w:rsid w:val="00E54CEA"/>
    <w:rsid w:val="00E54F83"/>
    <w:rsid w:val="00E55079"/>
    <w:rsid w:val="00E55175"/>
    <w:rsid w:val="00E55246"/>
    <w:rsid w:val="00E554B7"/>
    <w:rsid w:val="00E554FF"/>
    <w:rsid w:val="00E555C5"/>
    <w:rsid w:val="00E5562A"/>
    <w:rsid w:val="00E556D5"/>
    <w:rsid w:val="00E55900"/>
    <w:rsid w:val="00E55A5B"/>
    <w:rsid w:val="00E55CCB"/>
    <w:rsid w:val="00E55D10"/>
    <w:rsid w:val="00E55D36"/>
    <w:rsid w:val="00E55F0B"/>
    <w:rsid w:val="00E5603E"/>
    <w:rsid w:val="00E5604D"/>
    <w:rsid w:val="00E564DA"/>
    <w:rsid w:val="00E56728"/>
    <w:rsid w:val="00E56954"/>
    <w:rsid w:val="00E569D8"/>
    <w:rsid w:val="00E56A6D"/>
    <w:rsid w:val="00E56B47"/>
    <w:rsid w:val="00E5701C"/>
    <w:rsid w:val="00E5722F"/>
    <w:rsid w:val="00E572B3"/>
    <w:rsid w:val="00E572D4"/>
    <w:rsid w:val="00E576D8"/>
    <w:rsid w:val="00E5770C"/>
    <w:rsid w:val="00E57884"/>
    <w:rsid w:val="00E57C4F"/>
    <w:rsid w:val="00E57E35"/>
    <w:rsid w:val="00E60114"/>
    <w:rsid w:val="00E60145"/>
    <w:rsid w:val="00E604AA"/>
    <w:rsid w:val="00E605DD"/>
    <w:rsid w:val="00E60BCC"/>
    <w:rsid w:val="00E60C9F"/>
    <w:rsid w:val="00E60CB7"/>
    <w:rsid w:val="00E60D0D"/>
    <w:rsid w:val="00E60D5D"/>
    <w:rsid w:val="00E60EB5"/>
    <w:rsid w:val="00E611A0"/>
    <w:rsid w:val="00E613E7"/>
    <w:rsid w:val="00E61488"/>
    <w:rsid w:val="00E61873"/>
    <w:rsid w:val="00E6199A"/>
    <w:rsid w:val="00E61A8E"/>
    <w:rsid w:val="00E61B6C"/>
    <w:rsid w:val="00E61EB0"/>
    <w:rsid w:val="00E621C0"/>
    <w:rsid w:val="00E62219"/>
    <w:rsid w:val="00E62300"/>
    <w:rsid w:val="00E62454"/>
    <w:rsid w:val="00E6255F"/>
    <w:rsid w:val="00E625CB"/>
    <w:rsid w:val="00E62764"/>
    <w:rsid w:val="00E627B4"/>
    <w:rsid w:val="00E627C8"/>
    <w:rsid w:val="00E627D7"/>
    <w:rsid w:val="00E62940"/>
    <w:rsid w:val="00E62984"/>
    <w:rsid w:val="00E62AB6"/>
    <w:rsid w:val="00E62AB7"/>
    <w:rsid w:val="00E62ACE"/>
    <w:rsid w:val="00E62B33"/>
    <w:rsid w:val="00E62C2F"/>
    <w:rsid w:val="00E62CD8"/>
    <w:rsid w:val="00E62D93"/>
    <w:rsid w:val="00E62F57"/>
    <w:rsid w:val="00E631AD"/>
    <w:rsid w:val="00E633CF"/>
    <w:rsid w:val="00E63414"/>
    <w:rsid w:val="00E635AB"/>
    <w:rsid w:val="00E636E9"/>
    <w:rsid w:val="00E636FD"/>
    <w:rsid w:val="00E63736"/>
    <w:rsid w:val="00E6383B"/>
    <w:rsid w:val="00E63890"/>
    <w:rsid w:val="00E63A17"/>
    <w:rsid w:val="00E63A98"/>
    <w:rsid w:val="00E63ADD"/>
    <w:rsid w:val="00E63B54"/>
    <w:rsid w:val="00E63B96"/>
    <w:rsid w:val="00E63DF1"/>
    <w:rsid w:val="00E63E67"/>
    <w:rsid w:val="00E64149"/>
    <w:rsid w:val="00E641F6"/>
    <w:rsid w:val="00E64257"/>
    <w:rsid w:val="00E6429C"/>
    <w:rsid w:val="00E64387"/>
    <w:rsid w:val="00E644A6"/>
    <w:rsid w:val="00E6469B"/>
    <w:rsid w:val="00E6477A"/>
    <w:rsid w:val="00E647C2"/>
    <w:rsid w:val="00E64CFE"/>
    <w:rsid w:val="00E64D95"/>
    <w:rsid w:val="00E64E17"/>
    <w:rsid w:val="00E64E4A"/>
    <w:rsid w:val="00E64E7B"/>
    <w:rsid w:val="00E64EA5"/>
    <w:rsid w:val="00E64FE1"/>
    <w:rsid w:val="00E650C3"/>
    <w:rsid w:val="00E651F7"/>
    <w:rsid w:val="00E656BB"/>
    <w:rsid w:val="00E65813"/>
    <w:rsid w:val="00E65A32"/>
    <w:rsid w:val="00E65C7F"/>
    <w:rsid w:val="00E65D02"/>
    <w:rsid w:val="00E65D07"/>
    <w:rsid w:val="00E65DFA"/>
    <w:rsid w:val="00E65E02"/>
    <w:rsid w:val="00E65F1E"/>
    <w:rsid w:val="00E660AD"/>
    <w:rsid w:val="00E6617B"/>
    <w:rsid w:val="00E6629C"/>
    <w:rsid w:val="00E6656D"/>
    <w:rsid w:val="00E666FC"/>
    <w:rsid w:val="00E66710"/>
    <w:rsid w:val="00E66824"/>
    <w:rsid w:val="00E66961"/>
    <w:rsid w:val="00E6699F"/>
    <w:rsid w:val="00E669BB"/>
    <w:rsid w:val="00E66AD7"/>
    <w:rsid w:val="00E66D06"/>
    <w:rsid w:val="00E66D3F"/>
    <w:rsid w:val="00E66EC6"/>
    <w:rsid w:val="00E6726F"/>
    <w:rsid w:val="00E67498"/>
    <w:rsid w:val="00E6793F"/>
    <w:rsid w:val="00E67A18"/>
    <w:rsid w:val="00E67A68"/>
    <w:rsid w:val="00E67AB9"/>
    <w:rsid w:val="00E67B3A"/>
    <w:rsid w:val="00E67C50"/>
    <w:rsid w:val="00E67C9A"/>
    <w:rsid w:val="00E67CE5"/>
    <w:rsid w:val="00E67D09"/>
    <w:rsid w:val="00E67D39"/>
    <w:rsid w:val="00E67F67"/>
    <w:rsid w:val="00E70545"/>
    <w:rsid w:val="00E70559"/>
    <w:rsid w:val="00E705B6"/>
    <w:rsid w:val="00E706D3"/>
    <w:rsid w:val="00E708D6"/>
    <w:rsid w:val="00E708EA"/>
    <w:rsid w:val="00E70953"/>
    <w:rsid w:val="00E7097F"/>
    <w:rsid w:val="00E70A38"/>
    <w:rsid w:val="00E70AEB"/>
    <w:rsid w:val="00E70D40"/>
    <w:rsid w:val="00E70D74"/>
    <w:rsid w:val="00E70DC5"/>
    <w:rsid w:val="00E70E3F"/>
    <w:rsid w:val="00E70E8A"/>
    <w:rsid w:val="00E70F9D"/>
    <w:rsid w:val="00E710F2"/>
    <w:rsid w:val="00E711C6"/>
    <w:rsid w:val="00E711D1"/>
    <w:rsid w:val="00E7125B"/>
    <w:rsid w:val="00E7129D"/>
    <w:rsid w:val="00E712D9"/>
    <w:rsid w:val="00E7177A"/>
    <w:rsid w:val="00E71815"/>
    <w:rsid w:val="00E71843"/>
    <w:rsid w:val="00E71902"/>
    <w:rsid w:val="00E71C63"/>
    <w:rsid w:val="00E71CB2"/>
    <w:rsid w:val="00E71D2A"/>
    <w:rsid w:val="00E71E22"/>
    <w:rsid w:val="00E71F3F"/>
    <w:rsid w:val="00E71F68"/>
    <w:rsid w:val="00E720D6"/>
    <w:rsid w:val="00E72196"/>
    <w:rsid w:val="00E72231"/>
    <w:rsid w:val="00E72327"/>
    <w:rsid w:val="00E7264E"/>
    <w:rsid w:val="00E726CD"/>
    <w:rsid w:val="00E727F8"/>
    <w:rsid w:val="00E72A8A"/>
    <w:rsid w:val="00E72AE7"/>
    <w:rsid w:val="00E72AED"/>
    <w:rsid w:val="00E72B3C"/>
    <w:rsid w:val="00E72E55"/>
    <w:rsid w:val="00E72E5B"/>
    <w:rsid w:val="00E73013"/>
    <w:rsid w:val="00E73352"/>
    <w:rsid w:val="00E7370E"/>
    <w:rsid w:val="00E73731"/>
    <w:rsid w:val="00E7382F"/>
    <w:rsid w:val="00E73859"/>
    <w:rsid w:val="00E73BF2"/>
    <w:rsid w:val="00E73C13"/>
    <w:rsid w:val="00E73C60"/>
    <w:rsid w:val="00E73D7B"/>
    <w:rsid w:val="00E73DEF"/>
    <w:rsid w:val="00E73FB2"/>
    <w:rsid w:val="00E74177"/>
    <w:rsid w:val="00E741BB"/>
    <w:rsid w:val="00E74270"/>
    <w:rsid w:val="00E74341"/>
    <w:rsid w:val="00E745FC"/>
    <w:rsid w:val="00E747B4"/>
    <w:rsid w:val="00E749E0"/>
    <w:rsid w:val="00E74AD8"/>
    <w:rsid w:val="00E74B3A"/>
    <w:rsid w:val="00E74C44"/>
    <w:rsid w:val="00E74FB0"/>
    <w:rsid w:val="00E75198"/>
    <w:rsid w:val="00E75442"/>
    <w:rsid w:val="00E758D4"/>
    <w:rsid w:val="00E758EB"/>
    <w:rsid w:val="00E758F0"/>
    <w:rsid w:val="00E75930"/>
    <w:rsid w:val="00E75AF7"/>
    <w:rsid w:val="00E75AFB"/>
    <w:rsid w:val="00E75C09"/>
    <w:rsid w:val="00E75CB3"/>
    <w:rsid w:val="00E75F70"/>
    <w:rsid w:val="00E76258"/>
    <w:rsid w:val="00E7627C"/>
    <w:rsid w:val="00E76342"/>
    <w:rsid w:val="00E764C4"/>
    <w:rsid w:val="00E76525"/>
    <w:rsid w:val="00E76619"/>
    <w:rsid w:val="00E76885"/>
    <w:rsid w:val="00E76A98"/>
    <w:rsid w:val="00E76BA2"/>
    <w:rsid w:val="00E76DD7"/>
    <w:rsid w:val="00E76EC5"/>
    <w:rsid w:val="00E77127"/>
    <w:rsid w:val="00E7718E"/>
    <w:rsid w:val="00E772DD"/>
    <w:rsid w:val="00E7753C"/>
    <w:rsid w:val="00E77AE7"/>
    <w:rsid w:val="00E77B12"/>
    <w:rsid w:val="00E77B3B"/>
    <w:rsid w:val="00E77CC5"/>
    <w:rsid w:val="00E77CF6"/>
    <w:rsid w:val="00E77E77"/>
    <w:rsid w:val="00E77F38"/>
    <w:rsid w:val="00E80295"/>
    <w:rsid w:val="00E8043B"/>
    <w:rsid w:val="00E807C2"/>
    <w:rsid w:val="00E807D6"/>
    <w:rsid w:val="00E809C0"/>
    <w:rsid w:val="00E80C60"/>
    <w:rsid w:val="00E80C90"/>
    <w:rsid w:val="00E80CC4"/>
    <w:rsid w:val="00E80DBE"/>
    <w:rsid w:val="00E80E90"/>
    <w:rsid w:val="00E80F0F"/>
    <w:rsid w:val="00E81028"/>
    <w:rsid w:val="00E811BE"/>
    <w:rsid w:val="00E812CE"/>
    <w:rsid w:val="00E813CF"/>
    <w:rsid w:val="00E81A4A"/>
    <w:rsid w:val="00E81C51"/>
    <w:rsid w:val="00E81D14"/>
    <w:rsid w:val="00E81D92"/>
    <w:rsid w:val="00E81E04"/>
    <w:rsid w:val="00E8217C"/>
    <w:rsid w:val="00E821A2"/>
    <w:rsid w:val="00E8237A"/>
    <w:rsid w:val="00E824BA"/>
    <w:rsid w:val="00E8277D"/>
    <w:rsid w:val="00E827B9"/>
    <w:rsid w:val="00E8284F"/>
    <w:rsid w:val="00E82873"/>
    <w:rsid w:val="00E828AE"/>
    <w:rsid w:val="00E828D3"/>
    <w:rsid w:val="00E82CB2"/>
    <w:rsid w:val="00E82CD9"/>
    <w:rsid w:val="00E82CDF"/>
    <w:rsid w:val="00E82CF7"/>
    <w:rsid w:val="00E82D87"/>
    <w:rsid w:val="00E82D99"/>
    <w:rsid w:val="00E82E2F"/>
    <w:rsid w:val="00E8318A"/>
    <w:rsid w:val="00E831D7"/>
    <w:rsid w:val="00E83466"/>
    <w:rsid w:val="00E8359D"/>
    <w:rsid w:val="00E835A4"/>
    <w:rsid w:val="00E83652"/>
    <w:rsid w:val="00E83654"/>
    <w:rsid w:val="00E83755"/>
    <w:rsid w:val="00E837AD"/>
    <w:rsid w:val="00E83809"/>
    <w:rsid w:val="00E83839"/>
    <w:rsid w:val="00E83971"/>
    <w:rsid w:val="00E839C5"/>
    <w:rsid w:val="00E83B2C"/>
    <w:rsid w:val="00E83BD4"/>
    <w:rsid w:val="00E83DF2"/>
    <w:rsid w:val="00E83E0E"/>
    <w:rsid w:val="00E840FD"/>
    <w:rsid w:val="00E84297"/>
    <w:rsid w:val="00E8434C"/>
    <w:rsid w:val="00E843D3"/>
    <w:rsid w:val="00E843F0"/>
    <w:rsid w:val="00E844E3"/>
    <w:rsid w:val="00E8456C"/>
    <w:rsid w:val="00E84A56"/>
    <w:rsid w:val="00E84ABD"/>
    <w:rsid w:val="00E84ACF"/>
    <w:rsid w:val="00E84B95"/>
    <w:rsid w:val="00E84DBB"/>
    <w:rsid w:val="00E84F4B"/>
    <w:rsid w:val="00E8500E"/>
    <w:rsid w:val="00E85062"/>
    <w:rsid w:val="00E85149"/>
    <w:rsid w:val="00E8516F"/>
    <w:rsid w:val="00E85250"/>
    <w:rsid w:val="00E852BD"/>
    <w:rsid w:val="00E852FF"/>
    <w:rsid w:val="00E854B4"/>
    <w:rsid w:val="00E85534"/>
    <w:rsid w:val="00E855F7"/>
    <w:rsid w:val="00E856F9"/>
    <w:rsid w:val="00E85779"/>
    <w:rsid w:val="00E857DE"/>
    <w:rsid w:val="00E857E7"/>
    <w:rsid w:val="00E85D05"/>
    <w:rsid w:val="00E86019"/>
    <w:rsid w:val="00E862FE"/>
    <w:rsid w:val="00E865A1"/>
    <w:rsid w:val="00E867E9"/>
    <w:rsid w:val="00E86915"/>
    <w:rsid w:val="00E86986"/>
    <w:rsid w:val="00E869EF"/>
    <w:rsid w:val="00E86B7A"/>
    <w:rsid w:val="00E86D46"/>
    <w:rsid w:val="00E8718F"/>
    <w:rsid w:val="00E871F6"/>
    <w:rsid w:val="00E874EE"/>
    <w:rsid w:val="00E874FF"/>
    <w:rsid w:val="00E87619"/>
    <w:rsid w:val="00E8774A"/>
    <w:rsid w:val="00E877A5"/>
    <w:rsid w:val="00E87917"/>
    <w:rsid w:val="00E87B4A"/>
    <w:rsid w:val="00E87C02"/>
    <w:rsid w:val="00E87CC5"/>
    <w:rsid w:val="00E87D0A"/>
    <w:rsid w:val="00E87D56"/>
    <w:rsid w:val="00E90001"/>
    <w:rsid w:val="00E90047"/>
    <w:rsid w:val="00E90393"/>
    <w:rsid w:val="00E904F5"/>
    <w:rsid w:val="00E90697"/>
    <w:rsid w:val="00E90806"/>
    <w:rsid w:val="00E9085B"/>
    <w:rsid w:val="00E90AB9"/>
    <w:rsid w:val="00E90B53"/>
    <w:rsid w:val="00E90E14"/>
    <w:rsid w:val="00E91023"/>
    <w:rsid w:val="00E91082"/>
    <w:rsid w:val="00E91183"/>
    <w:rsid w:val="00E91195"/>
    <w:rsid w:val="00E91292"/>
    <w:rsid w:val="00E913A0"/>
    <w:rsid w:val="00E916F6"/>
    <w:rsid w:val="00E91769"/>
    <w:rsid w:val="00E91775"/>
    <w:rsid w:val="00E9193A"/>
    <w:rsid w:val="00E91B4D"/>
    <w:rsid w:val="00E91D52"/>
    <w:rsid w:val="00E91EB9"/>
    <w:rsid w:val="00E91FA0"/>
    <w:rsid w:val="00E92002"/>
    <w:rsid w:val="00E92049"/>
    <w:rsid w:val="00E9206F"/>
    <w:rsid w:val="00E920A3"/>
    <w:rsid w:val="00E92223"/>
    <w:rsid w:val="00E92323"/>
    <w:rsid w:val="00E9246A"/>
    <w:rsid w:val="00E924D4"/>
    <w:rsid w:val="00E92591"/>
    <w:rsid w:val="00E9268A"/>
    <w:rsid w:val="00E92A9C"/>
    <w:rsid w:val="00E92B0B"/>
    <w:rsid w:val="00E92BDA"/>
    <w:rsid w:val="00E9302C"/>
    <w:rsid w:val="00E93103"/>
    <w:rsid w:val="00E93207"/>
    <w:rsid w:val="00E93228"/>
    <w:rsid w:val="00E9322E"/>
    <w:rsid w:val="00E93259"/>
    <w:rsid w:val="00E933ED"/>
    <w:rsid w:val="00E93448"/>
    <w:rsid w:val="00E93462"/>
    <w:rsid w:val="00E9363A"/>
    <w:rsid w:val="00E9370A"/>
    <w:rsid w:val="00E93906"/>
    <w:rsid w:val="00E93A8C"/>
    <w:rsid w:val="00E93B96"/>
    <w:rsid w:val="00E93BD7"/>
    <w:rsid w:val="00E93D2A"/>
    <w:rsid w:val="00E93D34"/>
    <w:rsid w:val="00E93D62"/>
    <w:rsid w:val="00E93D7C"/>
    <w:rsid w:val="00E94100"/>
    <w:rsid w:val="00E94214"/>
    <w:rsid w:val="00E944E9"/>
    <w:rsid w:val="00E947E4"/>
    <w:rsid w:val="00E947F0"/>
    <w:rsid w:val="00E948C2"/>
    <w:rsid w:val="00E9491A"/>
    <w:rsid w:val="00E949C8"/>
    <w:rsid w:val="00E94D87"/>
    <w:rsid w:val="00E94EC9"/>
    <w:rsid w:val="00E94EF8"/>
    <w:rsid w:val="00E94F50"/>
    <w:rsid w:val="00E95169"/>
    <w:rsid w:val="00E95454"/>
    <w:rsid w:val="00E95636"/>
    <w:rsid w:val="00E95660"/>
    <w:rsid w:val="00E9587B"/>
    <w:rsid w:val="00E95A05"/>
    <w:rsid w:val="00E95A3B"/>
    <w:rsid w:val="00E95D84"/>
    <w:rsid w:val="00E95E6C"/>
    <w:rsid w:val="00E95F93"/>
    <w:rsid w:val="00E960F0"/>
    <w:rsid w:val="00E96188"/>
    <w:rsid w:val="00E961D1"/>
    <w:rsid w:val="00E96363"/>
    <w:rsid w:val="00E96397"/>
    <w:rsid w:val="00E964FA"/>
    <w:rsid w:val="00E9651D"/>
    <w:rsid w:val="00E965AE"/>
    <w:rsid w:val="00E966BE"/>
    <w:rsid w:val="00E968BA"/>
    <w:rsid w:val="00E969C0"/>
    <w:rsid w:val="00E96A54"/>
    <w:rsid w:val="00E96B82"/>
    <w:rsid w:val="00E96C22"/>
    <w:rsid w:val="00E96C6B"/>
    <w:rsid w:val="00E96D49"/>
    <w:rsid w:val="00E96D78"/>
    <w:rsid w:val="00E96F51"/>
    <w:rsid w:val="00E970F3"/>
    <w:rsid w:val="00E9715F"/>
    <w:rsid w:val="00E9727A"/>
    <w:rsid w:val="00E97282"/>
    <w:rsid w:val="00E972B3"/>
    <w:rsid w:val="00E972E1"/>
    <w:rsid w:val="00E9742D"/>
    <w:rsid w:val="00E97552"/>
    <w:rsid w:val="00E9755A"/>
    <w:rsid w:val="00E97621"/>
    <w:rsid w:val="00E9780A"/>
    <w:rsid w:val="00E978A3"/>
    <w:rsid w:val="00E978EE"/>
    <w:rsid w:val="00E9794F"/>
    <w:rsid w:val="00E97AC2"/>
    <w:rsid w:val="00E97E0C"/>
    <w:rsid w:val="00E97E3D"/>
    <w:rsid w:val="00E97F2E"/>
    <w:rsid w:val="00EA0000"/>
    <w:rsid w:val="00EA0257"/>
    <w:rsid w:val="00EA029C"/>
    <w:rsid w:val="00EA02EF"/>
    <w:rsid w:val="00EA055E"/>
    <w:rsid w:val="00EA060E"/>
    <w:rsid w:val="00EA0B29"/>
    <w:rsid w:val="00EA0B70"/>
    <w:rsid w:val="00EA0F89"/>
    <w:rsid w:val="00EA10DE"/>
    <w:rsid w:val="00EA1232"/>
    <w:rsid w:val="00EA1358"/>
    <w:rsid w:val="00EA1484"/>
    <w:rsid w:val="00EA1522"/>
    <w:rsid w:val="00EA1545"/>
    <w:rsid w:val="00EA1772"/>
    <w:rsid w:val="00EA18EF"/>
    <w:rsid w:val="00EA194B"/>
    <w:rsid w:val="00EA19FB"/>
    <w:rsid w:val="00EA1C59"/>
    <w:rsid w:val="00EA1EA0"/>
    <w:rsid w:val="00EA20A4"/>
    <w:rsid w:val="00EA211C"/>
    <w:rsid w:val="00EA2468"/>
    <w:rsid w:val="00EA24B6"/>
    <w:rsid w:val="00EA24EE"/>
    <w:rsid w:val="00EA25D0"/>
    <w:rsid w:val="00EA25EE"/>
    <w:rsid w:val="00EA2607"/>
    <w:rsid w:val="00EA2669"/>
    <w:rsid w:val="00EA28DC"/>
    <w:rsid w:val="00EA2AC5"/>
    <w:rsid w:val="00EA2C48"/>
    <w:rsid w:val="00EA2CAF"/>
    <w:rsid w:val="00EA2D58"/>
    <w:rsid w:val="00EA2FCB"/>
    <w:rsid w:val="00EA31DF"/>
    <w:rsid w:val="00EA31E5"/>
    <w:rsid w:val="00EA327D"/>
    <w:rsid w:val="00EA33D3"/>
    <w:rsid w:val="00EA35DF"/>
    <w:rsid w:val="00EA3606"/>
    <w:rsid w:val="00EA37C8"/>
    <w:rsid w:val="00EA3CF7"/>
    <w:rsid w:val="00EA3D3A"/>
    <w:rsid w:val="00EA3E30"/>
    <w:rsid w:val="00EA3ED2"/>
    <w:rsid w:val="00EA3F1C"/>
    <w:rsid w:val="00EA3F43"/>
    <w:rsid w:val="00EA40F9"/>
    <w:rsid w:val="00EA41A1"/>
    <w:rsid w:val="00EA41D8"/>
    <w:rsid w:val="00EA42F0"/>
    <w:rsid w:val="00EA43E5"/>
    <w:rsid w:val="00EA443F"/>
    <w:rsid w:val="00EA445A"/>
    <w:rsid w:val="00EA4479"/>
    <w:rsid w:val="00EA4704"/>
    <w:rsid w:val="00EA4A82"/>
    <w:rsid w:val="00EA4BF9"/>
    <w:rsid w:val="00EA4C8A"/>
    <w:rsid w:val="00EA4CEA"/>
    <w:rsid w:val="00EA4D66"/>
    <w:rsid w:val="00EA4DF7"/>
    <w:rsid w:val="00EA4F59"/>
    <w:rsid w:val="00EA4FBD"/>
    <w:rsid w:val="00EA5073"/>
    <w:rsid w:val="00EA52C0"/>
    <w:rsid w:val="00EA53E2"/>
    <w:rsid w:val="00EA5419"/>
    <w:rsid w:val="00EA5625"/>
    <w:rsid w:val="00EA5805"/>
    <w:rsid w:val="00EA5863"/>
    <w:rsid w:val="00EA5871"/>
    <w:rsid w:val="00EA58FD"/>
    <w:rsid w:val="00EA5FAE"/>
    <w:rsid w:val="00EA61FB"/>
    <w:rsid w:val="00EA627C"/>
    <w:rsid w:val="00EA62F0"/>
    <w:rsid w:val="00EA6515"/>
    <w:rsid w:val="00EA723B"/>
    <w:rsid w:val="00EA73AD"/>
    <w:rsid w:val="00EA7470"/>
    <w:rsid w:val="00EA7519"/>
    <w:rsid w:val="00EA79C7"/>
    <w:rsid w:val="00EA7A01"/>
    <w:rsid w:val="00EA7B7E"/>
    <w:rsid w:val="00EA7BE7"/>
    <w:rsid w:val="00EA7C1B"/>
    <w:rsid w:val="00EA7C69"/>
    <w:rsid w:val="00EA7C8B"/>
    <w:rsid w:val="00EA7E4D"/>
    <w:rsid w:val="00EA7E97"/>
    <w:rsid w:val="00EB0074"/>
    <w:rsid w:val="00EB017E"/>
    <w:rsid w:val="00EB02DB"/>
    <w:rsid w:val="00EB02F1"/>
    <w:rsid w:val="00EB03E5"/>
    <w:rsid w:val="00EB03F0"/>
    <w:rsid w:val="00EB0405"/>
    <w:rsid w:val="00EB07AE"/>
    <w:rsid w:val="00EB0B30"/>
    <w:rsid w:val="00EB0B88"/>
    <w:rsid w:val="00EB0BAD"/>
    <w:rsid w:val="00EB0BFE"/>
    <w:rsid w:val="00EB0D83"/>
    <w:rsid w:val="00EB0DC5"/>
    <w:rsid w:val="00EB0E12"/>
    <w:rsid w:val="00EB0E18"/>
    <w:rsid w:val="00EB1081"/>
    <w:rsid w:val="00EB117B"/>
    <w:rsid w:val="00EB1338"/>
    <w:rsid w:val="00EB152B"/>
    <w:rsid w:val="00EB174B"/>
    <w:rsid w:val="00EB1776"/>
    <w:rsid w:val="00EB179D"/>
    <w:rsid w:val="00EB17BD"/>
    <w:rsid w:val="00EB1801"/>
    <w:rsid w:val="00EB186E"/>
    <w:rsid w:val="00EB1AD6"/>
    <w:rsid w:val="00EB1CB4"/>
    <w:rsid w:val="00EB1DB2"/>
    <w:rsid w:val="00EB1F77"/>
    <w:rsid w:val="00EB21C5"/>
    <w:rsid w:val="00EB25B7"/>
    <w:rsid w:val="00EB2AFB"/>
    <w:rsid w:val="00EB2CBE"/>
    <w:rsid w:val="00EB2D19"/>
    <w:rsid w:val="00EB2E4B"/>
    <w:rsid w:val="00EB2F12"/>
    <w:rsid w:val="00EB315D"/>
    <w:rsid w:val="00EB3279"/>
    <w:rsid w:val="00EB32E9"/>
    <w:rsid w:val="00EB3450"/>
    <w:rsid w:val="00EB3588"/>
    <w:rsid w:val="00EB359B"/>
    <w:rsid w:val="00EB3839"/>
    <w:rsid w:val="00EB3945"/>
    <w:rsid w:val="00EB397F"/>
    <w:rsid w:val="00EB3A14"/>
    <w:rsid w:val="00EB3A2F"/>
    <w:rsid w:val="00EB3A3E"/>
    <w:rsid w:val="00EB3A5A"/>
    <w:rsid w:val="00EB3B75"/>
    <w:rsid w:val="00EB3D52"/>
    <w:rsid w:val="00EB3DCB"/>
    <w:rsid w:val="00EB3EDE"/>
    <w:rsid w:val="00EB3EE0"/>
    <w:rsid w:val="00EB3F16"/>
    <w:rsid w:val="00EB41A2"/>
    <w:rsid w:val="00EB4332"/>
    <w:rsid w:val="00EB4371"/>
    <w:rsid w:val="00EB4705"/>
    <w:rsid w:val="00EB470F"/>
    <w:rsid w:val="00EB4794"/>
    <w:rsid w:val="00EB48ED"/>
    <w:rsid w:val="00EB4A7E"/>
    <w:rsid w:val="00EB4B37"/>
    <w:rsid w:val="00EB4BE8"/>
    <w:rsid w:val="00EB4C44"/>
    <w:rsid w:val="00EB4C62"/>
    <w:rsid w:val="00EB4CF8"/>
    <w:rsid w:val="00EB4DA1"/>
    <w:rsid w:val="00EB4EFB"/>
    <w:rsid w:val="00EB51C2"/>
    <w:rsid w:val="00EB52ED"/>
    <w:rsid w:val="00EB52FC"/>
    <w:rsid w:val="00EB53AA"/>
    <w:rsid w:val="00EB545B"/>
    <w:rsid w:val="00EB54F0"/>
    <w:rsid w:val="00EB5533"/>
    <w:rsid w:val="00EB557C"/>
    <w:rsid w:val="00EB55D3"/>
    <w:rsid w:val="00EB5822"/>
    <w:rsid w:val="00EB5869"/>
    <w:rsid w:val="00EB5899"/>
    <w:rsid w:val="00EB58A6"/>
    <w:rsid w:val="00EB5943"/>
    <w:rsid w:val="00EB5A78"/>
    <w:rsid w:val="00EB5AB3"/>
    <w:rsid w:val="00EB5C1E"/>
    <w:rsid w:val="00EB5FE6"/>
    <w:rsid w:val="00EB60CE"/>
    <w:rsid w:val="00EB6396"/>
    <w:rsid w:val="00EB63AF"/>
    <w:rsid w:val="00EB63CA"/>
    <w:rsid w:val="00EB644B"/>
    <w:rsid w:val="00EB6469"/>
    <w:rsid w:val="00EB657A"/>
    <w:rsid w:val="00EB65A2"/>
    <w:rsid w:val="00EB6801"/>
    <w:rsid w:val="00EB6884"/>
    <w:rsid w:val="00EB6899"/>
    <w:rsid w:val="00EB6B0B"/>
    <w:rsid w:val="00EB6B52"/>
    <w:rsid w:val="00EB6BDB"/>
    <w:rsid w:val="00EB6F7F"/>
    <w:rsid w:val="00EB71DB"/>
    <w:rsid w:val="00EB7214"/>
    <w:rsid w:val="00EB7381"/>
    <w:rsid w:val="00EB7588"/>
    <w:rsid w:val="00EB75BC"/>
    <w:rsid w:val="00EB762F"/>
    <w:rsid w:val="00EB7782"/>
    <w:rsid w:val="00EB785E"/>
    <w:rsid w:val="00EB791C"/>
    <w:rsid w:val="00EB79CC"/>
    <w:rsid w:val="00EB7BB8"/>
    <w:rsid w:val="00EB7CC2"/>
    <w:rsid w:val="00EB7FC2"/>
    <w:rsid w:val="00EC005B"/>
    <w:rsid w:val="00EC00AD"/>
    <w:rsid w:val="00EC02BF"/>
    <w:rsid w:val="00EC0312"/>
    <w:rsid w:val="00EC0341"/>
    <w:rsid w:val="00EC04BC"/>
    <w:rsid w:val="00EC051F"/>
    <w:rsid w:val="00EC0738"/>
    <w:rsid w:val="00EC0967"/>
    <w:rsid w:val="00EC0A28"/>
    <w:rsid w:val="00EC0B3E"/>
    <w:rsid w:val="00EC0B59"/>
    <w:rsid w:val="00EC0C7E"/>
    <w:rsid w:val="00EC0D27"/>
    <w:rsid w:val="00EC0D99"/>
    <w:rsid w:val="00EC1084"/>
    <w:rsid w:val="00EC10FF"/>
    <w:rsid w:val="00EC117B"/>
    <w:rsid w:val="00EC130E"/>
    <w:rsid w:val="00EC142B"/>
    <w:rsid w:val="00EC14D1"/>
    <w:rsid w:val="00EC14D6"/>
    <w:rsid w:val="00EC14F2"/>
    <w:rsid w:val="00EC159C"/>
    <w:rsid w:val="00EC1665"/>
    <w:rsid w:val="00EC16B2"/>
    <w:rsid w:val="00EC1756"/>
    <w:rsid w:val="00EC175B"/>
    <w:rsid w:val="00EC18BA"/>
    <w:rsid w:val="00EC1B90"/>
    <w:rsid w:val="00EC1F31"/>
    <w:rsid w:val="00EC2008"/>
    <w:rsid w:val="00EC2080"/>
    <w:rsid w:val="00EC20E5"/>
    <w:rsid w:val="00EC2217"/>
    <w:rsid w:val="00EC221B"/>
    <w:rsid w:val="00EC228F"/>
    <w:rsid w:val="00EC23CA"/>
    <w:rsid w:val="00EC2577"/>
    <w:rsid w:val="00EC26DF"/>
    <w:rsid w:val="00EC28DE"/>
    <w:rsid w:val="00EC2A0F"/>
    <w:rsid w:val="00EC2AC3"/>
    <w:rsid w:val="00EC2BCD"/>
    <w:rsid w:val="00EC2BFA"/>
    <w:rsid w:val="00EC2BFB"/>
    <w:rsid w:val="00EC2C93"/>
    <w:rsid w:val="00EC2D1F"/>
    <w:rsid w:val="00EC2E2C"/>
    <w:rsid w:val="00EC307D"/>
    <w:rsid w:val="00EC3157"/>
    <w:rsid w:val="00EC3235"/>
    <w:rsid w:val="00EC3267"/>
    <w:rsid w:val="00EC37BC"/>
    <w:rsid w:val="00EC3970"/>
    <w:rsid w:val="00EC39FC"/>
    <w:rsid w:val="00EC3A4D"/>
    <w:rsid w:val="00EC3B93"/>
    <w:rsid w:val="00EC3CA1"/>
    <w:rsid w:val="00EC3DE4"/>
    <w:rsid w:val="00EC3E64"/>
    <w:rsid w:val="00EC3FC0"/>
    <w:rsid w:val="00EC3FF5"/>
    <w:rsid w:val="00EC437F"/>
    <w:rsid w:val="00EC44DF"/>
    <w:rsid w:val="00EC47D8"/>
    <w:rsid w:val="00EC4941"/>
    <w:rsid w:val="00EC49E8"/>
    <w:rsid w:val="00EC4A25"/>
    <w:rsid w:val="00EC4A7F"/>
    <w:rsid w:val="00EC4AAA"/>
    <w:rsid w:val="00EC4B67"/>
    <w:rsid w:val="00EC4C90"/>
    <w:rsid w:val="00EC4D93"/>
    <w:rsid w:val="00EC505E"/>
    <w:rsid w:val="00EC5412"/>
    <w:rsid w:val="00EC55BD"/>
    <w:rsid w:val="00EC56FC"/>
    <w:rsid w:val="00EC579A"/>
    <w:rsid w:val="00EC5819"/>
    <w:rsid w:val="00EC59B9"/>
    <w:rsid w:val="00EC5A82"/>
    <w:rsid w:val="00EC5C23"/>
    <w:rsid w:val="00EC5FA2"/>
    <w:rsid w:val="00EC6273"/>
    <w:rsid w:val="00EC6424"/>
    <w:rsid w:val="00EC652B"/>
    <w:rsid w:val="00EC6552"/>
    <w:rsid w:val="00EC65E8"/>
    <w:rsid w:val="00EC65F5"/>
    <w:rsid w:val="00EC6631"/>
    <w:rsid w:val="00EC6636"/>
    <w:rsid w:val="00EC66E6"/>
    <w:rsid w:val="00EC670E"/>
    <w:rsid w:val="00EC673F"/>
    <w:rsid w:val="00EC6766"/>
    <w:rsid w:val="00EC68C4"/>
    <w:rsid w:val="00EC6931"/>
    <w:rsid w:val="00EC6ACB"/>
    <w:rsid w:val="00EC6C01"/>
    <w:rsid w:val="00EC6DE9"/>
    <w:rsid w:val="00EC7177"/>
    <w:rsid w:val="00EC7225"/>
    <w:rsid w:val="00EC7250"/>
    <w:rsid w:val="00EC72F7"/>
    <w:rsid w:val="00EC7315"/>
    <w:rsid w:val="00EC7447"/>
    <w:rsid w:val="00EC762C"/>
    <w:rsid w:val="00EC78A3"/>
    <w:rsid w:val="00EC78F7"/>
    <w:rsid w:val="00EC796C"/>
    <w:rsid w:val="00EC79AE"/>
    <w:rsid w:val="00EC79BE"/>
    <w:rsid w:val="00EC7A2E"/>
    <w:rsid w:val="00EC7DCB"/>
    <w:rsid w:val="00EC7FEB"/>
    <w:rsid w:val="00ED0311"/>
    <w:rsid w:val="00ED0363"/>
    <w:rsid w:val="00ED041F"/>
    <w:rsid w:val="00ED0526"/>
    <w:rsid w:val="00ED05DA"/>
    <w:rsid w:val="00ED06F5"/>
    <w:rsid w:val="00ED0810"/>
    <w:rsid w:val="00ED092D"/>
    <w:rsid w:val="00ED0B75"/>
    <w:rsid w:val="00ED0C5B"/>
    <w:rsid w:val="00ED0D3A"/>
    <w:rsid w:val="00ED0E71"/>
    <w:rsid w:val="00ED0F44"/>
    <w:rsid w:val="00ED0FA3"/>
    <w:rsid w:val="00ED100C"/>
    <w:rsid w:val="00ED102F"/>
    <w:rsid w:val="00ED17B3"/>
    <w:rsid w:val="00ED17DC"/>
    <w:rsid w:val="00ED1902"/>
    <w:rsid w:val="00ED1A78"/>
    <w:rsid w:val="00ED1AE6"/>
    <w:rsid w:val="00ED1AFC"/>
    <w:rsid w:val="00ED1B97"/>
    <w:rsid w:val="00ED1D55"/>
    <w:rsid w:val="00ED1D71"/>
    <w:rsid w:val="00ED1FB8"/>
    <w:rsid w:val="00ED2219"/>
    <w:rsid w:val="00ED2414"/>
    <w:rsid w:val="00ED2558"/>
    <w:rsid w:val="00ED259D"/>
    <w:rsid w:val="00ED2706"/>
    <w:rsid w:val="00ED2970"/>
    <w:rsid w:val="00ED2A17"/>
    <w:rsid w:val="00ED2A20"/>
    <w:rsid w:val="00ED30FA"/>
    <w:rsid w:val="00ED3416"/>
    <w:rsid w:val="00ED3433"/>
    <w:rsid w:val="00ED351B"/>
    <w:rsid w:val="00ED355C"/>
    <w:rsid w:val="00ED3701"/>
    <w:rsid w:val="00ED380E"/>
    <w:rsid w:val="00ED3864"/>
    <w:rsid w:val="00ED3963"/>
    <w:rsid w:val="00ED3A1F"/>
    <w:rsid w:val="00ED3A8F"/>
    <w:rsid w:val="00ED3AB4"/>
    <w:rsid w:val="00ED3B0B"/>
    <w:rsid w:val="00ED3E5A"/>
    <w:rsid w:val="00ED3FC7"/>
    <w:rsid w:val="00ED3FEE"/>
    <w:rsid w:val="00ED409D"/>
    <w:rsid w:val="00ED42CE"/>
    <w:rsid w:val="00ED43CE"/>
    <w:rsid w:val="00ED44EC"/>
    <w:rsid w:val="00ED45D2"/>
    <w:rsid w:val="00ED4748"/>
    <w:rsid w:val="00ED48E4"/>
    <w:rsid w:val="00ED4A68"/>
    <w:rsid w:val="00ED4BBD"/>
    <w:rsid w:val="00ED4C60"/>
    <w:rsid w:val="00ED4E34"/>
    <w:rsid w:val="00ED4FA0"/>
    <w:rsid w:val="00ED55C0"/>
    <w:rsid w:val="00ED56E1"/>
    <w:rsid w:val="00ED5AFD"/>
    <w:rsid w:val="00ED5C55"/>
    <w:rsid w:val="00ED5FC2"/>
    <w:rsid w:val="00ED6015"/>
    <w:rsid w:val="00ED6071"/>
    <w:rsid w:val="00ED618A"/>
    <w:rsid w:val="00ED6241"/>
    <w:rsid w:val="00ED65AA"/>
    <w:rsid w:val="00ED6629"/>
    <w:rsid w:val="00ED6659"/>
    <w:rsid w:val="00ED67B3"/>
    <w:rsid w:val="00ED6904"/>
    <w:rsid w:val="00ED69EE"/>
    <w:rsid w:val="00ED6B90"/>
    <w:rsid w:val="00ED6C0C"/>
    <w:rsid w:val="00ED6C14"/>
    <w:rsid w:val="00ED6CBE"/>
    <w:rsid w:val="00ED6D8E"/>
    <w:rsid w:val="00ED6DF6"/>
    <w:rsid w:val="00ED6ED1"/>
    <w:rsid w:val="00ED70F7"/>
    <w:rsid w:val="00ED72D6"/>
    <w:rsid w:val="00ED7455"/>
    <w:rsid w:val="00ED7959"/>
    <w:rsid w:val="00ED79FC"/>
    <w:rsid w:val="00EE00EA"/>
    <w:rsid w:val="00EE0146"/>
    <w:rsid w:val="00EE020B"/>
    <w:rsid w:val="00EE0239"/>
    <w:rsid w:val="00EE0293"/>
    <w:rsid w:val="00EE0329"/>
    <w:rsid w:val="00EE055E"/>
    <w:rsid w:val="00EE0656"/>
    <w:rsid w:val="00EE0856"/>
    <w:rsid w:val="00EE0873"/>
    <w:rsid w:val="00EE09B5"/>
    <w:rsid w:val="00EE0A13"/>
    <w:rsid w:val="00EE0A15"/>
    <w:rsid w:val="00EE0B03"/>
    <w:rsid w:val="00EE0B3D"/>
    <w:rsid w:val="00EE0C59"/>
    <w:rsid w:val="00EE0C60"/>
    <w:rsid w:val="00EE0E1F"/>
    <w:rsid w:val="00EE0F42"/>
    <w:rsid w:val="00EE0F96"/>
    <w:rsid w:val="00EE1206"/>
    <w:rsid w:val="00EE13EC"/>
    <w:rsid w:val="00EE1553"/>
    <w:rsid w:val="00EE1597"/>
    <w:rsid w:val="00EE1659"/>
    <w:rsid w:val="00EE16EC"/>
    <w:rsid w:val="00EE172A"/>
    <w:rsid w:val="00EE1893"/>
    <w:rsid w:val="00EE1A7A"/>
    <w:rsid w:val="00EE1AD7"/>
    <w:rsid w:val="00EE1B7A"/>
    <w:rsid w:val="00EE1E04"/>
    <w:rsid w:val="00EE1EE0"/>
    <w:rsid w:val="00EE21A3"/>
    <w:rsid w:val="00EE2495"/>
    <w:rsid w:val="00EE2544"/>
    <w:rsid w:val="00EE2582"/>
    <w:rsid w:val="00EE2730"/>
    <w:rsid w:val="00EE2750"/>
    <w:rsid w:val="00EE2762"/>
    <w:rsid w:val="00EE2BF7"/>
    <w:rsid w:val="00EE2D6E"/>
    <w:rsid w:val="00EE2E08"/>
    <w:rsid w:val="00EE2E40"/>
    <w:rsid w:val="00EE307F"/>
    <w:rsid w:val="00EE310C"/>
    <w:rsid w:val="00EE328D"/>
    <w:rsid w:val="00EE3332"/>
    <w:rsid w:val="00EE341E"/>
    <w:rsid w:val="00EE348E"/>
    <w:rsid w:val="00EE34AD"/>
    <w:rsid w:val="00EE34B3"/>
    <w:rsid w:val="00EE35A1"/>
    <w:rsid w:val="00EE39D5"/>
    <w:rsid w:val="00EE3AD5"/>
    <w:rsid w:val="00EE3AED"/>
    <w:rsid w:val="00EE3C1B"/>
    <w:rsid w:val="00EE3D45"/>
    <w:rsid w:val="00EE405B"/>
    <w:rsid w:val="00EE4127"/>
    <w:rsid w:val="00EE481D"/>
    <w:rsid w:val="00EE4A60"/>
    <w:rsid w:val="00EE4E5E"/>
    <w:rsid w:val="00EE51CC"/>
    <w:rsid w:val="00EE51E8"/>
    <w:rsid w:val="00EE52EF"/>
    <w:rsid w:val="00EE536D"/>
    <w:rsid w:val="00EE5471"/>
    <w:rsid w:val="00EE5A06"/>
    <w:rsid w:val="00EE5AAF"/>
    <w:rsid w:val="00EE5C43"/>
    <w:rsid w:val="00EE61E4"/>
    <w:rsid w:val="00EE6301"/>
    <w:rsid w:val="00EE631D"/>
    <w:rsid w:val="00EE6438"/>
    <w:rsid w:val="00EE64F8"/>
    <w:rsid w:val="00EE66B3"/>
    <w:rsid w:val="00EE66D5"/>
    <w:rsid w:val="00EE6778"/>
    <w:rsid w:val="00EE67AE"/>
    <w:rsid w:val="00EE6A23"/>
    <w:rsid w:val="00EE6AA7"/>
    <w:rsid w:val="00EE6AE8"/>
    <w:rsid w:val="00EE6CB6"/>
    <w:rsid w:val="00EE70CE"/>
    <w:rsid w:val="00EE7399"/>
    <w:rsid w:val="00EE7453"/>
    <w:rsid w:val="00EE761A"/>
    <w:rsid w:val="00EE7656"/>
    <w:rsid w:val="00EE78E6"/>
    <w:rsid w:val="00EE79DD"/>
    <w:rsid w:val="00EE7B51"/>
    <w:rsid w:val="00EE7C52"/>
    <w:rsid w:val="00EE7C95"/>
    <w:rsid w:val="00EE7D24"/>
    <w:rsid w:val="00EE7E04"/>
    <w:rsid w:val="00EE7F81"/>
    <w:rsid w:val="00EF00FD"/>
    <w:rsid w:val="00EF030B"/>
    <w:rsid w:val="00EF03BF"/>
    <w:rsid w:val="00EF03C1"/>
    <w:rsid w:val="00EF06FF"/>
    <w:rsid w:val="00EF0701"/>
    <w:rsid w:val="00EF0705"/>
    <w:rsid w:val="00EF0753"/>
    <w:rsid w:val="00EF0B4A"/>
    <w:rsid w:val="00EF0C94"/>
    <w:rsid w:val="00EF0E3C"/>
    <w:rsid w:val="00EF0F09"/>
    <w:rsid w:val="00EF100D"/>
    <w:rsid w:val="00EF10C0"/>
    <w:rsid w:val="00EF1123"/>
    <w:rsid w:val="00EF1138"/>
    <w:rsid w:val="00EF1249"/>
    <w:rsid w:val="00EF12CB"/>
    <w:rsid w:val="00EF12FF"/>
    <w:rsid w:val="00EF136D"/>
    <w:rsid w:val="00EF1484"/>
    <w:rsid w:val="00EF14B2"/>
    <w:rsid w:val="00EF1508"/>
    <w:rsid w:val="00EF1749"/>
    <w:rsid w:val="00EF1918"/>
    <w:rsid w:val="00EF1923"/>
    <w:rsid w:val="00EF1BC8"/>
    <w:rsid w:val="00EF1D38"/>
    <w:rsid w:val="00EF1DDC"/>
    <w:rsid w:val="00EF1F81"/>
    <w:rsid w:val="00EF1F91"/>
    <w:rsid w:val="00EF1F99"/>
    <w:rsid w:val="00EF2177"/>
    <w:rsid w:val="00EF217D"/>
    <w:rsid w:val="00EF21A4"/>
    <w:rsid w:val="00EF23DF"/>
    <w:rsid w:val="00EF2406"/>
    <w:rsid w:val="00EF2548"/>
    <w:rsid w:val="00EF26D2"/>
    <w:rsid w:val="00EF281A"/>
    <w:rsid w:val="00EF2ACF"/>
    <w:rsid w:val="00EF2BAF"/>
    <w:rsid w:val="00EF2CD8"/>
    <w:rsid w:val="00EF2D7D"/>
    <w:rsid w:val="00EF2E55"/>
    <w:rsid w:val="00EF2E60"/>
    <w:rsid w:val="00EF3013"/>
    <w:rsid w:val="00EF3022"/>
    <w:rsid w:val="00EF307B"/>
    <w:rsid w:val="00EF312A"/>
    <w:rsid w:val="00EF3295"/>
    <w:rsid w:val="00EF3389"/>
    <w:rsid w:val="00EF361E"/>
    <w:rsid w:val="00EF36C3"/>
    <w:rsid w:val="00EF370F"/>
    <w:rsid w:val="00EF3931"/>
    <w:rsid w:val="00EF39BF"/>
    <w:rsid w:val="00EF3A1A"/>
    <w:rsid w:val="00EF3AA0"/>
    <w:rsid w:val="00EF3BB7"/>
    <w:rsid w:val="00EF3D57"/>
    <w:rsid w:val="00EF3DE7"/>
    <w:rsid w:val="00EF3F66"/>
    <w:rsid w:val="00EF3FF2"/>
    <w:rsid w:val="00EF4034"/>
    <w:rsid w:val="00EF4117"/>
    <w:rsid w:val="00EF4127"/>
    <w:rsid w:val="00EF413E"/>
    <w:rsid w:val="00EF44C5"/>
    <w:rsid w:val="00EF4503"/>
    <w:rsid w:val="00EF450D"/>
    <w:rsid w:val="00EF4630"/>
    <w:rsid w:val="00EF4718"/>
    <w:rsid w:val="00EF48F5"/>
    <w:rsid w:val="00EF493D"/>
    <w:rsid w:val="00EF4A5E"/>
    <w:rsid w:val="00EF4AB9"/>
    <w:rsid w:val="00EF4BCB"/>
    <w:rsid w:val="00EF4F31"/>
    <w:rsid w:val="00EF5390"/>
    <w:rsid w:val="00EF5543"/>
    <w:rsid w:val="00EF55E5"/>
    <w:rsid w:val="00EF570E"/>
    <w:rsid w:val="00EF59F7"/>
    <w:rsid w:val="00EF5A36"/>
    <w:rsid w:val="00EF5A5A"/>
    <w:rsid w:val="00EF5A70"/>
    <w:rsid w:val="00EF5AA5"/>
    <w:rsid w:val="00EF5EC7"/>
    <w:rsid w:val="00EF605C"/>
    <w:rsid w:val="00EF6738"/>
    <w:rsid w:val="00EF6755"/>
    <w:rsid w:val="00EF683C"/>
    <w:rsid w:val="00EF684C"/>
    <w:rsid w:val="00EF68D0"/>
    <w:rsid w:val="00EF68EE"/>
    <w:rsid w:val="00EF6B5F"/>
    <w:rsid w:val="00EF6C4C"/>
    <w:rsid w:val="00EF7031"/>
    <w:rsid w:val="00EF7172"/>
    <w:rsid w:val="00EF739F"/>
    <w:rsid w:val="00EF75CE"/>
    <w:rsid w:val="00EF784E"/>
    <w:rsid w:val="00EF7943"/>
    <w:rsid w:val="00EF79D8"/>
    <w:rsid w:val="00EF7A35"/>
    <w:rsid w:val="00EF7A42"/>
    <w:rsid w:val="00EF7AEE"/>
    <w:rsid w:val="00EF7C40"/>
    <w:rsid w:val="00EF7C43"/>
    <w:rsid w:val="00EF7CBA"/>
    <w:rsid w:val="00EF7CE8"/>
    <w:rsid w:val="00EF7D32"/>
    <w:rsid w:val="00EF7E24"/>
    <w:rsid w:val="00EF7EE2"/>
    <w:rsid w:val="00EF7F6F"/>
    <w:rsid w:val="00EF7F93"/>
    <w:rsid w:val="00F00245"/>
    <w:rsid w:val="00F0030D"/>
    <w:rsid w:val="00F0038E"/>
    <w:rsid w:val="00F005AC"/>
    <w:rsid w:val="00F005CA"/>
    <w:rsid w:val="00F00712"/>
    <w:rsid w:val="00F00805"/>
    <w:rsid w:val="00F0093F"/>
    <w:rsid w:val="00F00B66"/>
    <w:rsid w:val="00F00CC8"/>
    <w:rsid w:val="00F00E2B"/>
    <w:rsid w:val="00F01109"/>
    <w:rsid w:val="00F0131B"/>
    <w:rsid w:val="00F013B2"/>
    <w:rsid w:val="00F014B4"/>
    <w:rsid w:val="00F01577"/>
    <w:rsid w:val="00F01685"/>
    <w:rsid w:val="00F01700"/>
    <w:rsid w:val="00F018BA"/>
    <w:rsid w:val="00F0199F"/>
    <w:rsid w:val="00F01A5A"/>
    <w:rsid w:val="00F01E66"/>
    <w:rsid w:val="00F01EAA"/>
    <w:rsid w:val="00F01EB2"/>
    <w:rsid w:val="00F01F3F"/>
    <w:rsid w:val="00F01FAA"/>
    <w:rsid w:val="00F02006"/>
    <w:rsid w:val="00F02071"/>
    <w:rsid w:val="00F020E9"/>
    <w:rsid w:val="00F022AE"/>
    <w:rsid w:val="00F02409"/>
    <w:rsid w:val="00F024A5"/>
    <w:rsid w:val="00F02584"/>
    <w:rsid w:val="00F025BD"/>
    <w:rsid w:val="00F028A6"/>
    <w:rsid w:val="00F02930"/>
    <w:rsid w:val="00F02B0E"/>
    <w:rsid w:val="00F02B59"/>
    <w:rsid w:val="00F02CBA"/>
    <w:rsid w:val="00F02E15"/>
    <w:rsid w:val="00F0301B"/>
    <w:rsid w:val="00F0310B"/>
    <w:rsid w:val="00F033BD"/>
    <w:rsid w:val="00F0366C"/>
    <w:rsid w:val="00F03706"/>
    <w:rsid w:val="00F03802"/>
    <w:rsid w:val="00F0393F"/>
    <w:rsid w:val="00F03BFF"/>
    <w:rsid w:val="00F03C3E"/>
    <w:rsid w:val="00F03D12"/>
    <w:rsid w:val="00F0409F"/>
    <w:rsid w:val="00F0416C"/>
    <w:rsid w:val="00F041A5"/>
    <w:rsid w:val="00F041AE"/>
    <w:rsid w:val="00F04457"/>
    <w:rsid w:val="00F0463C"/>
    <w:rsid w:val="00F046F3"/>
    <w:rsid w:val="00F04A1C"/>
    <w:rsid w:val="00F04A2A"/>
    <w:rsid w:val="00F04D03"/>
    <w:rsid w:val="00F04E24"/>
    <w:rsid w:val="00F05222"/>
    <w:rsid w:val="00F05581"/>
    <w:rsid w:val="00F055EC"/>
    <w:rsid w:val="00F05735"/>
    <w:rsid w:val="00F0584A"/>
    <w:rsid w:val="00F0584C"/>
    <w:rsid w:val="00F05AA7"/>
    <w:rsid w:val="00F05BE7"/>
    <w:rsid w:val="00F05C03"/>
    <w:rsid w:val="00F05CCC"/>
    <w:rsid w:val="00F05D1D"/>
    <w:rsid w:val="00F05E48"/>
    <w:rsid w:val="00F05EB4"/>
    <w:rsid w:val="00F05F07"/>
    <w:rsid w:val="00F060D3"/>
    <w:rsid w:val="00F060DE"/>
    <w:rsid w:val="00F06154"/>
    <w:rsid w:val="00F06181"/>
    <w:rsid w:val="00F0625C"/>
    <w:rsid w:val="00F06274"/>
    <w:rsid w:val="00F065AB"/>
    <w:rsid w:val="00F06614"/>
    <w:rsid w:val="00F06805"/>
    <w:rsid w:val="00F068BA"/>
    <w:rsid w:val="00F068D3"/>
    <w:rsid w:val="00F06A2D"/>
    <w:rsid w:val="00F06AB3"/>
    <w:rsid w:val="00F06CD5"/>
    <w:rsid w:val="00F06E25"/>
    <w:rsid w:val="00F06E47"/>
    <w:rsid w:val="00F06F10"/>
    <w:rsid w:val="00F06F84"/>
    <w:rsid w:val="00F06F97"/>
    <w:rsid w:val="00F06F9B"/>
    <w:rsid w:val="00F07046"/>
    <w:rsid w:val="00F070C3"/>
    <w:rsid w:val="00F0761C"/>
    <w:rsid w:val="00F07766"/>
    <w:rsid w:val="00F078D1"/>
    <w:rsid w:val="00F079CA"/>
    <w:rsid w:val="00F07CF9"/>
    <w:rsid w:val="00F07E0F"/>
    <w:rsid w:val="00F07F41"/>
    <w:rsid w:val="00F103BE"/>
    <w:rsid w:val="00F105C2"/>
    <w:rsid w:val="00F10776"/>
    <w:rsid w:val="00F109DF"/>
    <w:rsid w:val="00F10A09"/>
    <w:rsid w:val="00F10AE8"/>
    <w:rsid w:val="00F10C13"/>
    <w:rsid w:val="00F10C9A"/>
    <w:rsid w:val="00F10E56"/>
    <w:rsid w:val="00F10F4D"/>
    <w:rsid w:val="00F11159"/>
    <w:rsid w:val="00F11208"/>
    <w:rsid w:val="00F11321"/>
    <w:rsid w:val="00F1139B"/>
    <w:rsid w:val="00F113ED"/>
    <w:rsid w:val="00F118C2"/>
    <w:rsid w:val="00F118C9"/>
    <w:rsid w:val="00F11A0C"/>
    <w:rsid w:val="00F11C54"/>
    <w:rsid w:val="00F11D28"/>
    <w:rsid w:val="00F11D69"/>
    <w:rsid w:val="00F11E27"/>
    <w:rsid w:val="00F11E41"/>
    <w:rsid w:val="00F11EA7"/>
    <w:rsid w:val="00F11FDD"/>
    <w:rsid w:val="00F121CB"/>
    <w:rsid w:val="00F12240"/>
    <w:rsid w:val="00F1246D"/>
    <w:rsid w:val="00F12623"/>
    <w:rsid w:val="00F1294C"/>
    <w:rsid w:val="00F12A31"/>
    <w:rsid w:val="00F12A79"/>
    <w:rsid w:val="00F12CE9"/>
    <w:rsid w:val="00F12E71"/>
    <w:rsid w:val="00F12FA6"/>
    <w:rsid w:val="00F12FC7"/>
    <w:rsid w:val="00F1315D"/>
    <w:rsid w:val="00F1342D"/>
    <w:rsid w:val="00F13447"/>
    <w:rsid w:val="00F13582"/>
    <w:rsid w:val="00F13639"/>
    <w:rsid w:val="00F13659"/>
    <w:rsid w:val="00F136C1"/>
    <w:rsid w:val="00F136FA"/>
    <w:rsid w:val="00F13719"/>
    <w:rsid w:val="00F1393E"/>
    <w:rsid w:val="00F139AC"/>
    <w:rsid w:val="00F13A01"/>
    <w:rsid w:val="00F13D70"/>
    <w:rsid w:val="00F13E5B"/>
    <w:rsid w:val="00F142ED"/>
    <w:rsid w:val="00F144E6"/>
    <w:rsid w:val="00F147E3"/>
    <w:rsid w:val="00F14954"/>
    <w:rsid w:val="00F14BEB"/>
    <w:rsid w:val="00F14C0F"/>
    <w:rsid w:val="00F14C32"/>
    <w:rsid w:val="00F14C9F"/>
    <w:rsid w:val="00F14DD5"/>
    <w:rsid w:val="00F14EE2"/>
    <w:rsid w:val="00F14FB9"/>
    <w:rsid w:val="00F14FED"/>
    <w:rsid w:val="00F1501B"/>
    <w:rsid w:val="00F1503B"/>
    <w:rsid w:val="00F151CF"/>
    <w:rsid w:val="00F151DD"/>
    <w:rsid w:val="00F152F0"/>
    <w:rsid w:val="00F15303"/>
    <w:rsid w:val="00F1531B"/>
    <w:rsid w:val="00F154CC"/>
    <w:rsid w:val="00F15597"/>
    <w:rsid w:val="00F156B0"/>
    <w:rsid w:val="00F15886"/>
    <w:rsid w:val="00F158BD"/>
    <w:rsid w:val="00F15A4B"/>
    <w:rsid w:val="00F15FBC"/>
    <w:rsid w:val="00F15FF3"/>
    <w:rsid w:val="00F16192"/>
    <w:rsid w:val="00F16219"/>
    <w:rsid w:val="00F162A7"/>
    <w:rsid w:val="00F16411"/>
    <w:rsid w:val="00F16433"/>
    <w:rsid w:val="00F16439"/>
    <w:rsid w:val="00F165EA"/>
    <w:rsid w:val="00F1671A"/>
    <w:rsid w:val="00F1678D"/>
    <w:rsid w:val="00F167A1"/>
    <w:rsid w:val="00F16A69"/>
    <w:rsid w:val="00F16A95"/>
    <w:rsid w:val="00F16AC5"/>
    <w:rsid w:val="00F16B51"/>
    <w:rsid w:val="00F16B85"/>
    <w:rsid w:val="00F17216"/>
    <w:rsid w:val="00F17468"/>
    <w:rsid w:val="00F174E5"/>
    <w:rsid w:val="00F1769C"/>
    <w:rsid w:val="00F176B3"/>
    <w:rsid w:val="00F176BB"/>
    <w:rsid w:val="00F17826"/>
    <w:rsid w:val="00F17C59"/>
    <w:rsid w:val="00F17E05"/>
    <w:rsid w:val="00F17E27"/>
    <w:rsid w:val="00F2000F"/>
    <w:rsid w:val="00F2016E"/>
    <w:rsid w:val="00F202C5"/>
    <w:rsid w:val="00F203CF"/>
    <w:rsid w:val="00F20563"/>
    <w:rsid w:val="00F20657"/>
    <w:rsid w:val="00F2092D"/>
    <w:rsid w:val="00F20A48"/>
    <w:rsid w:val="00F20CA8"/>
    <w:rsid w:val="00F20E02"/>
    <w:rsid w:val="00F20F85"/>
    <w:rsid w:val="00F21019"/>
    <w:rsid w:val="00F2112F"/>
    <w:rsid w:val="00F21199"/>
    <w:rsid w:val="00F212DD"/>
    <w:rsid w:val="00F21668"/>
    <w:rsid w:val="00F21781"/>
    <w:rsid w:val="00F218F0"/>
    <w:rsid w:val="00F219B2"/>
    <w:rsid w:val="00F219BF"/>
    <w:rsid w:val="00F21B3D"/>
    <w:rsid w:val="00F2225D"/>
    <w:rsid w:val="00F222C1"/>
    <w:rsid w:val="00F222D0"/>
    <w:rsid w:val="00F22376"/>
    <w:rsid w:val="00F223E0"/>
    <w:rsid w:val="00F225B8"/>
    <w:rsid w:val="00F227E3"/>
    <w:rsid w:val="00F2288E"/>
    <w:rsid w:val="00F228CD"/>
    <w:rsid w:val="00F22998"/>
    <w:rsid w:val="00F229F1"/>
    <w:rsid w:val="00F22A02"/>
    <w:rsid w:val="00F22B2C"/>
    <w:rsid w:val="00F22C41"/>
    <w:rsid w:val="00F23193"/>
    <w:rsid w:val="00F2340A"/>
    <w:rsid w:val="00F23475"/>
    <w:rsid w:val="00F23945"/>
    <w:rsid w:val="00F239AB"/>
    <w:rsid w:val="00F23B3B"/>
    <w:rsid w:val="00F23C76"/>
    <w:rsid w:val="00F23D81"/>
    <w:rsid w:val="00F24011"/>
    <w:rsid w:val="00F240C6"/>
    <w:rsid w:val="00F2419E"/>
    <w:rsid w:val="00F24236"/>
    <w:rsid w:val="00F24292"/>
    <w:rsid w:val="00F242B9"/>
    <w:rsid w:val="00F24491"/>
    <w:rsid w:val="00F244DD"/>
    <w:rsid w:val="00F245E4"/>
    <w:rsid w:val="00F245EC"/>
    <w:rsid w:val="00F24684"/>
    <w:rsid w:val="00F24738"/>
    <w:rsid w:val="00F2486E"/>
    <w:rsid w:val="00F24AF9"/>
    <w:rsid w:val="00F24C99"/>
    <w:rsid w:val="00F24D56"/>
    <w:rsid w:val="00F24DFD"/>
    <w:rsid w:val="00F25129"/>
    <w:rsid w:val="00F25263"/>
    <w:rsid w:val="00F252F3"/>
    <w:rsid w:val="00F255EA"/>
    <w:rsid w:val="00F257AA"/>
    <w:rsid w:val="00F2581D"/>
    <w:rsid w:val="00F25981"/>
    <w:rsid w:val="00F25DAF"/>
    <w:rsid w:val="00F26126"/>
    <w:rsid w:val="00F2616F"/>
    <w:rsid w:val="00F26227"/>
    <w:rsid w:val="00F262E6"/>
    <w:rsid w:val="00F263A1"/>
    <w:rsid w:val="00F263C9"/>
    <w:rsid w:val="00F264BA"/>
    <w:rsid w:val="00F2654A"/>
    <w:rsid w:val="00F2666B"/>
    <w:rsid w:val="00F267FE"/>
    <w:rsid w:val="00F26864"/>
    <w:rsid w:val="00F26C44"/>
    <w:rsid w:val="00F26CC2"/>
    <w:rsid w:val="00F26EC2"/>
    <w:rsid w:val="00F26F24"/>
    <w:rsid w:val="00F26FFE"/>
    <w:rsid w:val="00F270A2"/>
    <w:rsid w:val="00F27169"/>
    <w:rsid w:val="00F27178"/>
    <w:rsid w:val="00F271A0"/>
    <w:rsid w:val="00F27268"/>
    <w:rsid w:val="00F27367"/>
    <w:rsid w:val="00F273E8"/>
    <w:rsid w:val="00F27403"/>
    <w:rsid w:val="00F278CF"/>
    <w:rsid w:val="00F27A4E"/>
    <w:rsid w:val="00F27B1A"/>
    <w:rsid w:val="00F27B9A"/>
    <w:rsid w:val="00F27CC0"/>
    <w:rsid w:val="00F27CEF"/>
    <w:rsid w:val="00F27D2D"/>
    <w:rsid w:val="00F27DA3"/>
    <w:rsid w:val="00F27DCE"/>
    <w:rsid w:val="00F27F54"/>
    <w:rsid w:val="00F300AD"/>
    <w:rsid w:val="00F3011B"/>
    <w:rsid w:val="00F30139"/>
    <w:rsid w:val="00F30330"/>
    <w:rsid w:val="00F30663"/>
    <w:rsid w:val="00F3083C"/>
    <w:rsid w:val="00F30A17"/>
    <w:rsid w:val="00F30B1C"/>
    <w:rsid w:val="00F30BDA"/>
    <w:rsid w:val="00F30C15"/>
    <w:rsid w:val="00F30CCF"/>
    <w:rsid w:val="00F30CD1"/>
    <w:rsid w:val="00F31050"/>
    <w:rsid w:val="00F31095"/>
    <w:rsid w:val="00F311F0"/>
    <w:rsid w:val="00F3127B"/>
    <w:rsid w:val="00F3131B"/>
    <w:rsid w:val="00F313C5"/>
    <w:rsid w:val="00F31428"/>
    <w:rsid w:val="00F314FB"/>
    <w:rsid w:val="00F31721"/>
    <w:rsid w:val="00F317C1"/>
    <w:rsid w:val="00F31951"/>
    <w:rsid w:val="00F31952"/>
    <w:rsid w:val="00F31AF6"/>
    <w:rsid w:val="00F31EF6"/>
    <w:rsid w:val="00F32050"/>
    <w:rsid w:val="00F3216B"/>
    <w:rsid w:val="00F3227E"/>
    <w:rsid w:val="00F32494"/>
    <w:rsid w:val="00F324A2"/>
    <w:rsid w:val="00F3294E"/>
    <w:rsid w:val="00F32BBB"/>
    <w:rsid w:val="00F32E04"/>
    <w:rsid w:val="00F32FBD"/>
    <w:rsid w:val="00F33359"/>
    <w:rsid w:val="00F33453"/>
    <w:rsid w:val="00F334B5"/>
    <w:rsid w:val="00F3352B"/>
    <w:rsid w:val="00F336B0"/>
    <w:rsid w:val="00F3382B"/>
    <w:rsid w:val="00F33836"/>
    <w:rsid w:val="00F3395A"/>
    <w:rsid w:val="00F33A5A"/>
    <w:rsid w:val="00F33AD7"/>
    <w:rsid w:val="00F33B36"/>
    <w:rsid w:val="00F33BAA"/>
    <w:rsid w:val="00F33C4E"/>
    <w:rsid w:val="00F33D00"/>
    <w:rsid w:val="00F33E8F"/>
    <w:rsid w:val="00F33F3C"/>
    <w:rsid w:val="00F33F6C"/>
    <w:rsid w:val="00F340F9"/>
    <w:rsid w:val="00F3453C"/>
    <w:rsid w:val="00F345B7"/>
    <w:rsid w:val="00F34D2F"/>
    <w:rsid w:val="00F34DDF"/>
    <w:rsid w:val="00F350A8"/>
    <w:rsid w:val="00F350BF"/>
    <w:rsid w:val="00F3512B"/>
    <w:rsid w:val="00F354C6"/>
    <w:rsid w:val="00F357AA"/>
    <w:rsid w:val="00F357E2"/>
    <w:rsid w:val="00F35B3A"/>
    <w:rsid w:val="00F35CBF"/>
    <w:rsid w:val="00F35DC9"/>
    <w:rsid w:val="00F35ED0"/>
    <w:rsid w:val="00F36136"/>
    <w:rsid w:val="00F362CC"/>
    <w:rsid w:val="00F362F2"/>
    <w:rsid w:val="00F3630E"/>
    <w:rsid w:val="00F363F1"/>
    <w:rsid w:val="00F3670D"/>
    <w:rsid w:val="00F36723"/>
    <w:rsid w:val="00F36834"/>
    <w:rsid w:val="00F36A87"/>
    <w:rsid w:val="00F36ACF"/>
    <w:rsid w:val="00F36C26"/>
    <w:rsid w:val="00F36CD6"/>
    <w:rsid w:val="00F37180"/>
    <w:rsid w:val="00F372E7"/>
    <w:rsid w:val="00F37310"/>
    <w:rsid w:val="00F37359"/>
    <w:rsid w:val="00F375FC"/>
    <w:rsid w:val="00F3760B"/>
    <w:rsid w:val="00F37738"/>
    <w:rsid w:val="00F3780E"/>
    <w:rsid w:val="00F37860"/>
    <w:rsid w:val="00F37A9B"/>
    <w:rsid w:val="00F37C68"/>
    <w:rsid w:val="00F37D0F"/>
    <w:rsid w:val="00F37D3A"/>
    <w:rsid w:val="00F4006B"/>
    <w:rsid w:val="00F400BC"/>
    <w:rsid w:val="00F400F7"/>
    <w:rsid w:val="00F401A6"/>
    <w:rsid w:val="00F402A1"/>
    <w:rsid w:val="00F40395"/>
    <w:rsid w:val="00F404BA"/>
    <w:rsid w:val="00F404EA"/>
    <w:rsid w:val="00F40646"/>
    <w:rsid w:val="00F407F3"/>
    <w:rsid w:val="00F4084A"/>
    <w:rsid w:val="00F4085A"/>
    <w:rsid w:val="00F408F3"/>
    <w:rsid w:val="00F40AD2"/>
    <w:rsid w:val="00F40D3D"/>
    <w:rsid w:val="00F40DBD"/>
    <w:rsid w:val="00F410F8"/>
    <w:rsid w:val="00F4113E"/>
    <w:rsid w:val="00F4118C"/>
    <w:rsid w:val="00F4132C"/>
    <w:rsid w:val="00F413F5"/>
    <w:rsid w:val="00F41566"/>
    <w:rsid w:val="00F4160E"/>
    <w:rsid w:val="00F41618"/>
    <w:rsid w:val="00F41867"/>
    <w:rsid w:val="00F41A17"/>
    <w:rsid w:val="00F41A7E"/>
    <w:rsid w:val="00F41AB0"/>
    <w:rsid w:val="00F41AF8"/>
    <w:rsid w:val="00F41B90"/>
    <w:rsid w:val="00F41C31"/>
    <w:rsid w:val="00F41EDF"/>
    <w:rsid w:val="00F42152"/>
    <w:rsid w:val="00F422C3"/>
    <w:rsid w:val="00F42322"/>
    <w:rsid w:val="00F424B0"/>
    <w:rsid w:val="00F42511"/>
    <w:rsid w:val="00F428CC"/>
    <w:rsid w:val="00F428EF"/>
    <w:rsid w:val="00F428F0"/>
    <w:rsid w:val="00F4294C"/>
    <w:rsid w:val="00F42C41"/>
    <w:rsid w:val="00F42C79"/>
    <w:rsid w:val="00F42CCE"/>
    <w:rsid w:val="00F42E33"/>
    <w:rsid w:val="00F42E57"/>
    <w:rsid w:val="00F430BD"/>
    <w:rsid w:val="00F4322A"/>
    <w:rsid w:val="00F4349C"/>
    <w:rsid w:val="00F434A9"/>
    <w:rsid w:val="00F435F0"/>
    <w:rsid w:val="00F436C4"/>
    <w:rsid w:val="00F4373F"/>
    <w:rsid w:val="00F43889"/>
    <w:rsid w:val="00F4389D"/>
    <w:rsid w:val="00F438F8"/>
    <w:rsid w:val="00F43B90"/>
    <w:rsid w:val="00F43C66"/>
    <w:rsid w:val="00F43C76"/>
    <w:rsid w:val="00F44022"/>
    <w:rsid w:val="00F44114"/>
    <w:rsid w:val="00F44458"/>
    <w:rsid w:val="00F445A7"/>
    <w:rsid w:val="00F44712"/>
    <w:rsid w:val="00F44772"/>
    <w:rsid w:val="00F44869"/>
    <w:rsid w:val="00F448A1"/>
    <w:rsid w:val="00F44ACB"/>
    <w:rsid w:val="00F44B09"/>
    <w:rsid w:val="00F44DEA"/>
    <w:rsid w:val="00F44DED"/>
    <w:rsid w:val="00F44F56"/>
    <w:rsid w:val="00F4540F"/>
    <w:rsid w:val="00F45575"/>
    <w:rsid w:val="00F455AD"/>
    <w:rsid w:val="00F45627"/>
    <w:rsid w:val="00F456DA"/>
    <w:rsid w:val="00F45F3D"/>
    <w:rsid w:val="00F46050"/>
    <w:rsid w:val="00F46305"/>
    <w:rsid w:val="00F4631F"/>
    <w:rsid w:val="00F463D9"/>
    <w:rsid w:val="00F463E3"/>
    <w:rsid w:val="00F46422"/>
    <w:rsid w:val="00F46909"/>
    <w:rsid w:val="00F46AD2"/>
    <w:rsid w:val="00F46E85"/>
    <w:rsid w:val="00F47404"/>
    <w:rsid w:val="00F474F3"/>
    <w:rsid w:val="00F4757C"/>
    <w:rsid w:val="00F47638"/>
    <w:rsid w:val="00F4795F"/>
    <w:rsid w:val="00F47997"/>
    <w:rsid w:val="00F479C4"/>
    <w:rsid w:val="00F47BA3"/>
    <w:rsid w:val="00F47F6D"/>
    <w:rsid w:val="00F5020B"/>
    <w:rsid w:val="00F502EC"/>
    <w:rsid w:val="00F50365"/>
    <w:rsid w:val="00F5041D"/>
    <w:rsid w:val="00F504D2"/>
    <w:rsid w:val="00F5055C"/>
    <w:rsid w:val="00F505B4"/>
    <w:rsid w:val="00F505DE"/>
    <w:rsid w:val="00F507A1"/>
    <w:rsid w:val="00F50813"/>
    <w:rsid w:val="00F508EA"/>
    <w:rsid w:val="00F509DB"/>
    <w:rsid w:val="00F50A78"/>
    <w:rsid w:val="00F50C80"/>
    <w:rsid w:val="00F50CE8"/>
    <w:rsid w:val="00F50D5B"/>
    <w:rsid w:val="00F50F6A"/>
    <w:rsid w:val="00F50FCB"/>
    <w:rsid w:val="00F5126C"/>
    <w:rsid w:val="00F51333"/>
    <w:rsid w:val="00F51634"/>
    <w:rsid w:val="00F51682"/>
    <w:rsid w:val="00F51A80"/>
    <w:rsid w:val="00F51B1F"/>
    <w:rsid w:val="00F51BB4"/>
    <w:rsid w:val="00F51CAE"/>
    <w:rsid w:val="00F51D08"/>
    <w:rsid w:val="00F51EE6"/>
    <w:rsid w:val="00F51EEB"/>
    <w:rsid w:val="00F52030"/>
    <w:rsid w:val="00F5204A"/>
    <w:rsid w:val="00F520FA"/>
    <w:rsid w:val="00F5213E"/>
    <w:rsid w:val="00F52170"/>
    <w:rsid w:val="00F5219D"/>
    <w:rsid w:val="00F521E7"/>
    <w:rsid w:val="00F5239D"/>
    <w:rsid w:val="00F52465"/>
    <w:rsid w:val="00F525C7"/>
    <w:rsid w:val="00F52936"/>
    <w:rsid w:val="00F529D8"/>
    <w:rsid w:val="00F52A11"/>
    <w:rsid w:val="00F52A50"/>
    <w:rsid w:val="00F52A67"/>
    <w:rsid w:val="00F52B0A"/>
    <w:rsid w:val="00F52B0B"/>
    <w:rsid w:val="00F52C6C"/>
    <w:rsid w:val="00F52E9D"/>
    <w:rsid w:val="00F5327B"/>
    <w:rsid w:val="00F532F2"/>
    <w:rsid w:val="00F533C1"/>
    <w:rsid w:val="00F53531"/>
    <w:rsid w:val="00F53558"/>
    <w:rsid w:val="00F53673"/>
    <w:rsid w:val="00F53A79"/>
    <w:rsid w:val="00F53B5B"/>
    <w:rsid w:val="00F53E53"/>
    <w:rsid w:val="00F53F4C"/>
    <w:rsid w:val="00F540F5"/>
    <w:rsid w:val="00F54337"/>
    <w:rsid w:val="00F543A5"/>
    <w:rsid w:val="00F5498C"/>
    <w:rsid w:val="00F549C9"/>
    <w:rsid w:val="00F549D9"/>
    <w:rsid w:val="00F54AB1"/>
    <w:rsid w:val="00F54B24"/>
    <w:rsid w:val="00F54F75"/>
    <w:rsid w:val="00F551B4"/>
    <w:rsid w:val="00F55220"/>
    <w:rsid w:val="00F55275"/>
    <w:rsid w:val="00F55335"/>
    <w:rsid w:val="00F55376"/>
    <w:rsid w:val="00F5562D"/>
    <w:rsid w:val="00F5569A"/>
    <w:rsid w:val="00F55715"/>
    <w:rsid w:val="00F559E0"/>
    <w:rsid w:val="00F55D22"/>
    <w:rsid w:val="00F55E90"/>
    <w:rsid w:val="00F55F9F"/>
    <w:rsid w:val="00F5605A"/>
    <w:rsid w:val="00F560EE"/>
    <w:rsid w:val="00F560FE"/>
    <w:rsid w:val="00F56271"/>
    <w:rsid w:val="00F56320"/>
    <w:rsid w:val="00F56413"/>
    <w:rsid w:val="00F56469"/>
    <w:rsid w:val="00F564A0"/>
    <w:rsid w:val="00F564BA"/>
    <w:rsid w:val="00F5664C"/>
    <w:rsid w:val="00F5665B"/>
    <w:rsid w:val="00F5668C"/>
    <w:rsid w:val="00F568BC"/>
    <w:rsid w:val="00F56B6F"/>
    <w:rsid w:val="00F56C60"/>
    <w:rsid w:val="00F56F7A"/>
    <w:rsid w:val="00F5704E"/>
    <w:rsid w:val="00F5770C"/>
    <w:rsid w:val="00F57812"/>
    <w:rsid w:val="00F57A8B"/>
    <w:rsid w:val="00F57AFA"/>
    <w:rsid w:val="00F57BE2"/>
    <w:rsid w:val="00F57CF5"/>
    <w:rsid w:val="00F57DEC"/>
    <w:rsid w:val="00F57EEC"/>
    <w:rsid w:val="00F602CC"/>
    <w:rsid w:val="00F6036F"/>
    <w:rsid w:val="00F6070A"/>
    <w:rsid w:val="00F60736"/>
    <w:rsid w:val="00F6073F"/>
    <w:rsid w:val="00F6075D"/>
    <w:rsid w:val="00F60811"/>
    <w:rsid w:val="00F60A2B"/>
    <w:rsid w:val="00F60B00"/>
    <w:rsid w:val="00F60BB9"/>
    <w:rsid w:val="00F60CB9"/>
    <w:rsid w:val="00F60E20"/>
    <w:rsid w:val="00F60F93"/>
    <w:rsid w:val="00F6102F"/>
    <w:rsid w:val="00F6108E"/>
    <w:rsid w:val="00F6118C"/>
    <w:rsid w:val="00F6134F"/>
    <w:rsid w:val="00F61359"/>
    <w:rsid w:val="00F6141F"/>
    <w:rsid w:val="00F616A4"/>
    <w:rsid w:val="00F617A3"/>
    <w:rsid w:val="00F617FD"/>
    <w:rsid w:val="00F618CC"/>
    <w:rsid w:val="00F619FE"/>
    <w:rsid w:val="00F61B37"/>
    <w:rsid w:val="00F61C52"/>
    <w:rsid w:val="00F62029"/>
    <w:rsid w:val="00F62145"/>
    <w:rsid w:val="00F62476"/>
    <w:rsid w:val="00F6259D"/>
    <w:rsid w:val="00F625B4"/>
    <w:rsid w:val="00F6264E"/>
    <w:rsid w:val="00F62770"/>
    <w:rsid w:val="00F62A89"/>
    <w:rsid w:val="00F62B20"/>
    <w:rsid w:val="00F62BC1"/>
    <w:rsid w:val="00F62BC3"/>
    <w:rsid w:val="00F62DBD"/>
    <w:rsid w:val="00F62DEB"/>
    <w:rsid w:val="00F62E59"/>
    <w:rsid w:val="00F630B6"/>
    <w:rsid w:val="00F63399"/>
    <w:rsid w:val="00F6347E"/>
    <w:rsid w:val="00F6347F"/>
    <w:rsid w:val="00F634A0"/>
    <w:rsid w:val="00F634F8"/>
    <w:rsid w:val="00F63686"/>
    <w:rsid w:val="00F63748"/>
    <w:rsid w:val="00F63768"/>
    <w:rsid w:val="00F639EE"/>
    <w:rsid w:val="00F63B91"/>
    <w:rsid w:val="00F63CFF"/>
    <w:rsid w:val="00F640CA"/>
    <w:rsid w:val="00F64225"/>
    <w:rsid w:val="00F64331"/>
    <w:rsid w:val="00F64578"/>
    <w:rsid w:val="00F645D4"/>
    <w:rsid w:val="00F6495F"/>
    <w:rsid w:val="00F64C3E"/>
    <w:rsid w:val="00F64F2F"/>
    <w:rsid w:val="00F650A8"/>
    <w:rsid w:val="00F65185"/>
    <w:rsid w:val="00F65189"/>
    <w:rsid w:val="00F651B4"/>
    <w:rsid w:val="00F653B9"/>
    <w:rsid w:val="00F65558"/>
    <w:rsid w:val="00F657EE"/>
    <w:rsid w:val="00F6591D"/>
    <w:rsid w:val="00F65962"/>
    <w:rsid w:val="00F65B1A"/>
    <w:rsid w:val="00F65BBF"/>
    <w:rsid w:val="00F65DAD"/>
    <w:rsid w:val="00F65E9F"/>
    <w:rsid w:val="00F66447"/>
    <w:rsid w:val="00F66649"/>
    <w:rsid w:val="00F6670E"/>
    <w:rsid w:val="00F66758"/>
    <w:rsid w:val="00F667CB"/>
    <w:rsid w:val="00F66916"/>
    <w:rsid w:val="00F66966"/>
    <w:rsid w:val="00F66987"/>
    <w:rsid w:val="00F66A90"/>
    <w:rsid w:val="00F66D2E"/>
    <w:rsid w:val="00F66DE3"/>
    <w:rsid w:val="00F66EDE"/>
    <w:rsid w:val="00F66FA2"/>
    <w:rsid w:val="00F67108"/>
    <w:rsid w:val="00F6717D"/>
    <w:rsid w:val="00F674F8"/>
    <w:rsid w:val="00F674FB"/>
    <w:rsid w:val="00F676A7"/>
    <w:rsid w:val="00F676AD"/>
    <w:rsid w:val="00F676C6"/>
    <w:rsid w:val="00F6772E"/>
    <w:rsid w:val="00F67787"/>
    <w:rsid w:val="00F6779C"/>
    <w:rsid w:val="00F6782F"/>
    <w:rsid w:val="00F6791A"/>
    <w:rsid w:val="00F67A45"/>
    <w:rsid w:val="00F67AD0"/>
    <w:rsid w:val="00F67C1E"/>
    <w:rsid w:val="00F67EAB"/>
    <w:rsid w:val="00F67FC2"/>
    <w:rsid w:val="00F67FED"/>
    <w:rsid w:val="00F700B4"/>
    <w:rsid w:val="00F701AD"/>
    <w:rsid w:val="00F7027B"/>
    <w:rsid w:val="00F705BE"/>
    <w:rsid w:val="00F70D27"/>
    <w:rsid w:val="00F70E1A"/>
    <w:rsid w:val="00F70F08"/>
    <w:rsid w:val="00F70FC6"/>
    <w:rsid w:val="00F711EF"/>
    <w:rsid w:val="00F71407"/>
    <w:rsid w:val="00F71510"/>
    <w:rsid w:val="00F718B0"/>
    <w:rsid w:val="00F71A69"/>
    <w:rsid w:val="00F71AB3"/>
    <w:rsid w:val="00F71B52"/>
    <w:rsid w:val="00F71BAF"/>
    <w:rsid w:val="00F71BB0"/>
    <w:rsid w:val="00F71BEE"/>
    <w:rsid w:val="00F71DDA"/>
    <w:rsid w:val="00F71EAF"/>
    <w:rsid w:val="00F720F6"/>
    <w:rsid w:val="00F72143"/>
    <w:rsid w:val="00F7224C"/>
    <w:rsid w:val="00F72272"/>
    <w:rsid w:val="00F72851"/>
    <w:rsid w:val="00F72A1B"/>
    <w:rsid w:val="00F72A57"/>
    <w:rsid w:val="00F72AC1"/>
    <w:rsid w:val="00F72AD7"/>
    <w:rsid w:val="00F72AFB"/>
    <w:rsid w:val="00F72C51"/>
    <w:rsid w:val="00F72C6C"/>
    <w:rsid w:val="00F72C89"/>
    <w:rsid w:val="00F72D40"/>
    <w:rsid w:val="00F72E90"/>
    <w:rsid w:val="00F72EC6"/>
    <w:rsid w:val="00F72F0B"/>
    <w:rsid w:val="00F72F3A"/>
    <w:rsid w:val="00F732CA"/>
    <w:rsid w:val="00F73363"/>
    <w:rsid w:val="00F73517"/>
    <w:rsid w:val="00F73531"/>
    <w:rsid w:val="00F73567"/>
    <w:rsid w:val="00F73812"/>
    <w:rsid w:val="00F73A17"/>
    <w:rsid w:val="00F73A2F"/>
    <w:rsid w:val="00F73A86"/>
    <w:rsid w:val="00F73B53"/>
    <w:rsid w:val="00F73B75"/>
    <w:rsid w:val="00F73BED"/>
    <w:rsid w:val="00F73D61"/>
    <w:rsid w:val="00F73D6E"/>
    <w:rsid w:val="00F73E78"/>
    <w:rsid w:val="00F73E99"/>
    <w:rsid w:val="00F73F73"/>
    <w:rsid w:val="00F73FCE"/>
    <w:rsid w:val="00F741E0"/>
    <w:rsid w:val="00F74241"/>
    <w:rsid w:val="00F74364"/>
    <w:rsid w:val="00F7441D"/>
    <w:rsid w:val="00F7457A"/>
    <w:rsid w:val="00F748E9"/>
    <w:rsid w:val="00F74988"/>
    <w:rsid w:val="00F74BD2"/>
    <w:rsid w:val="00F74C88"/>
    <w:rsid w:val="00F74D7A"/>
    <w:rsid w:val="00F74E58"/>
    <w:rsid w:val="00F74E64"/>
    <w:rsid w:val="00F74F55"/>
    <w:rsid w:val="00F751AD"/>
    <w:rsid w:val="00F752C1"/>
    <w:rsid w:val="00F754C1"/>
    <w:rsid w:val="00F7565E"/>
    <w:rsid w:val="00F75805"/>
    <w:rsid w:val="00F75965"/>
    <w:rsid w:val="00F759CC"/>
    <w:rsid w:val="00F75D2F"/>
    <w:rsid w:val="00F75F15"/>
    <w:rsid w:val="00F76054"/>
    <w:rsid w:val="00F762BB"/>
    <w:rsid w:val="00F7641F"/>
    <w:rsid w:val="00F765FB"/>
    <w:rsid w:val="00F766BB"/>
    <w:rsid w:val="00F7682D"/>
    <w:rsid w:val="00F76A7D"/>
    <w:rsid w:val="00F76BEF"/>
    <w:rsid w:val="00F76C46"/>
    <w:rsid w:val="00F76D41"/>
    <w:rsid w:val="00F7700A"/>
    <w:rsid w:val="00F7703B"/>
    <w:rsid w:val="00F770D0"/>
    <w:rsid w:val="00F770F1"/>
    <w:rsid w:val="00F772BD"/>
    <w:rsid w:val="00F773EB"/>
    <w:rsid w:val="00F7744B"/>
    <w:rsid w:val="00F7745C"/>
    <w:rsid w:val="00F774A2"/>
    <w:rsid w:val="00F774D5"/>
    <w:rsid w:val="00F77612"/>
    <w:rsid w:val="00F77696"/>
    <w:rsid w:val="00F778E7"/>
    <w:rsid w:val="00F7794B"/>
    <w:rsid w:val="00F77BBD"/>
    <w:rsid w:val="00F77C5B"/>
    <w:rsid w:val="00F77D5E"/>
    <w:rsid w:val="00F77F37"/>
    <w:rsid w:val="00F80091"/>
    <w:rsid w:val="00F800EE"/>
    <w:rsid w:val="00F801FC"/>
    <w:rsid w:val="00F802E0"/>
    <w:rsid w:val="00F803C2"/>
    <w:rsid w:val="00F8059C"/>
    <w:rsid w:val="00F805F0"/>
    <w:rsid w:val="00F80957"/>
    <w:rsid w:val="00F80C4D"/>
    <w:rsid w:val="00F80CBB"/>
    <w:rsid w:val="00F80E6A"/>
    <w:rsid w:val="00F80E6F"/>
    <w:rsid w:val="00F813C8"/>
    <w:rsid w:val="00F81556"/>
    <w:rsid w:val="00F81593"/>
    <w:rsid w:val="00F81666"/>
    <w:rsid w:val="00F81667"/>
    <w:rsid w:val="00F81683"/>
    <w:rsid w:val="00F8175B"/>
    <w:rsid w:val="00F819D3"/>
    <w:rsid w:val="00F81A54"/>
    <w:rsid w:val="00F81B3E"/>
    <w:rsid w:val="00F81BE9"/>
    <w:rsid w:val="00F81C61"/>
    <w:rsid w:val="00F81D1F"/>
    <w:rsid w:val="00F81E13"/>
    <w:rsid w:val="00F81F41"/>
    <w:rsid w:val="00F820AD"/>
    <w:rsid w:val="00F8218F"/>
    <w:rsid w:val="00F821F3"/>
    <w:rsid w:val="00F82294"/>
    <w:rsid w:val="00F82524"/>
    <w:rsid w:val="00F826D1"/>
    <w:rsid w:val="00F82AAE"/>
    <w:rsid w:val="00F82B34"/>
    <w:rsid w:val="00F82F5A"/>
    <w:rsid w:val="00F831A4"/>
    <w:rsid w:val="00F8326C"/>
    <w:rsid w:val="00F832AB"/>
    <w:rsid w:val="00F8351A"/>
    <w:rsid w:val="00F835F7"/>
    <w:rsid w:val="00F83A5E"/>
    <w:rsid w:val="00F83B07"/>
    <w:rsid w:val="00F83C1E"/>
    <w:rsid w:val="00F83C75"/>
    <w:rsid w:val="00F8424F"/>
    <w:rsid w:val="00F842DD"/>
    <w:rsid w:val="00F843FE"/>
    <w:rsid w:val="00F84439"/>
    <w:rsid w:val="00F84689"/>
    <w:rsid w:val="00F846EB"/>
    <w:rsid w:val="00F846FD"/>
    <w:rsid w:val="00F8471C"/>
    <w:rsid w:val="00F8472B"/>
    <w:rsid w:val="00F84823"/>
    <w:rsid w:val="00F84AA5"/>
    <w:rsid w:val="00F84AE2"/>
    <w:rsid w:val="00F84D05"/>
    <w:rsid w:val="00F84D95"/>
    <w:rsid w:val="00F84E38"/>
    <w:rsid w:val="00F851CC"/>
    <w:rsid w:val="00F853C7"/>
    <w:rsid w:val="00F8545E"/>
    <w:rsid w:val="00F85489"/>
    <w:rsid w:val="00F85529"/>
    <w:rsid w:val="00F85554"/>
    <w:rsid w:val="00F85807"/>
    <w:rsid w:val="00F85A11"/>
    <w:rsid w:val="00F85A71"/>
    <w:rsid w:val="00F86170"/>
    <w:rsid w:val="00F861DB"/>
    <w:rsid w:val="00F861F2"/>
    <w:rsid w:val="00F86256"/>
    <w:rsid w:val="00F86362"/>
    <w:rsid w:val="00F864E8"/>
    <w:rsid w:val="00F86915"/>
    <w:rsid w:val="00F86986"/>
    <w:rsid w:val="00F86ACF"/>
    <w:rsid w:val="00F86B12"/>
    <w:rsid w:val="00F86B25"/>
    <w:rsid w:val="00F86B53"/>
    <w:rsid w:val="00F86CF8"/>
    <w:rsid w:val="00F87140"/>
    <w:rsid w:val="00F872C6"/>
    <w:rsid w:val="00F872F2"/>
    <w:rsid w:val="00F873AE"/>
    <w:rsid w:val="00F87748"/>
    <w:rsid w:val="00F877B1"/>
    <w:rsid w:val="00F878C8"/>
    <w:rsid w:val="00F87BA9"/>
    <w:rsid w:val="00F87F6A"/>
    <w:rsid w:val="00F901B2"/>
    <w:rsid w:val="00F903C5"/>
    <w:rsid w:val="00F90688"/>
    <w:rsid w:val="00F909D7"/>
    <w:rsid w:val="00F90C0C"/>
    <w:rsid w:val="00F90DB8"/>
    <w:rsid w:val="00F90E59"/>
    <w:rsid w:val="00F90EAE"/>
    <w:rsid w:val="00F91184"/>
    <w:rsid w:val="00F91263"/>
    <w:rsid w:val="00F91422"/>
    <w:rsid w:val="00F91478"/>
    <w:rsid w:val="00F9162E"/>
    <w:rsid w:val="00F9165D"/>
    <w:rsid w:val="00F916B2"/>
    <w:rsid w:val="00F917BA"/>
    <w:rsid w:val="00F91C60"/>
    <w:rsid w:val="00F91D2F"/>
    <w:rsid w:val="00F91DDB"/>
    <w:rsid w:val="00F91E50"/>
    <w:rsid w:val="00F921B1"/>
    <w:rsid w:val="00F9226C"/>
    <w:rsid w:val="00F92337"/>
    <w:rsid w:val="00F92519"/>
    <w:rsid w:val="00F925DC"/>
    <w:rsid w:val="00F92B95"/>
    <w:rsid w:val="00F93317"/>
    <w:rsid w:val="00F9356C"/>
    <w:rsid w:val="00F935FF"/>
    <w:rsid w:val="00F93625"/>
    <w:rsid w:val="00F936B6"/>
    <w:rsid w:val="00F9391A"/>
    <w:rsid w:val="00F93B0C"/>
    <w:rsid w:val="00F93D81"/>
    <w:rsid w:val="00F93DF0"/>
    <w:rsid w:val="00F93E4D"/>
    <w:rsid w:val="00F93E71"/>
    <w:rsid w:val="00F93FB3"/>
    <w:rsid w:val="00F94094"/>
    <w:rsid w:val="00F94189"/>
    <w:rsid w:val="00F9418B"/>
    <w:rsid w:val="00F942E9"/>
    <w:rsid w:val="00F94331"/>
    <w:rsid w:val="00F94341"/>
    <w:rsid w:val="00F9454E"/>
    <w:rsid w:val="00F94580"/>
    <w:rsid w:val="00F94611"/>
    <w:rsid w:val="00F94978"/>
    <w:rsid w:val="00F949D7"/>
    <w:rsid w:val="00F94B12"/>
    <w:rsid w:val="00F94BCA"/>
    <w:rsid w:val="00F94C93"/>
    <w:rsid w:val="00F94D69"/>
    <w:rsid w:val="00F94F56"/>
    <w:rsid w:val="00F95030"/>
    <w:rsid w:val="00F95099"/>
    <w:rsid w:val="00F950F0"/>
    <w:rsid w:val="00F95100"/>
    <w:rsid w:val="00F951D5"/>
    <w:rsid w:val="00F95373"/>
    <w:rsid w:val="00F953DD"/>
    <w:rsid w:val="00F9555B"/>
    <w:rsid w:val="00F955DB"/>
    <w:rsid w:val="00F958D2"/>
    <w:rsid w:val="00F95AAD"/>
    <w:rsid w:val="00F95B1B"/>
    <w:rsid w:val="00F95ECE"/>
    <w:rsid w:val="00F95F4F"/>
    <w:rsid w:val="00F96040"/>
    <w:rsid w:val="00F96226"/>
    <w:rsid w:val="00F96245"/>
    <w:rsid w:val="00F96308"/>
    <w:rsid w:val="00F9635A"/>
    <w:rsid w:val="00F965B8"/>
    <w:rsid w:val="00F9668C"/>
    <w:rsid w:val="00F967AD"/>
    <w:rsid w:val="00F968DE"/>
    <w:rsid w:val="00F96B39"/>
    <w:rsid w:val="00F96C25"/>
    <w:rsid w:val="00F96D1D"/>
    <w:rsid w:val="00F9725E"/>
    <w:rsid w:val="00F97263"/>
    <w:rsid w:val="00F97555"/>
    <w:rsid w:val="00F97687"/>
    <w:rsid w:val="00F976D4"/>
    <w:rsid w:val="00F97894"/>
    <w:rsid w:val="00F97A31"/>
    <w:rsid w:val="00F97B13"/>
    <w:rsid w:val="00F97B67"/>
    <w:rsid w:val="00F97D31"/>
    <w:rsid w:val="00F97EB4"/>
    <w:rsid w:val="00F97F4E"/>
    <w:rsid w:val="00F97FDB"/>
    <w:rsid w:val="00FA019A"/>
    <w:rsid w:val="00FA02C0"/>
    <w:rsid w:val="00FA031B"/>
    <w:rsid w:val="00FA038C"/>
    <w:rsid w:val="00FA054F"/>
    <w:rsid w:val="00FA0561"/>
    <w:rsid w:val="00FA067B"/>
    <w:rsid w:val="00FA07A2"/>
    <w:rsid w:val="00FA0833"/>
    <w:rsid w:val="00FA09DA"/>
    <w:rsid w:val="00FA0DFE"/>
    <w:rsid w:val="00FA143B"/>
    <w:rsid w:val="00FA17C4"/>
    <w:rsid w:val="00FA1875"/>
    <w:rsid w:val="00FA1A10"/>
    <w:rsid w:val="00FA1A79"/>
    <w:rsid w:val="00FA1B4A"/>
    <w:rsid w:val="00FA1B74"/>
    <w:rsid w:val="00FA1E34"/>
    <w:rsid w:val="00FA20F5"/>
    <w:rsid w:val="00FA24E7"/>
    <w:rsid w:val="00FA253A"/>
    <w:rsid w:val="00FA2716"/>
    <w:rsid w:val="00FA2746"/>
    <w:rsid w:val="00FA2785"/>
    <w:rsid w:val="00FA2A15"/>
    <w:rsid w:val="00FA2DDF"/>
    <w:rsid w:val="00FA2E55"/>
    <w:rsid w:val="00FA306B"/>
    <w:rsid w:val="00FA3152"/>
    <w:rsid w:val="00FA3745"/>
    <w:rsid w:val="00FA38C2"/>
    <w:rsid w:val="00FA3965"/>
    <w:rsid w:val="00FA3B98"/>
    <w:rsid w:val="00FA4082"/>
    <w:rsid w:val="00FA40A6"/>
    <w:rsid w:val="00FA4105"/>
    <w:rsid w:val="00FA4133"/>
    <w:rsid w:val="00FA417F"/>
    <w:rsid w:val="00FA41CC"/>
    <w:rsid w:val="00FA41D8"/>
    <w:rsid w:val="00FA41EE"/>
    <w:rsid w:val="00FA4404"/>
    <w:rsid w:val="00FA46A6"/>
    <w:rsid w:val="00FA4729"/>
    <w:rsid w:val="00FA4B49"/>
    <w:rsid w:val="00FA4BE0"/>
    <w:rsid w:val="00FA4CF8"/>
    <w:rsid w:val="00FA4D56"/>
    <w:rsid w:val="00FA4D81"/>
    <w:rsid w:val="00FA4EC8"/>
    <w:rsid w:val="00FA4F68"/>
    <w:rsid w:val="00FA4F85"/>
    <w:rsid w:val="00FA4FAC"/>
    <w:rsid w:val="00FA4FCB"/>
    <w:rsid w:val="00FA52D7"/>
    <w:rsid w:val="00FA53EB"/>
    <w:rsid w:val="00FA56A1"/>
    <w:rsid w:val="00FA56D3"/>
    <w:rsid w:val="00FA5DF7"/>
    <w:rsid w:val="00FA5E64"/>
    <w:rsid w:val="00FA5EE1"/>
    <w:rsid w:val="00FA600B"/>
    <w:rsid w:val="00FA6015"/>
    <w:rsid w:val="00FA6131"/>
    <w:rsid w:val="00FA6215"/>
    <w:rsid w:val="00FA6334"/>
    <w:rsid w:val="00FA636D"/>
    <w:rsid w:val="00FA63F1"/>
    <w:rsid w:val="00FA65D4"/>
    <w:rsid w:val="00FA65EC"/>
    <w:rsid w:val="00FA66A6"/>
    <w:rsid w:val="00FA6AE3"/>
    <w:rsid w:val="00FA6B68"/>
    <w:rsid w:val="00FA6C53"/>
    <w:rsid w:val="00FA6D04"/>
    <w:rsid w:val="00FA71A8"/>
    <w:rsid w:val="00FA722A"/>
    <w:rsid w:val="00FA74AE"/>
    <w:rsid w:val="00FA74AF"/>
    <w:rsid w:val="00FA7808"/>
    <w:rsid w:val="00FA7ADB"/>
    <w:rsid w:val="00FA7C41"/>
    <w:rsid w:val="00FA7D95"/>
    <w:rsid w:val="00FA7FC0"/>
    <w:rsid w:val="00FA7FD9"/>
    <w:rsid w:val="00FB016F"/>
    <w:rsid w:val="00FB01EC"/>
    <w:rsid w:val="00FB0257"/>
    <w:rsid w:val="00FB03AC"/>
    <w:rsid w:val="00FB045E"/>
    <w:rsid w:val="00FB0478"/>
    <w:rsid w:val="00FB04A9"/>
    <w:rsid w:val="00FB07AF"/>
    <w:rsid w:val="00FB0927"/>
    <w:rsid w:val="00FB09C5"/>
    <w:rsid w:val="00FB0B1D"/>
    <w:rsid w:val="00FB0C8C"/>
    <w:rsid w:val="00FB0D56"/>
    <w:rsid w:val="00FB0D8E"/>
    <w:rsid w:val="00FB107E"/>
    <w:rsid w:val="00FB1166"/>
    <w:rsid w:val="00FB1273"/>
    <w:rsid w:val="00FB1378"/>
    <w:rsid w:val="00FB1457"/>
    <w:rsid w:val="00FB1535"/>
    <w:rsid w:val="00FB1683"/>
    <w:rsid w:val="00FB1871"/>
    <w:rsid w:val="00FB1ABE"/>
    <w:rsid w:val="00FB1EDC"/>
    <w:rsid w:val="00FB1F20"/>
    <w:rsid w:val="00FB1F4F"/>
    <w:rsid w:val="00FB1FBC"/>
    <w:rsid w:val="00FB219E"/>
    <w:rsid w:val="00FB2334"/>
    <w:rsid w:val="00FB2335"/>
    <w:rsid w:val="00FB234A"/>
    <w:rsid w:val="00FB243F"/>
    <w:rsid w:val="00FB25F7"/>
    <w:rsid w:val="00FB26C1"/>
    <w:rsid w:val="00FB2735"/>
    <w:rsid w:val="00FB2857"/>
    <w:rsid w:val="00FB2876"/>
    <w:rsid w:val="00FB28FA"/>
    <w:rsid w:val="00FB2986"/>
    <w:rsid w:val="00FB2E19"/>
    <w:rsid w:val="00FB2FCD"/>
    <w:rsid w:val="00FB3095"/>
    <w:rsid w:val="00FB325E"/>
    <w:rsid w:val="00FB3295"/>
    <w:rsid w:val="00FB33ED"/>
    <w:rsid w:val="00FB35D6"/>
    <w:rsid w:val="00FB373E"/>
    <w:rsid w:val="00FB37DA"/>
    <w:rsid w:val="00FB39E9"/>
    <w:rsid w:val="00FB3B57"/>
    <w:rsid w:val="00FB3C77"/>
    <w:rsid w:val="00FB3CCD"/>
    <w:rsid w:val="00FB3F7E"/>
    <w:rsid w:val="00FB4237"/>
    <w:rsid w:val="00FB439A"/>
    <w:rsid w:val="00FB446B"/>
    <w:rsid w:val="00FB44C1"/>
    <w:rsid w:val="00FB46EA"/>
    <w:rsid w:val="00FB4786"/>
    <w:rsid w:val="00FB48FC"/>
    <w:rsid w:val="00FB496B"/>
    <w:rsid w:val="00FB4C32"/>
    <w:rsid w:val="00FB4CDB"/>
    <w:rsid w:val="00FB4E0A"/>
    <w:rsid w:val="00FB4FDC"/>
    <w:rsid w:val="00FB506D"/>
    <w:rsid w:val="00FB50A0"/>
    <w:rsid w:val="00FB5163"/>
    <w:rsid w:val="00FB594A"/>
    <w:rsid w:val="00FB59C5"/>
    <w:rsid w:val="00FB59E3"/>
    <w:rsid w:val="00FB5CA3"/>
    <w:rsid w:val="00FB5DBD"/>
    <w:rsid w:val="00FB5F14"/>
    <w:rsid w:val="00FB5F7F"/>
    <w:rsid w:val="00FB5F89"/>
    <w:rsid w:val="00FB6007"/>
    <w:rsid w:val="00FB613D"/>
    <w:rsid w:val="00FB6202"/>
    <w:rsid w:val="00FB6203"/>
    <w:rsid w:val="00FB6227"/>
    <w:rsid w:val="00FB6502"/>
    <w:rsid w:val="00FB666F"/>
    <w:rsid w:val="00FB66F7"/>
    <w:rsid w:val="00FB67E6"/>
    <w:rsid w:val="00FB684C"/>
    <w:rsid w:val="00FB69B4"/>
    <w:rsid w:val="00FB6CB1"/>
    <w:rsid w:val="00FB6F24"/>
    <w:rsid w:val="00FB700E"/>
    <w:rsid w:val="00FB70DC"/>
    <w:rsid w:val="00FB7107"/>
    <w:rsid w:val="00FB71AC"/>
    <w:rsid w:val="00FB724A"/>
    <w:rsid w:val="00FB73C1"/>
    <w:rsid w:val="00FB74F8"/>
    <w:rsid w:val="00FB76B3"/>
    <w:rsid w:val="00FB78F1"/>
    <w:rsid w:val="00FB79A0"/>
    <w:rsid w:val="00FB7A2A"/>
    <w:rsid w:val="00FB7AEC"/>
    <w:rsid w:val="00FB7B50"/>
    <w:rsid w:val="00FB7B68"/>
    <w:rsid w:val="00FB7D8A"/>
    <w:rsid w:val="00FB7FBA"/>
    <w:rsid w:val="00FC00C3"/>
    <w:rsid w:val="00FC00F9"/>
    <w:rsid w:val="00FC043C"/>
    <w:rsid w:val="00FC060C"/>
    <w:rsid w:val="00FC06DF"/>
    <w:rsid w:val="00FC0713"/>
    <w:rsid w:val="00FC0737"/>
    <w:rsid w:val="00FC09CC"/>
    <w:rsid w:val="00FC0A0C"/>
    <w:rsid w:val="00FC0D77"/>
    <w:rsid w:val="00FC1119"/>
    <w:rsid w:val="00FC14D5"/>
    <w:rsid w:val="00FC1559"/>
    <w:rsid w:val="00FC156F"/>
    <w:rsid w:val="00FC15B3"/>
    <w:rsid w:val="00FC1649"/>
    <w:rsid w:val="00FC1767"/>
    <w:rsid w:val="00FC1786"/>
    <w:rsid w:val="00FC17B1"/>
    <w:rsid w:val="00FC1929"/>
    <w:rsid w:val="00FC1AAF"/>
    <w:rsid w:val="00FC1B11"/>
    <w:rsid w:val="00FC1B17"/>
    <w:rsid w:val="00FC1EFA"/>
    <w:rsid w:val="00FC1FAF"/>
    <w:rsid w:val="00FC1FF1"/>
    <w:rsid w:val="00FC24F0"/>
    <w:rsid w:val="00FC2650"/>
    <w:rsid w:val="00FC296E"/>
    <w:rsid w:val="00FC2C28"/>
    <w:rsid w:val="00FC2C99"/>
    <w:rsid w:val="00FC3020"/>
    <w:rsid w:val="00FC3149"/>
    <w:rsid w:val="00FC336C"/>
    <w:rsid w:val="00FC341E"/>
    <w:rsid w:val="00FC367D"/>
    <w:rsid w:val="00FC3694"/>
    <w:rsid w:val="00FC380A"/>
    <w:rsid w:val="00FC3840"/>
    <w:rsid w:val="00FC39D5"/>
    <w:rsid w:val="00FC3B0A"/>
    <w:rsid w:val="00FC3BF6"/>
    <w:rsid w:val="00FC3D7B"/>
    <w:rsid w:val="00FC3E28"/>
    <w:rsid w:val="00FC411A"/>
    <w:rsid w:val="00FC4122"/>
    <w:rsid w:val="00FC4280"/>
    <w:rsid w:val="00FC44A8"/>
    <w:rsid w:val="00FC467E"/>
    <w:rsid w:val="00FC48EC"/>
    <w:rsid w:val="00FC4C08"/>
    <w:rsid w:val="00FC4D31"/>
    <w:rsid w:val="00FC4DE7"/>
    <w:rsid w:val="00FC4E13"/>
    <w:rsid w:val="00FC4E5C"/>
    <w:rsid w:val="00FC5004"/>
    <w:rsid w:val="00FC50D4"/>
    <w:rsid w:val="00FC5190"/>
    <w:rsid w:val="00FC52D1"/>
    <w:rsid w:val="00FC5346"/>
    <w:rsid w:val="00FC56EF"/>
    <w:rsid w:val="00FC5870"/>
    <w:rsid w:val="00FC58A7"/>
    <w:rsid w:val="00FC5916"/>
    <w:rsid w:val="00FC5A29"/>
    <w:rsid w:val="00FC5C25"/>
    <w:rsid w:val="00FC5C7C"/>
    <w:rsid w:val="00FC5D2A"/>
    <w:rsid w:val="00FC5E14"/>
    <w:rsid w:val="00FC5E8E"/>
    <w:rsid w:val="00FC5E95"/>
    <w:rsid w:val="00FC5F20"/>
    <w:rsid w:val="00FC5F51"/>
    <w:rsid w:val="00FC66EB"/>
    <w:rsid w:val="00FC6836"/>
    <w:rsid w:val="00FC68A2"/>
    <w:rsid w:val="00FC6BE3"/>
    <w:rsid w:val="00FC6CE7"/>
    <w:rsid w:val="00FC6D19"/>
    <w:rsid w:val="00FC6ECA"/>
    <w:rsid w:val="00FC6F66"/>
    <w:rsid w:val="00FC705A"/>
    <w:rsid w:val="00FC71A8"/>
    <w:rsid w:val="00FC74EB"/>
    <w:rsid w:val="00FC74FC"/>
    <w:rsid w:val="00FC759D"/>
    <w:rsid w:val="00FC763E"/>
    <w:rsid w:val="00FC7678"/>
    <w:rsid w:val="00FC76CD"/>
    <w:rsid w:val="00FC7708"/>
    <w:rsid w:val="00FC793C"/>
    <w:rsid w:val="00FC7B84"/>
    <w:rsid w:val="00FC7C36"/>
    <w:rsid w:val="00FC7ED5"/>
    <w:rsid w:val="00FD02D6"/>
    <w:rsid w:val="00FD08C4"/>
    <w:rsid w:val="00FD0AF1"/>
    <w:rsid w:val="00FD0D61"/>
    <w:rsid w:val="00FD0DCE"/>
    <w:rsid w:val="00FD12B3"/>
    <w:rsid w:val="00FD1325"/>
    <w:rsid w:val="00FD1672"/>
    <w:rsid w:val="00FD1693"/>
    <w:rsid w:val="00FD177B"/>
    <w:rsid w:val="00FD18DD"/>
    <w:rsid w:val="00FD1907"/>
    <w:rsid w:val="00FD1BB4"/>
    <w:rsid w:val="00FD1C51"/>
    <w:rsid w:val="00FD1D5C"/>
    <w:rsid w:val="00FD1E04"/>
    <w:rsid w:val="00FD1EFD"/>
    <w:rsid w:val="00FD2288"/>
    <w:rsid w:val="00FD2306"/>
    <w:rsid w:val="00FD27F3"/>
    <w:rsid w:val="00FD2896"/>
    <w:rsid w:val="00FD2937"/>
    <w:rsid w:val="00FD293D"/>
    <w:rsid w:val="00FD2973"/>
    <w:rsid w:val="00FD29A7"/>
    <w:rsid w:val="00FD2AEB"/>
    <w:rsid w:val="00FD2D81"/>
    <w:rsid w:val="00FD2DEE"/>
    <w:rsid w:val="00FD2E4D"/>
    <w:rsid w:val="00FD2ED2"/>
    <w:rsid w:val="00FD2EF4"/>
    <w:rsid w:val="00FD307B"/>
    <w:rsid w:val="00FD30A3"/>
    <w:rsid w:val="00FD30EB"/>
    <w:rsid w:val="00FD319E"/>
    <w:rsid w:val="00FD32E2"/>
    <w:rsid w:val="00FD3541"/>
    <w:rsid w:val="00FD35F3"/>
    <w:rsid w:val="00FD35F4"/>
    <w:rsid w:val="00FD37C9"/>
    <w:rsid w:val="00FD3C1F"/>
    <w:rsid w:val="00FD3C75"/>
    <w:rsid w:val="00FD3C99"/>
    <w:rsid w:val="00FD4093"/>
    <w:rsid w:val="00FD40ED"/>
    <w:rsid w:val="00FD41DE"/>
    <w:rsid w:val="00FD41DF"/>
    <w:rsid w:val="00FD4204"/>
    <w:rsid w:val="00FD46F8"/>
    <w:rsid w:val="00FD4812"/>
    <w:rsid w:val="00FD48A3"/>
    <w:rsid w:val="00FD4919"/>
    <w:rsid w:val="00FD4BC5"/>
    <w:rsid w:val="00FD4C2D"/>
    <w:rsid w:val="00FD4CA0"/>
    <w:rsid w:val="00FD4DD9"/>
    <w:rsid w:val="00FD4E76"/>
    <w:rsid w:val="00FD5075"/>
    <w:rsid w:val="00FD52C4"/>
    <w:rsid w:val="00FD540F"/>
    <w:rsid w:val="00FD5411"/>
    <w:rsid w:val="00FD5479"/>
    <w:rsid w:val="00FD580D"/>
    <w:rsid w:val="00FD5DA9"/>
    <w:rsid w:val="00FD5E09"/>
    <w:rsid w:val="00FD5E39"/>
    <w:rsid w:val="00FD5E6C"/>
    <w:rsid w:val="00FD5E88"/>
    <w:rsid w:val="00FD5E89"/>
    <w:rsid w:val="00FD5EEB"/>
    <w:rsid w:val="00FD605E"/>
    <w:rsid w:val="00FD60AA"/>
    <w:rsid w:val="00FD64D9"/>
    <w:rsid w:val="00FD6551"/>
    <w:rsid w:val="00FD6568"/>
    <w:rsid w:val="00FD6665"/>
    <w:rsid w:val="00FD6722"/>
    <w:rsid w:val="00FD67BE"/>
    <w:rsid w:val="00FD696B"/>
    <w:rsid w:val="00FD6A83"/>
    <w:rsid w:val="00FD6D0C"/>
    <w:rsid w:val="00FD6E1D"/>
    <w:rsid w:val="00FD6E5A"/>
    <w:rsid w:val="00FD6E62"/>
    <w:rsid w:val="00FD6F76"/>
    <w:rsid w:val="00FD6FCA"/>
    <w:rsid w:val="00FD7209"/>
    <w:rsid w:val="00FD7241"/>
    <w:rsid w:val="00FD738C"/>
    <w:rsid w:val="00FD7591"/>
    <w:rsid w:val="00FD7733"/>
    <w:rsid w:val="00FD7971"/>
    <w:rsid w:val="00FD79C4"/>
    <w:rsid w:val="00FD7B27"/>
    <w:rsid w:val="00FD7B58"/>
    <w:rsid w:val="00FD7C69"/>
    <w:rsid w:val="00FD7CF4"/>
    <w:rsid w:val="00FD7FCB"/>
    <w:rsid w:val="00FE008C"/>
    <w:rsid w:val="00FE0262"/>
    <w:rsid w:val="00FE037F"/>
    <w:rsid w:val="00FE0382"/>
    <w:rsid w:val="00FE03F3"/>
    <w:rsid w:val="00FE04C2"/>
    <w:rsid w:val="00FE0513"/>
    <w:rsid w:val="00FE051E"/>
    <w:rsid w:val="00FE054F"/>
    <w:rsid w:val="00FE0768"/>
    <w:rsid w:val="00FE0866"/>
    <w:rsid w:val="00FE0989"/>
    <w:rsid w:val="00FE0B3E"/>
    <w:rsid w:val="00FE0C04"/>
    <w:rsid w:val="00FE0C20"/>
    <w:rsid w:val="00FE0C4F"/>
    <w:rsid w:val="00FE0D6B"/>
    <w:rsid w:val="00FE1058"/>
    <w:rsid w:val="00FE10E4"/>
    <w:rsid w:val="00FE1215"/>
    <w:rsid w:val="00FE139A"/>
    <w:rsid w:val="00FE13C3"/>
    <w:rsid w:val="00FE1400"/>
    <w:rsid w:val="00FE1450"/>
    <w:rsid w:val="00FE1549"/>
    <w:rsid w:val="00FE185E"/>
    <w:rsid w:val="00FE192C"/>
    <w:rsid w:val="00FE1CE1"/>
    <w:rsid w:val="00FE1D3C"/>
    <w:rsid w:val="00FE1F3C"/>
    <w:rsid w:val="00FE1FA2"/>
    <w:rsid w:val="00FE204D"/>
    <w:rsid w:val="00FE2182"/>
    <w:rsid w:val="00FE2357"/>
    <w:rsid w:val="00FE2667"/>
    <w:rsid w:val="00FE2AB7"/>
    <w:rsid w:val="00FE2C37"/>
    <w:rsid w:val="00FE2C74"/>
    <w:rsid w:val="00FE2CAA"/>
    <w:rsid w:val="00FE2D6E"/>
    <w:rsid w:val="00FE2DE5"/>
    <w:rsid w:val="00FE30A9"/>
    <w:rsid w:val="00FE3281"/>
    <w:rsid w:val="00FE385C"/>
    <w:rsid w:val="00FE39FB"/>
    <w:rsid w:val="00FE3B44"/>
    <w:rsid w:val="00FE3FB8"/>
    <w:rsid w:val="00FE4040"/>
    <w:rsid w:val="00FE450C"/>
    <w:rsid w:val="00FE4672"/>
    <w:rsid w:val="00FE478C"/>
    <w:rsid w:val="00FE4810"/>
    <w:rsid w:val="00FE4922"/>
    <w:rsid w:val="00FE49D2"/>
    <w:rsid w:val="00FE4A76"/>
    <w:rsid w:val="00FE4C13"/>
    <w:rsid w:val="00FE4CBE"/>
    <w:rsid w:val="00FE4D0C"/>
    <w:rsid w:val="00FE4E16"/>
    <w:rsid w:val="00FE50D1"/>
    <w:rsid w:val="00FE52B7"/>
    <w:rsid w:val="00FE5595"/>
    <w:rsid w:val="00FE56BC"/>
    <w:rsid w:val="00FE5B64"/>
    <w:rsid w:val="00FE5C1C"/>
    <w:rsid w:val="00FE5CE3"/>
    <w:rsid w:val="00FE5DC5"/>
    <w:rsid w:val="00FE5DE1"/>
    <w:rsid w:val="00FE6203"/>
    <w:rsid w:val="00FE634E"/>
    <w:rsid w:val="00FE638F"/>
    <w:rsid w:val="00FE64D6"/>
    <w:rsid w:val="00FE66FF"/>
    <w:rsid w:val="00FE676F"/>
    <w:rsid w:val="00FE6904"/>
    <w:rsid w:val="00FE6D0B"/>
    <w:rsid w:val="00FE6F55"/>
    <w:rsid w:val="00FE700A"/>
    <w:rsid w:val="00FE70FC"/>
    <w:rsid w:val="00FE7353"/>
    <w:rsid w:val="00FE7441"/>
    <w:rsid w:val="00FE7679"/>
    <w:rsid w:val="00FE7831"/>
    <w:rsid w:val="00FE7AF5"/>
    <w:rsid w:val="00FE7BE4"/>
    <w:rsid w:val="00FE7D7B"/>
    <w:rsid w:val="00FF011C"/>
    <w:rsid w:val="00FF0122"/>
    <w:rsid w:val="00FF0183"/>
    <w:rsid w:val="00FF01C2"/>
    <w:rsid w:val="00FF01CB"/>
    <w:rsid w:val="00FF01E0"/>
    <w:rsid w:val="00FF020C"/>
    <w:rsid w:val="00FF0238"/>
    <w:rsid w:val="00FF02E8"/>
    <w:rsid w:val="00FF0397"/>
    <w:rsid w:val="00FF04A1"/>
    <w:rsid w:val="00FF065F"/>
    <w:rsid w:val="00FF06D6"/>
    <w:rsid w:val="00FF076A"/>
    <w:rsid w:val="00FF07C5"/>
    <w:rsid w:val="00FF08E5"/>
    <w:rsid w:val="00FF0947"/>
    <w:rsid w:val="00FF0A64"/>
    <w:rsid w:val="00FF0AA6"/>
    <w:rsid w:val="00FF0B0D"/>
    <w:rsid w:val="00FF0C1E"/>
    <w:rsid w:val="00FF0CCF"/>
    <w:rsid w:val="00FF0D62"/>
    <w:rsid w:val="00FF0FCB"/>
    <w:rsid w:val="00FF100D"/>
    <w:rsid w:val="00FF122F"/>
    <w:rsid w:val="00FF12C9"/>
    <w:rsid w:val="00FF12DF"/>
    <w:rsid w:val="00FF13EE"/>
    <w:rsid w:val="00FF1571"/>
    <w:rsid w:val="00FF157A"/>
    <w:rsid w:val="00FF1641"/>
    <w:rsid w:val="00FF16C8"/>
    <w:rsid w:val="00FF186E"/>
    <w:rsid w:val="00FF1907"/>
    <w:rsid w:val="00FF1BEE"/>
    <w:rsid w:val="00FF1D26"/>
    <w:rsid w:val="00FF1D38"/>
    <w:rsid w:val="00FF1F11"/>
    <w:rsid w:val="00FF20E4"/>
    <w:rsid w:val="00FF215C"/>
    <w:rsid w:val="00FF2196"/>
    <w:rsid w:val="00FF226A"/>
    <w:rsid w:val="00FF22DC"/>
    <w:rsid w:val="00FF2516"/>
    <w:rsid w:val="00FF2601"/>
    <w:rsid w:val="00FF2722"/>
    <w:rsid w:val="00FF277F"/>
    <w:rsid w:val="00FF29A3"/>
    <w:rsid w:val="00FF2AD8"/>
    <w:rsid w:val="00FF2CD7"/>
    <w:rsid w:val="00FF2E79"/>
    <w:rsid w:val="00FF2FA9"/>
    <w:rsid w:val="00FF30BA"/>
    <w:rsid w:val="00FF31C0"/>
    <w:rsid w:val="00FF3329"/>
    <w:rsid w:val="00FF336A"/>
    <w:rsid w:val="00FF34A9"/>
    <w:rsid w:val="00FF353C"/>
    <w:rsid w:val="00FF36A1"/>
    <w:rsid w:val="00FF36E1"/>
    <w:rsid w:val="00FF3833"/>
    <w:rsid w:val="00FF3967"/>
    <w:rsid w:val="00FF399F"/>
    <w:rsid w:val="00FF3A23"/>
    <w:rsid w:val="00FF3EAE"/>
    <w:rsid w:val="00FF3F84"/>
    <w:rsid w:val="00FF4102"/>
    <w:rsid w:val="00FF412D"/>
    <w:rsid w:val="00FF426E"/>
    <w:rsid w:val="00FF4381"/>
    <w:rsid w:val="00FF454B"/>
    <w:rsid w:val="00FF4585"/>
    <w:rsid w:val="00FF48FE"/>
    <w:rsid w:val="00FF4A91"/>
    <w:rsid w:val="00FF4BB0"/>
    <w:rsid w:val="00FF4BB6"/>
    <w:rsid w:val="00FF4E30"/>
    <w:rsid w:val="00FF4E83"/>
    <w:rsid w:val="00FF4E90"/>
    <w:rsid w:val="00FF504C"/>
    <w:rsid w:val="00FF5064"/>
    <w:rsid w:val="00FF5098"/>
    <w:rsid w:val="00FF5418"/>
    <w:rsid w:val="00FF55D0"/>
    <w:rsid w:val="00FF5621"/>
    <w:rsid w:val="00FF5630"/>
    <w:rsid w:val="00FF57C8"/>
    <w:rsid w:val="00FF59F4"/>
    <w:rsid w:val="00FF5A3F"/>
    <w:rsid w:val="00FF5C02"/>
    <w:rsid w:val="00FF5CCD"/>
    <w:rsid w:val="00FF5CDD"/>
    <w:rsid w:val="00FF5F89"/>
    <w:rsid w:val="00FF6073"/>
    <w:rsid w:val="00FF60F6"/>
    <w:rsid w:val="00FF62FE"/>
    <w:rsid w:val="00FF672C"/>
    <w:rsid w:val="00FF6741"/>
    <w:rsid w:val="00FF6813"/>
    <w:rsid w:val="00FF689A"/>
    <w:rsid w:val="00FF69C7"/>
    <w:rsid w:val="00FF6A87"/>
    <w:rsid w:val="00FF6AAB"/>
    <w:rsid w:val="00FF6E90"/>
    <w:rsid w:val="00FF6FCC"/>
    <w:rsid w:val="00FF7290"/>
    <w:rsid w:val="00FF74FF"/>
    <w:rsid w:val="00FF762F"/>
    <w:rsid w:val="00FF7666"/>
    <w:rsid w:val="00FF78CF"/>
    <w:rsid w:val="00FF7A80"/>
    <w:rsid w:val="00FF7C9F"/>
    <w:rsid w:val="00FF7D16"/>
    <w:rsid w:val="00FF7DDA"/>
    <w:rsid w:val="00FF7E00"/>
    <w:rsid w:val="00FF7E6C"/>
    <w:rsid w:val="018FCE6D"/>
    <w:rsid w:val="0207B98C"/>
    <w:rsid w:val="021CAC8E"/>
    <w:rsid w:val="02B44873"/>
    <w:rsid w:val="0467F17E"/>
    <w:rsid w:val="055231EE"/>
    <w:rsid w:val="0604D429"/>
    <w:rsid w:val="072CAC48"/>
    <w:rsid w:val="084BA0FF"/>
    <w:rsid w:val="097E017F"/>
    <w:rsid w:val="0AE7A48B"/>
    <w:rsid w:val="0B7828C6"/>
    <w:rsid w:val="0C401C2C"/>
    <w:rsid w:val="0C8BE4CB"/>
    <w:rsid w:val="0C9CFF8F"/>
    <w:rsid w:val="0D5621FC"/>
    <w:rsid w:val="0E065A59"/>
    <w:rsid w:val="0FDB6AE5"/>
    <w:rsid w:val="10285C12"/>
    <w:rsid w:val="11466DCB"/>
    <w:rsid w:val="116C64F6"/>
    <w:rsid w:val="11FBD6E7"/>
    <w:rsid w:val="12BB9EF0"/>
    <w:rsid w:val="13664910"/>
    <w:rsid w:val="13CE0930"/>
    <w:rsid w:val="13DBA218"/>
    <w:rsid w:val="14483BD5"/>
    <w:rsid w:val="164F0026"/>
    <w:rsid w:val="169AC2A4"/>
    <w:rsid w:val="16E44237"/>
    <w:rsid w:val="171FD098"/>
    <w:rsid w:val="1739E768"/>
    <w:rsid w:val="17F1376F"/>
    <w:rsid w:val="19AAC2B9"/>
    <w:rsid w:val="19DA1E1B"/>
    <w:rsid w:val="1ADC595E"/>
    <w:rsid w:val="1AEF9637"/>
    <w:rsid w:val="1B999DB2"/>
    <w:rsid w:val="1C49CA7C"/>
    <w:rsid w:val="1C6140BC"/>
    <w:rsid w:val="1CAEFF11"/>
    <w:rsid w:val="1CC4E46E"/>
    <w:rsid w:val="1CE53FAB"/>
    <w:rsid w:val="1CE54ADF"/>
    <w:rsid w:val="1D3AA304"/>
    <w:rsid w:val="1EAA99E6"/>
    <w:rsid w:val="1FB4F485"/>
    <w:rsid w:val="1FB8A632"/>
    <w:rsid w:val="1FD8AF1F"/>
    <w:rsid w:val="201AD223"/>
    <w:rsid w:val="2093E539"/>
    <w:rsid w:val="21BB26DB"/>
    <w:rsid w:val="21C32FD0"/>
    <w:rsid w:val="21CC4D45"/>
    <w:rsid w:val="2290D758"/>
    <w:rsid w:val="23276A04"/>
    <w:rsid w:val="235F2130"/>
    <w:rsid w:val="244EA84A"/>
    <w:rsid w:val="24AF95F9"/>
    <w:rsid w:val="264C6396"/>
    <w:rsid w:val="27672FBE"/>
    <w:rsid w:val="278539FB"/>
    <w:rsid w:val="28292C76"/>
    <w:rsid w:val="28B9A619"/>
    <w:rsid w:val="2A3FBFAD"/>
    <w:rsid w:val="2A7C8CA8"/>
    <w:rsid w:val="2AE2D5E8"/>
    <w:rsid w:val="2B99C148"/>
    <w:rsid w:val="2BE4A0F1"/>
    <w:rsid w:val="2CE04478"/>
    <w:rsid w:val="2FD434C5"/>
    <w:rsid w:val="2FFB0B29"/>
    <w:rsid w:val="30D8D880"/>
    <w:rsid w:val="32C084A9"/>
    <w:rsid w:val="34348D1F"/>
    <w:rsid w:val="34D002EA"/>
    <w:rsid w:val="35A1F3A5"/>
    <w:rsid w:val="362FC73C"/>
    <w:rsid w:val="37B906C3"/>
    <w:rsid w:val="381CA7C1"/>
    <w:rsid w:val="39610B7F"/>
    <w:rsid w:val="3987D473"/>
    <w:rsid w:val="39D4DF3E"/>
    <w:rsid w:val="3A9F3084"/>
    <w:rsid w:val="3ADD2A0E"/>
    <w:rsid w:val="3D8E0473"/>
    <w:rsid w:val="3DBB17B1"/>
    <w:rsid w:val="3E8D57FF"/>
    <w:rsid w:val="3EB88CB8"/>
    <w:rsid w:val="3FC35C4D"/>
    <w:rsid w:val="4031BA36"/>
    <w:rsid w:val="411BEE39"/>
    <w:rsid w:val="41D427B9"/>
    <w:rsid w:val="4218352F"/>
    <w:rsid w:val="424B38B1"/>
    <w:rsid w:val="427D10B0"/>
    <w:rsid w:val="43FC93E7"/>
    <w:rsid w:val="4434734C"/>
    <w:rsid w:val="447ED1A8"/>
    <w:rsid w:val="44EB8D68"/>
    <w:rsid w:val="44F4D1D5"/>
    <w:rsid w:val="45614E31"/>
    <w:rsid w:val="45FA4BD7"/>
    <w:rsid w:val="46A81124"/>
    <w:rsid w:val="46B4E8E4"/>
    <w:rsid w:val="46CC4AD9"/>
    <w:rsid w:val="473EE3BB"/>
    <w:rsid w:val="47EF038C"/>
    <w:rsid w:val="4865987D"/>
    <w:rsid w:val="4A37BC67"/>
    <w:rsid w:val="4A9BD88F"/>
    <w:rsid w:val="4AD4D374"/>
    <w:rsid w:val="4AE8D09C"/>
    <w:rsid w:val="4B5D9F25"/>
    <w:rsid w:val="4B759892"/>
    <w:rsid w:val="4BE9209A"/>
    <w:rsid w:val="4C8D2500"/>
    <w:rsid w:val="4D9101CE"/>
    <w:rsid w:val="4E8231AF"/>
    <w:rsid w:val="4F5BFAC0"/>
    <w:rsid w:val="51504CB3"/>
    <w:rsid w:val="51CFFADE"/>
    <w:rsid w:val="52002C87"/>
    <w:rsid w:val="53A71C34"/>
    <w:rsid w:val="546980EF"/>
    <w:rsid w:val="54785C80"/>
    <w:rsid w:val="548E4CCE"/>
    <w:rsid w:val="54CFFC05"/>
    <w:rsid w:val="550F93BE"/>
    <w:rsid w:val="55B63734"/>
    <w:rsid w:val="55CEC5B8"/>
    <w:rsid w:val="5618F49F"/>
    <w:rsid w:val="56DC7541"/>
    <w:rsid w:val="5743977C"/>
    <w:rsid w:val="58DA78AB"/>
    <w:rsid w:val="593178B7"/>
    <w:rsid w:val="59982B17"/>
    <w:rsid w:val="5A82C283"/>
    <w:rsid w:val="5B159A06"/>
    <w:rsid w:val="5B7E02C2"/>
    <w:rsid w:val="5BBC117C"/>
    <w:rsid w:val="5BD028B9"/>
    <w:rsid w:val="5CC4436D"/>
    <w:rsid w:val="5D49AC1B"/>
    <w:rsid w:val="5D7560D2"/>
    <w:rsid w:val="5D78398B"/>
    <w:rsid w:val="5D9CD8CC"/>
    <w:rsid w:val="5E0CFE9E"/>
    <w:rsid w:val="5E61EF66"/>
    <w:rsid w:val="5E89AAB8"/>
    <w:rsid w:val="5FF9A18F"/>
    <w:rsid w:val="6090E5C6"/>
    <w:rsid w:val="6142C958"/>
    <w:rsid w:val="61A6E668"/>
    <w:rsid w:val="62845446"/>
    <w:rsid w:val="62A32F1E"/>
    <w:rsid w:val="634603A6"/>
    <w:rsid w:val="63AD3417"/>
    <w:rsid w:val="6409ED29"/>
    <w:rsid w:val="64DAFF1D"/>
    <w:rsid w:val="654609CA"/>
    <w:rsid w:val="65CC00EF"/>
    <w:rsid w:val="65E85B12"/>
    <w:rsid w:val="6689554F"/>
    <w:rsid w:val="66CF9B92"/>
    <w:rsid w:val="675D223E"/>
    <w:rsid w:val="678ABA3B"/>
    <w:rsid w:val="67E2485E"/>
    <w:rsid w:val="682582AA"/>
    <w:rsid w:val="68AE4D29"/>
    <w:rsid w:val="69DE94F0"/>
    <w:rsid w:val="6A22CE8F"/>
    <w:rsid w:val="6A3B5F74"/>
    <w:rsid w:val="6A831689"/>
    <w:rsid w:val="6B1786E3"/>
    <w:rsid w:val="6B801C35"/>
    <w:rsid w:val="6C046028"/>
    <w:rsid w:val="6D3B20D1"/>
    <w:rsid w:val="6D69E4BB"/>
    <w:rsid w:val="6E244EF7"/>
    <w:rsid w:val="6EA8BA28"/>
    <w:rsid w:val="70AE0CB7"/>
    <w:rsid w:val="70B0ABB3"/>
    <w:rsid w:val="70CB738A"/>
    <w:rsid w:val="71FFE6D3"/>
    <w:rsid w:val="7303507D"/>
    <w:rsid w:val="734470C3"/>
    <w:rsid w:val="73B57620"/>
    <w:rsid w:val="74752E6D"/>
    <w:rsid w:val="762939BE"/>
    <w:rsid w:val="779985EF"/>
    <w:rsid w:val="78D3091F"/>
    <w:rsid w:val="79B52101"/>
    <w:rsid w:val="7B2E5C48"/>
    <w:rsid w:val="7B63BD6F"/>
    <w:rsid w:val="7BF8A4C1"/>
    <w:rsid w:val="7D064EC7"/>
    <w:rsid w:val="7D3B1A04"/>
    <w:rsid w:val="7F004D53"/>
    <w:rsid w:val="7FDD98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43AD5F"/>
  <w15:chartTrackingRefBased/>
  <w15:docId w15:val="{09B49F1B-C978-4254-A673-2B561626A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heading 1" w:uiPriority="2" w:qFormat="1"/>
    <w:lsdException w:name="heading 2" w:semiHidden="1" w:uiPriority="3"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3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lsdException w:name="List Number 3" w:semiHidden="1" w:uiPriority="9"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locked="1"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locked="1" w:semiHidden="1"/>
    <w:lsdException w:name="Body Text First Indent 2" w:locked="1" w:semiHidden="1"/>
    <w:lsdException w:name="Note Heading" w:semiHidden="1" w:unhideWhenUsed="1"/>
    <w:lsdException w:name="Body Text 2" w:locked="1" w:semiHidden="1"/>
    <w:lsdException w:name="Body Text 3" w:locked="1" w:semiHidden="1"/>
    <w:lsdException w:name="Body Text Indent 2" w:locked="1" w:semiHidden="1"/>
    <w:lsdException w:name="Body Text Indent 3" w:locked="1" w:semiHidden="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96985"/>
    <w:pPr>
      <w:spacing w:before="120" w:after="120" w:line="240" w:lineRule="auto"/>
    </w:pPr>
    <w:rPr>
      <w:rFonts w:ascii="Arial" w:hAnsi="Arial"/>
      <w:sz w:val="20"/>
    </w:rPr>
  </w:style>
  <w:style w:type="paragraph" w:styleId="Heading1">
    <w:name w:val="heading 1"/>
    <w:next w:val="BodyText"/>
    <w:link w:val="Heading1Char"/>
    <w:uiPriority w:val="2"/>
    <w:qFormat/>
    <w:rsid w:val="00273E1A"/>
    <w:pPr>
      <w:keepNext/>
      <w:keepLines/>
      <w:numPr>
        <w:numId w:val="75"/>
      </w:numPr>
      <w:tabs>
        <w:tab w:val="left" w:pos="567"/>
      </w:tabs>
      <w:spacing w:after="480" w:line="168" w:lineRule="auto"/>
      <w:outlineLvl w:val="0"/>
    </w:pPr>
    <w:rPr>
      <w:rFonts w:ascii="KPMG Bold" w:eastAsiaTheme="majorEastAsia" w:hAnsi="KPMG Bold" w:cstheme="majorBidi"/>
      <w:color w:val="00338D" w:themeColor="accent1"/>
      <w:sz w:val="96"/>
      <w:szCs w:val="32"/>
    </w:rPr>
  </w:style>
  <w:style w:type="paragraph" w:styleId="Heading2">
    <w:name w:val="heading 2"/>
    <w:next w:val="BodyText"/>
    <w:link w:val="Heading2Char"/>
    <w:uiPriority w:val="3"/>
    <w:qFormat/>
    <w:rsid w:val="00273E1A"/>
    <w:pPr>
      <w:numPr>
        <w:ilvl w:val="1"/>
        <w:numId w:val="75"/>
      </w:numPr>
      <w:spacing w:before="360" w:after="120" w:line="168" w:lineRule="auto"/>
      <w:outlineLvl w:val="1"/>
    </w:pPr>
    <w:rPr>
      <w:rFonts w:ascii="KPMG Bold" w:eastAsiaTheme="majorEastAsia" w:hAnsi="KPMG Bold" w:cstheme="majorBidi"/>
      <w:color w:val="1E49E2" w:themeColor="accent2"/>
      <w:sz w:val="40"/>
      <w:szCs w:val="26"/>
    </w:rPr>
  </w:style>
  <w:style w:type="paragraph" w:styleId="Heading3">
    <w:name w:val="heading 3"/>
    <w:next w:val="BodyText"/>
    <w:link w:val="Heading3Char"/>
    <w:uiPriority w:val="4"/>
    <w:unhideWhenUsed/>
    <w:qFormat/>
    <w:rsid w:val="00AE349D"/>
    <w:pPr>
      <w:keepNext/>
      <w:keepLines/>
      <w:numPr>
        <w:ilvl w:val="2"/>
        <w:numId w:val="75"/>
      </w:numPr>
      <w:spacing w:before="360" w:after="120" w:line="240" w:lineRule="auto"/>
      <w:outlineLvl w:val="2"/>
    </w:pPr>
    <w:rPr>
      <w:rFonts w:ascii="Arial" w:eastAsiaTheme="majorEastAsia" w:hAnsi="Arial" w:cstheme="majorBidi"/>
      <w:b/>
      <w:color w:val="1E49E2" w:themeColor="accent2"/>
      <w:sz w:val="24"/>
      <w:szCs w:val="24"/>
    </w:rPr>
  </w:style>
  <w:style w:type="paragraph" w:styleId="Heading4">
    <w:name w:val="heading 4"/>
    <w:next w:val="BodyText"/>
    <w:link w:val="Heading4Char"/>
    <w:uiPriority w:val="4"/>
    <w:unhideWhenUsed/>
    <w:qFormat/>
    <w:rsid w:val="002E1C65"/>
    <w:pPr>
      <w:keepNext/>
      <w:keepLines/>
      <w:numPr>
        <w:ilvl w:val="3"/>
        <w:numId w:val="75"/>
      </w:numPr>
      <w:spacing w:before="240" w:after="120" w:line="240" w:lineRule="auto"/>
      <w:outlineLvl w:val="3"/>
    </w:pPr>
    <w:rPr>
      <w:rFonts w:ascii="Arial Bold" w:eastAsiaTheme="majorEastAsia" w:hAnsi="Arial Bold" w:cstheme="majorBidi"/>
      <w:b/>
      <w:iCs/>
      <w:color w:val="00338D" w:themeColor="accent1"/>
      <w:sz w:val="20"/>
    </w:rPr>
  </w:style>
  <w:style w:type="paragraph" w:styleId="Heading5">
    <w:name w:val="heading 5"/>
    <w:next w:val="BodyText"/>
    <w:link w:val="Heading5Char"/>
    <w:uiPriority w:val="4"/>
    <w:unhideWhenUsed/>
    <w:qFormat/>
    <w:rsid w:val="00273E1A"/>
    <w:pPr>
      <w:spacing w:before="240" w:after="120" w:line="240" w:lineRule="auto"/>
      <w:outlineLvl w:val="4"/>
    </w:pPr>
    <w:rPr>
      <w:rFonts w:ascii="Univers 45 Light" w:hAnsi="Univers 45 Light"/>
      <w:b/>
      <w:sz w:val="20"/>
    </w:rPr>
  </w:style>
  <w:style w:type="paragraph" w:styleId="Heading6">
    <w:name w:val="heading 6"/>
    <w:basedOn w:val="Normal"/>
    <w:next w:val="Normal"/>
    <w:link w:val="Heading6Char"/>
    <w:uiPriority w:val="9"/>
    <w:semiHidden/>
    <w:qFormat/>
    <w:rsid w:val="006176A1"/>
    <w:pPr>
      <w:numPr>
        <w:ilvl w:val="5"/>
        <w:numId w:val="75"/>
      </w:numPr>
      <w:outlineLvl w:val="5"/>
    </w:pPr>
    <w:rPr>
      <w:rFonts w:ascii="Univers 45 Light" w:hAnsi="Univers 45 Light"/>
      <w:i/>
      <w:color w:val="1E49E2" w:themeColor="accent2"/>
    </w:rPr>
  </w:style>
  <w:style w:type="paragraph" w:styleId="Heading7">
    <w:name w:val="heading 7"/>
    <w:basedOn w:val="Normal"/>
    <w:next w:val="Normal"/>
    <w:link w:val="Heading7Char"/>
    <w:uiPriority w:val="9"/>
    <w:semiHidden/>
    <w:qFormat/>
    <w:rsid w:val="006176A1"/>
    <w:pPr>
      <w:keepNext/>
      <w:keepLines/>
      <w:numPr>
        <w:ilvl w:val="6"/>
        <w:numId w:val="75"/>
      </w:numPr>
      <w:spacing w:before="40" w:after="0"/>
      <w:outlineLvl w:val="6"/>
    </w:pPr>
    <w:rPr>
      <w:rFonts w:asciiTheme="majorHAnsi" w:eastAsiaTheme="majorEastAsia" w:hAnsiTheme="majorHAnsi" w:cstheme="majorBidi"/>
      <w:i/>
      <w:iCs/>
      <w:color w:val="001946" w:themeColor="accent1" w:themeShade="7F"/>
    </w:rPr>
  </w:style>
  <w:style w:type="paragraph" w:styleId="Heading8">
    <w:name w:val="heading 8"/>
    <w:basedOn w:val="Normal"/>
    <w:next w:val="Normal"/>
    <w:link w:val="Heading8Char"/>
    <w:uiPriority w:val="9"/>
    <w:semiHidden/>
    <w:qFormat/>
    <w:rsid w:val="006176A1"/>
    <w:pPr>
      <w:keepNext/>
      <w:keepLines/>
      <w:numPr>
        <w:ilvl w:val="7"/>
        <w:numId w:val="7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6176A1"/>
    <w:pPr>
      <w:keepNext/>
      <w:keepLines/>
      <w:numPr>
        <w:ilvl w:val="8"/>
        <w:numId w:val="7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style">
    <w:name w:val="Quote style"/>
    <w:basedOn w:val="BodyText"/>
    <w:link w:val="QuotestyleChar"/>
    <w:uiPriority w:val="99"/>
    <w:qFormat/>
    <w:rsid w:val="001B2509"/>
    <w:pPr>
      <w:shd w:val="clear" w:color="auto" w:fill="CAF1FF" w:themeFill="accent4" w:themeFillTint="33"/>
      <w:ind w:left="1134"/>
    </w:pPr>
    <w:rPr>
      <w:i/>
      <w:color w:val="00338D" w:themeColor="accent1"/>
    </w:rPr>
  </w:style>
  <w:style w:type="character" w:customStyle="1" w:styleId="QuotestyleChar">
    <w:name w:val="Quote style Char"/>
    <w:basedOn w:val="BodyTextChar"/>
    <w:link w:val="Quotestyle"/>
    <w:uiPriority w:val="99"/>
    <w:rsid w:val="001B2509"/>
    <w:rPr>
      <w:rFonts w:ascii="Arial" w:hAnsi="Arial"/>
      <w:i/>
      <w:color w:val="00338D" w:themeColor="accent1"/>
      <w:sz w:val="20"/>
      <w:shd w:val="clear" w:color="auto" w:fill="CAF1FF" w:themeFill="accent4" w:themeFillTint="33"/>
    </w:rPr>
  </w:style>
  <w:style w:type="table" w:styleId="TableGrid">
    <w:name w:val="Table Grid"/>
    <w:aliases w:val="McLL Table General Text,Basic Table,DPS Table Grid,IHPA,CoS Simple Table,APP Table Grid"/>
    <w:basedOn w:val="TableNormal"/>
    <w:uiPriority w:val="39"/>
    <w:rsid w:val="001C0F3C"/>
    <w:pPr>
      <w:spacing w:before="60" w:after="60" w:line="240" w:lineRule="auto"/>
    </w:pPr>
    <w:rPr>
      <w:rFonts w:ascii="Arial" w:hAnsi="Arial"/>
      <w:sz w:val="20"/>
    </w:rPr>
    <w:tblPr>
      <w:tblStyleRowBandSize w:val="1"/>
      <w:tblCellMar>
        <w:left w:w="57" w:type="dxa"/>
        <w:right w:w="57" w:type="dxa"/>
      </w:tblCellMar>
    </w:tblPr>
    <w:tblStylePr w:type="firstRow">
      <w:rPr>
        <w:color w:val="FFFFFF" w:themeColor="background1"/>
      </w:rPr>
      <w:tblPr/>
      <w:tcPr>
        <w:shd w:val="clear" w:color="auto" w:fill="00338D" w:themeFill="accent1"/>
      </w:tcPr>
    </w:tblStylePr>
    <w:tblStylePr w:type="band1Horz">
      <w:tblPr/>
      <w:tcPr>
        <w:shd w:val="clear" w:color="auto" w:fill="F2F2F2" w:themeFill="background1" w:themeFillShade="F2"/>
      </w:tcPr>
    </w:tblStylePr>
  </w:style>
  <w:style w:type="paragraph" w:customStyle="1" w:styleId="Tableheading">
    <w:name w:val="Table heading"/>
    <w:link w:val="TableheadingChar"/>
    <w:qFormat/>
    <w:rsid w:val="00A72944"/>
    <w:pPr>
      <w:spacing w:before="120" w:after="120" w:line="240" w:lineRule="auto"/>
    </w:pPr>
    <w:rPr>
      <w:rFonts w:ascii="Arial" w:hAnsi="Arial"/>
      <w:b/>
      <w:color w:val="FFFFFF" w:themeColor="background1"/>
      <w:sz w:val="20"/>
    </w:rPr>
  </w:style>
  <w:style w:type="paragraph" w:customStyle="1" w:styleId="Tabletext">
    <w:name w:val="Table text"/>
    <w:link w:val="TabletextChar"/>
    <w:uiPriority w:val="4"/>
    <w:qFormat/>
    <w:rsid w:val="003D6C9E"/>
    <w:pPr>
      <w:spacing w:before="120" w:after="120" w:line="240" w:lineRule="auto"/>
    </w:pPr>
    <w:rPr>
      <w:rFonts w:ascii="Univers 45 Light" w:hAnsi="Univers 45 Light"/>
      <w:sz w:val="20"/>
    </w:rPr>
  </w:style>
  <w:style w:type="character" w:customStyle="1" w:styleId="Heading1Char">
    <w:name w:val="Heading 1 Char"/>
    <w:basedOn w:val="DefaultParagraphFont"/>
    <w:link w:val="Heading1"/>
    <w:uiPriority w:val="2"/>
    <w:rsid w:val="00273E1A"/>
    <w:rPr>
      <w:rFonts w:ascii="KPMG Bold" w:eastAsiaTheme="majorEastAsia" w:hAnsi="KPMG Bold" w:cstheme="majorBidi"/>
      <w:color w:val="00338D" w:themeColor="accent1"/>
      <w:sz w:val="96"/>
      <w:szCs w:val="32"/>
    </w:rPr>
  </w:style>
  <w:style w:type="character" w:customStyle="1" w:styleId="Heading7Char">
    <w:name w:val="Heading 7 Char"/>
    <w:basedOn w:val="DefaultParagraphFont"/>
    <w:link w:val="Heading7"/>
    <w:uiPriority w:val="9"/>
    <w:semiHidden/>
    <w:rsid w:val="003D6C9E"/>
    <w:rPr>
      <w:rFonts w:asciiTheme="majorHAnsi" w:eastAsiaTheme="majorEastAsia" w:hAnsiTheme="majorHAnsi" w:cstheme="majorBidi"/>
      <w:i/>
      <w:iCs/>
      <w:color w:val="001946" w:themeColor="accent1" w:themeShade="7F"/>
      <w:sz w:val="20"/>
    </w:rPr>
  </w:style>
  <w:style w:type="paragraph" w:styleId="BodyText">
    <w:name w:val="Body Text"/>
    <w:link w:val="BodyTextChar"/>
    <w:qFormat/>
    <w:locked/>
    <w:rsid w:val="00A76666"/>
    <w:pPr>
      <w:spacing w:before="120" w:after="120" w:line="240" w:lineRule="auto"/>
    </w:pPr>
    <w:rPr>
      <w:rFonts w:ascii="Arial" w:hAnsi="Arial"/>
      <w:sz w:val="20"/>
    </w:rPr>
  </w:style>
  <w:style w:type="character" w:customStyle="1" w:styleId="BodyTextChar">
    <w:name w:val="Body Text Char"/>
    <w:basedOn w:val="DefaultParagraphFont"/>
    <w:link w:val="BodyText"/>
    <w:rsid w:val="00A76666"/>
    <w:rPr>
      <w:rFonts w:ascii="Arial" w:hAnsi="Arial"/>
      <w:sz w:val="20"/>
    </w:rPr>
  </w:style>
  <w:style w:type="paragraph" w:customStyle="1" w:styleId="Heading1Noshow">
    <w:name w:val="Heading 1_No show"/>
    <w:next w:val="BodyText"/>
    <w:qFormat/>
    <w:rsid w:val="001C01F6"/>
    <w:pPr>
      <w:keepNext/>
      <w:spacing w:after="360" w:line="1300" w:lineRule="exact"/>
    </w:pPr>
    <w:rPr>
      <w:rFonts w:ascii="KPMG Bold" w:eastAsiaTheme="majorEastAsia" w:hAnsi="KPMG Bold" w:cstheme="majorBidi"/>
      <w:color w:val="ACEAFF"/>
      <w:sz w:val="120"/>
      <w:szCs w:val="32"/>
    </w:rPr>
  </w:style>
  <w:style w:type="character" w:customStyle="1" w:styleId="Heading2Char">
    <w:name w:val="Heading 2 Char"/>
    <w:basedOn w:val="DefaultParagraphFont"/>
    <w:link w:val="Heading2"/>
    <w:uiPriority w:val="3"/>
    <w:rsid w:val="00273E1A"/>
    <w:rPr>
      <w:rFonts w:ascii="KPMG Bold" w:eastAsiaTheme="majorEastAsia" w:hAnsi="KPMG Bold" w:cstheme="majorBidi"/>
      <w:color w:val="1E49E2" w:themeColor="accent2"/>
      <w:sz w:val="40"/>
      <w:szCs w:val="26"/>
    </w:rPr>
  </w:style>
  <w:style w:type="paragraph" w:styleId="TOC1">
    <w:name w:val="toc 1"/>
    <w:aliases w:val="Cover Title 1 White"/>
    <w:basedOn w:val="Normal"/>
    <w:next w:val="Normal"/>
    <w:autoRedefine/>
    <w:uiPriority w:val="39"/>
    <w:unhideWhenUsed/>
    <w:qFormat/>
    <w:rsid w:val="00F95100"/>
    <w:pPr>
      <w:tabs>
        <w:tab w:val="left" w:pos="426"/>
        <w:tab w:val="left" w:pos="1276"/>
        <w:tab w:val="right" w:pos="8617"/>
      </w:tabs>
    </w:pPr>
    <w:rPr>
      <w:color w:val="FFFFFF" w:themeColor="background1"/>
    </w:rPr>
  </w:style>
  <w:style w:type="character" w:customStyle="1" w:styleId="Heading3Char">
    <w:name w:val="Heading 3 Char"/>
    <w:basedOn w:val="DefaultParagraphFont"/>
    <w:link w:val="Heading3"/>
    <w:uiPriority w:val="4"/>
    <w:rsid w:val="00AE349D"/>
    <w:rPr>
      <w:rFonts w:ascii="Arial" w:eastAsiaTheme="majorEastAsia" w:hAnsi="Arial" w:cstheme="majorBidi"/>
      <w:b/>
      <w:color w:val="1E49E2" w:themeColor="accent2"/>
      <w:sz w:val="24"/>
      <w:szCs w:val="24"/>
    </w:rPr>
  </w:style>
  <w:style w:type="character" w:styleId="Hyperlink">
    <w:name w:val="Hyperlink"/>
    <w:uiPriority w:val="99"/>
    <w:unhideWhenUsed/>
    <w:rsid w:val="00F95100"/>
    <w:rPr>
      <w:rFonts w:ascii="Arial" w:hAnsi="Arial"/>
      <w:color w:val="00338D" w:themeColor="accent1"/>
      <w:sz w:val="20"/>
      <w:u w:val="none"/>
    </w:rPr>
  </w:style>
  <w:style w:type="paragraph" w:styleId="Header">
    <w:name w:val="header"/>
    <w:basedOn w:val="Normal"/>
    <w:link w:val="HeaderChar"/>
    <w:unhideWhenUsed/>
    <w:rsid w:val="009B18E8"/>
    <w:pPr>
      <w:tabs>
        <w:tab w:val="center" w:pos="4513"/>
        <w:tab w:val="right" w:pos="9026"/>
      </w:tabs>
      <w:spacing w:before="0" w:after="0"/>
    </w:pPr>
  </w:style>
  <w:style w:type="paragraph" w:styleId="Footer">
    <w:name w:val="footer"/>
    <w:link w:val="FooterChar"/>
    <w:uiPriority w:val="99"/>
    <w:unhideWhenUsed/>
    <w:rsid w:val="00AE349D"/>
    <w:pPr>
      <w:tabs>
        <w:tab w:val="center" w:pos="4513"/>
        <w:tab w:val="right" w:pos="9026"/>
      </w:tabs>
      <w:spacing w:after="60" w:line="240" w:lineRule="auto"/>
    </w:pPr>
    <w:rPr>
      <w:rFonts w:ascii="Calibri" w:hAnsi="Calibri"/>
      <w:color w:val="595959" w:themeColor="text1" w:themeTint="A6"/>
      <w:sz w:val="18"/>
    </w:rPr>
  </w:style>
  <w:style w:type="character" w:customStyle="1" w:styleId="FooterChar">
    <w:name w:val="Footer Char"/>
    <w:basedOn w:val="DefaultParagraphFont"/>
    <w:link w:val="Footer"/>
    <w:uiPriority w:val="99"/>
    <w:rsid w:val="00AE349D"/>
    <w:rPr>
      <w:rFonts w:ascii="Calibri" w:hAnsi="Calibri"/>
      <w:color w:val="595959" w:themeColor="text1" w:themeTint="A6"/>
      <w:sz w:val="18"/>
    </w:rPr>
  </w:style>
  <w:style w:type="character" w:customStyle="1" w:styleId="Heading4Char">
    <w:name w:val="Heading 4 Char"/>
    <w:basedOn w:val="DefaultParagraphFont"/>
    <w:link w:val="Heading4"/>
    <w:uiPriority w:val="4"/>
    <w:rsid w:val="00EC72F7"/>
    <w:rPr>
      <w:rFonts w:ascii="Arial Bold" w:eastAsiaTheme="majorEastAsia" w:hAnsi="Arial Bold" w:cstheme="majorBidi"/>
      <w:b/>
      <w:iCs/>
      <w:color w:val="00338D" w:themeColor="accent1"/>
      <w:sz w:val="20"/>
    </w:rPr>
  </w:style>
  <w:style w:type="character" w:customStyle="1" w:styleId="Heading5Char">
    <w:name w:val="Heading 5 Char"/>
    <w:basedOn w:val="DefaultParagraphFont"/>
    <w:link w:val="Heading5"/>
    <w:uiPriority w:val="4"/>
    <w:rsid w:val="003D6C9E"/>
    <w:rPr>
      <w:rFonts w:ascii="Univers 45 Light" w:hAnsi="Univers 45 Light"/>
      <w:b/>
      <w:sz w:val="20"/>
    </w:rPr>
  </w:style>
  <w:style w:type="character" w:customStyle="1" w:styleId="Heading6Char">
    <w:name w:val="Heading 6 Char"/>
    <w:basedOn w:val="DefaultParagraphFont"/>
    <w:link w:val="Heading6"/>
    <w:uiPriority w:val="9"/>
    <w:semiHidden/>
    <w:rsid w:val="003D6C9E"/>
    <w:rPr>
      <w:rFonts w:ascii="Univers 45 Light" w:hAnsi="Univers 45 Light"/>
      <w:i/>
      <w:color w:val="1E49E2" w:themeColor="accent2"/>
      <w:sz w:val="20"/>
    </w:rPr>
  </w:style>
  <w:style w:type="paragraph" w:customStyle="1" w:styleId="Tablelistbullet">
    <w:name w:val="Table list bullet"/>
    <w:basedOn w:val="BodyText"/>
    <w:link w:val="TablelistbulletChar"/>
    <w:qFormat/>
    <w:rsid w:val="00AE349D"/>
    <w:pPr>
      <w:numPr>
        <w:numId w:val="7"/>
      </w:numPr>
      <w:spacing w:before="0" w:after="0"/>
      <w:ind w:left="357" w:hanging="357"/>
      <w:contextualSpacing/>
    </w:pPr>
    <w:rPr>
      <w:sz w:val="18"/>
    </w:rPr>
  </w:style>
  <w:style w:type="paragraph" w:customStyle="1" w:styleId="Numberbullet1stlevel">
    <w:name w:val="Number bullet 1st level"/>
    <w:uiPriority w:val="6"/>
    <w:rsid w:val="0078467C"/>
    <w:pPr>
      <w:numPr>
        <w:numId w:val="29"/>
      </w:numPr>
      <w:spacing w:before="120" w:after="120" w:line="240" w:lineRule="auto"/>
    </w:pPr>
    <w:rPr>
      <w:rFonts w:ascii="Arial" w:hAnsi="Arial"/>
      <w:sz w:val="20"/>
    </w:rPr>
  </w:style>
  <w:style w:type="character" w:customStyle="1" w:styleId="Heading8Char">
    <w:name w:val="Heading 8 Char"/>
    <w:basedOn w:val="DefaultParagraphFont"/>
    <w:link w:val="Heading8"/>
    <w:uiPriority w:val="9"/>
    <w:semiHidden/>
    <w:rsid w:val="003D6C9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6C9E"/>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rsid w:val="009B18E8"/>
    <w:rPr>
      <w:sz w:val="20"/>
    </w:rPr>
  </w:style>
  <w:style w:type="paragraph" w:customStyle="1" w:styleId="Letterhead">
    <w:name w:val="Letterhead"/>
    <w:uiPriority w:val="97"/>
    <w:rsid w:val="00840CF7"/>
    <w:pPr>
      <w:spacing w:after="0" w:line="160" w:lineRule="atLeast"/>
    </w:pPr>
    <w:rPr>
      <w:rFonts w:ascii="Arial" w:eastAsia="Batang" w:hAnsi="Arial" w:cs="Arial"/>
      <w:sz w:val="14"/>
      <w:szCs w:val="12"/>
      <w:lang w:val="en-GB" w:eastAsia="ko-KR"/>
    </w:rPr>
  </w:style>
  <w:style w:type="paragraph" w:customStyle="1" w:styleId="Contactus">
    <w:name w:val="Contact us"/>
    <w:basedOn w:val="Normal"/>
    <w:uiPriority w:val="96"/>
    <w:rsid w:val="00CD78F5"/>
    <w:pPr>
      <w:spacing w:after="480"/>
    </w:pPr>
    <w:rPr>
      <w:rFonts w:ascii="KPMG Bold" w:hAnsi="KPMG Bold"/>
      <w:b/>
      <w:color w:val="FFFFFF" w:themeColor="background1"/>
      <w:sz w:val="84"/>
    </w:rPr>
  </w:style>
  <w:style w:type="character" w:styleId="Strong">
    <w:name w:val="Strong"/>
    <w:uiPriority w:val="22"/>
    <w:qFormat/>
    <w:rsid w:val="00DE7225"/>
    <w:rPr>
      <w:b/>
      <w:bCs/>
    </w:rPr>
  </w:style>
  <w:style w:type="paragraph" w:customStyle="1" w:styleId="IntroText">
    <w:name w:val="Intro Text"/>
    <w:qFormat/>
    <w:rsid w:val="00BC4ECE"/>
    <w:pPr>
      <w:spacing w:before="120" w:after="120" w:line="240" w:lineRule="auto"/>
    </w:pPr>
    <w:rPr>
      <w:rFonts w:ascii="Univers 45 Light" w:hAnsi="Univers 45 Light" w:cstheme="majorBidi"/>
      <w:color w:val="FF209C"/>
      <w:sz w:val="24"/>
      <w:szCs w:val="26"/>
    </w:rPr>
  </w:style>
  <w:style w:type="paragraph" w:customStyle="1" w:styleId="TableBullet1stlevel">
    <w:name w:val="Table Bullet 1st level"/>
    <w:basedOn w:val="Tabletext"/>
    <w:uiPriority w:val="5"/>
    <w:qFormat/>
    <w:rsid w:val="00EE5C43"/>
    <w:pPr>
      <w:spacing w:before="60" w:after="60"/>
    </w:pPr>
    <w:rPr>
      <w:rFonts w:ascii="Arial" w:hAnsi="Arial"/>
      <w:sz w:val="18"/>
    </w:rPr>
  </w:style>
  <w:style w:type="paragraph" w:customStyle="1" w:styleId="TableBullet2ndlevel">
    <w:name w:val="Table Bullet 2nd level"/>
    <w:basedOn w:val="TableBullet1stlevel"/>
    <w:uiPriority w:val="5"/>
    <w:rsid w:val="00223EBA"/>
    <w:pPr>
      <w:numPr>
        <w:numId w:val="1"/>
      </w:numPr>
    </w:pPr>
  </w:style>
  <w:style w:type="table" w:customStyle="1" w:styleId="QTable">
    <w:name w:val="Q Table"/>
    <w:basedOn w:val="TableNormal"/>
    <w:uiPriority w:val="99"/>
    <w:rsid w:val="009D05B7"/>
    <w:pPr>
      <w:spacing w:after="0" w:line="240" w:lineRule="auto"/>
    </w:pPr>
    <w:rPr>
      <w:rFonts w:ascii="Arial" w:eastAsia="Times New Roman" w:hAnsi="Arial" w:cs="Times New Roman"/>
      <w:color w:val="000000"/>
      <w:sz w:val="20"/>
      <w:szCs w:val="20"/>
      <w:lang w:eastAsia="en-AU"/>
    </w:rPr>
    <w:tblPr>
      <w:tblStyleRowBandSize w:val="1"/>
      <w:tblStyleColBandSize w:val="1"/>
      <w:tblBorders>
        <w:insideH w:val="single" w:sz="4" w:space="0" w:color="0084DD"/>
      </w:tblBorders>
      <w:tblCellMar>
        <w:top w:w="57" w:type="dxa"/>
        <w:bottom w:w="57" w:type="dxa"/>
      </w:tblCellMar>
    </w:tblPr>
    <w:tcPr>
      <w:shd w:val="clear" w:color="auto" w:fill="auto"/>
    </w:tcPr>
    <w:tblStylePr w:type="firstRow">
      <w:pPr>
        <w:jc w:val="left"/>
      </w:pPr>
      <w:rPr>
        <w:rFonts w:ascii="Arial" w:hAnsi="Arial"/>
        <w:b/>
        <w:i w:val="0"/>
        <w:color w:val="0084DD"/>
        <w:sz w:val="20"/>
        <w:u w:val="none"/>
      </w:rPr>
      <w:tblPr>
        <w:tblCellMar>
          <w:top w:w="57" w:type="dxa"/>
          <w:left w:w="108" w:type="dxa"/>
          <w:bottom w:w="57" w:type="dxa"/>
          <w:right w:w="108" w:type="dxa"/>
        </w:tblCellMar>
      </w:tblPr>
      <w:tcPr>
        <w:tcBorders>
          <w:top w:val="nil"/>
        </w:tcBorders>
        <w:shd w:val="clear" w:color="auto" w:fill="auto"/>
        <w:vAlign w:val="bottom"/>
      </w:tcPr>
    </w:tblStylePr>
    <w:tblStylePr w:type="lastRow">
      <w:rPr>
        <w:rFonts w:ascii="Arial" w:hAnsi="Arial"/>
        <w:color w:val="000000"/>
        <w:sz w:val="20"/>
      </w:rPr>
      <w:tblPr/>
      <w:tcPr>
        <w:tcBorders>
          <w:bottom w:val="single" w:sz="12" w:space="0" w:color="0084DD"/>
        </w:tcBorders>
        <w:shd w:val="clear" w:color="auto" w:fill="D1ECFF"/>
      </w:tcPr>
    </w:tblStylePr>
    <w:tblStylePr w:type="firstCol">
      <w:rPr>
        <w:rFonts w:ascii="Arial" w:hAnsi="Arial"/>
        <w:b/>
        <w:sz w:val="20"/>
      </w:rPr>
    </w:tblStylePr>
    <w:tblStylePr w:type="band1Horz">
      <w:rPr>
        <w:rFonts w:ascii="Arial" w:hAnsi="Arial"/>
        <w:sz w:val="20"/>
      </w:rPr>
      <w:tblPr/>
      <w:tcPr>
        <w:tcBorders>
          <w:top w:val="single" w:sz="4" w:space="0" w:color="0084DD"/>
          <w:bottom w:val="single" w:sz="4" w:space="0" w:color="0084DD"/>
        </w:tcBorders>
        <w:shd w:val="clear" w:color="auto" w:fill="F3FAFF"/>
      </w:tcPr>
    </w:tblStylePr>
    <w:tblStylePr w:type="band2Horz">
      <w:tblPr/>
      <w:tcPr>
        <w:tcBorders>
          <w:top w:val="nil"/>
          <w:bottom w:val="single" w:sz="4" w:space="0" w:color="0084DD"/>
        </w:tcBorders>
        <w:shd w:val="clear" w:color="auto" w:fill="auto"/>
      </w:tcPr>
    </w:tblStylePr>
    <w:tblStylePr w:type="nwCell">
      <w:rPr>
        <w:rFonts w:ascii="Arial" w:hAnsi="Arial"/>
        <w:b/>
        <w:color w:val="000000"/>
        <w:sz w:val="20"/>
      </w:rPr>
    </w:tblStylePr>
  </w:style>
  <w:style w:type="paragraph" w:styleId="ListParagraph">
    <w:name w:val="List Paragraph"/>
    <w:aliases w:val="Body Text Numbered,Bullet Level 1,Lists,lp1,Use Case List Paragraph,numbered,Bullet List,FooterText,List Paragraph1,Use Case List ParagraphCxSpLast,Paragraphe de liste1,Bulletr List Paragraph,列出段落,列出段落1,lp11,List Paragraph11,Bullet point"/>
    <w:basedOn w:val="Normal"/>
    <w:link w:val="ListParagraphChar"/>
    <w:uiPriority w:val="34"/>
    <w:qFormat/>
    <w:rsid w:val="009D05B7"/>
    <w:pPr>
      <w:ind w:left="720"/>
      <w:contextualSpacing/>
    </w:pPr>
  </w:style>
  <w:style w:type="table" w:customStyle="1" w:styleId="QTable1">
    <w:name w:val="Q Table1"/>
    <w:basedOn w:val="TableNormal"/>
    <w:uiPriority w:val="99"/>
    <w:rsid w:val="008C18F4"/>
    <w:pPr>
      <w:spacing w:after="0" w:line="240" w:lineRule="auto"/>
    </w:pPr>
    <w:rPr>
      <w:rFonts w:ascii="Arial" w:eastAsia="Times New Roman" w:hAnsi="Arial" w:cs="Times New Roman"/>
      <w:color w:val="000000"/>
      <w:sz w:val="20"/>
      <w:szCs w:val="20"/>
      <w:lang w:eastAsia="en-AU"/>
    </w:rPr>
    <w:tblPr>
      <w:tblStyleRowBandSize w:val="1"/>
      <w:tblStyleColBandSize w:val="1"/>
      <w:tblBorders>
        <w:insideH w:val="single" w:sz="4" w:space="0" w:color="0084DD"/>
      </w:tblBorders>
      <w:tblCellMar>
        <w:top w:w="57" w:type="dxa"/>
        <w:bottom w:w="57" w:type="dxa"/>
      </w:tblCellMar>
    </w:tblPr>
    <w:tcPr>
      <w:shd w:val="clear" w:color="auto" w:fill="auto"/>
    </w:tcPr>
    <w:tblStylePr w:type="firstRow">
      <w:pPr>
        <w:jc w:val="left"/>
      </w:pPr>
      <w:rPr>
        <w:rFonts w:ascii="Arial" w:hAnsi="Arial"/>
        <w:b/>
        <w:i w:val="0"/>
        <w:color w:val="0084DD"/>
        <w:sz w:val="20"/>
        <w:u w:val="none"/>
      </w:rPr>
      <w:tblPr>
        <w:tblCellMar>
          <w:top w:w="57" w:type="dxa"/>
          <w:left w:w="108" w:type="dxa"/>
          <w:bottom w:w="57" w:type="dxa"/>
          <w:right w:w="108" w:type="dxa"/>
        </w:tblCellMar>
      </w:tblPr>
      <w:tcPr>
        <w:tcBorders>
          <w:top w:val="nil"/>
        </w:tcBorders>
        <w:shd w:val="clear" w:color="auto" w:fill="auto"/>
        <w:vAlign w:val="bottom"/>
      </w:tcPr>
    </w:tblStylePr>
    <w:tblStylePr w:type="lastRow">
      <w:rPr>
        <w:rFonts w:ascii="Arial" w:hAnsi="Arial"/>
        <w:color w:val="000000"/>
        <w:sz w:val="20"/>
      </w:rPr>
      <w:tblPr/>
      <w:tcPr>
        <w:tcBorders>
          <w:bottom w:val="single" w:sz="12" w:space="0" w:color="0084DD"/>
        </w:tcBorders>
        <w:shd w:val="clear" w:color="auto" w:fill="D1ECFF"/>
      </w:tcPr>
    </w:tblStylePr>
    <w:tblStylePr w:type="firstCol">
      <w:rPr>
        <w:rFonts w:ascii="Arial" w:hAnsi="Arial"/>
        <w:b/>
        <w:sz w:val="20"/>
      </w:rPr>
    </w:tblStylePr>
    <w:tblStylePr w:type="band1Horz">
      <w:rPr>
        <w:rFonts w:ascii="Arial" w:hAnsi="Arial"/>
        <w:sz w:val="20"/>
      </w:rPr>
      <w:tblPr/>
      <w:tcPr>
        <w:tcBorders>
          <w:top w:val="single" w:sz="4" w:space="0" w:color="0084DD"/>
          <w:bottom w:val="single" w:sz="4" w:space="0" w:color="0084DD"/>
        </w:tcBorders>
        <w:shd w:val="clear" w:color="auto" w:fill="F3FAFF"/>
      </w:tcPr>
    </w:tblStylePr>
    <w:tblStylePr w:type="band2Horz">
      <w:tblPr/>
      <w:tcPr>
        <w:tcBorders>
          <w:top w:val="nil"/>
          <w:bottom w:val="single" w:sz="4" w:space="0" w:color="0084DD"/>
        </w:tcBorders>
        <w:shd w:val="clear" w:color="auto" w:fill="auto"/>
      </w:tcPr>
    </w:tblStylePr>
    <w:tblStylePr w:type="nwCell">
      <w:rPr>
        <w:rFonts w:ascii="Arial" w:hAnsi="Arial"/>
        <w:b/>
        <w:color w:val="000000"/>
        <w:sz w:val="20"/>
      </w:rPr>
    </w:tblStylePr>
  </w:style>
  <w:style w:type="table" w:customStyle="1" w:styleId="QTable2">
    <w:name w:val="Q Table2"/>
    <w:basedOn w:val="TableNormal"/>
    <w:uiPriority w:val="99"/>
    <w:rsid w:val="00372282"/>
    <w:pPr>
      <w:spacing w:after="0" w:line="240" w:lineRule="auto"/>
    </w:pPr>
    <w:rPr>
      <w:rFonts w:ascii="Arial" w:eastAsia="Times New Roman" w:hAnsi="Arial" w:cs="Times New Roman"/>
      <w:color w:val="000000"/>
      <w:sz w:val="20"/>
      <w:szCs w:val="20"/>
      <w:lang w:eastAsia="en-AU"/>
    </w:rPr>
    <w:tblPr>
      <w:tblStyleRowBandSize w:val="1"/>
      <w:tblStyleColBandSize w:val="1"/>
      <w:tblBorders>
        <w:insideH w:val="single" w:sz="4" w:space="0" w:color="0084DD"/>
      </w:tblBorders>
      <w:tblCellMar>
        <w:top w:w="57" w:type="dxa"/>
        <w:bottom w:w="57" w:type="dxa"/>
      </w:tblCellMar>
    </w:tblPr>
    <w:tcPr>
      <w:shd w:val="clear" w:color="auto" w:fill="auto"/>
    </w:tcPr>
    <w:tblStylePr w:type="firstRow">
      <w:pPr>
        <w:jc w:val="left"/>
      </w:pPr>
      <w:rPr>
        <w:rFonts w:ascii="Arial" w:hAnsi="Arial"/>
        <w:b/>
        <w:i w:val="0"/>
        <w:color w:val="0084DD"/>
        <w:sz w:val="20"/>
        <w:u w:val="none"/>
      </w:rPr>
      <w:tblPr>
        <w:tblCellMar>
          <w:top w:w="57" w:type="dxa"/>
          <w:left w:w="108" w:type="dxa"/>
          <w:bottom w:w="57" w:type="dxa"/>
          <w:right w:w="108" w:type="dxa"/>
        </w:tblCellMar>
      </w:tblPr>
      <w:tcPr>
        <w:tcBorders>
          <w:top w:val="nil"/>
        </w:tcBorders>
        <w:shd w:val="clear" w:color="auto" w:fill="auto"/>
        <w:vAlign w:val="bottom"/>
      </w:tcPr>
    </w:tblStylePr>
    <w:tblStylePr w:type="lastRow">
      <w:rPr>
        <w:rFonts w:ascii="Arial" w:hAnsi="Arial"/>
        <w:color w:val="000000"/>
        <w:sz w:val="20"/>
      </w:rPr>
      <w:tblPr/>
      <w:tcPr>
        <w:tcBorders>
          <w:bottom w:val="single" w:sz="12" w:space="0" w:color="0084DD"/>
        </w:tcBorders>
        <w:shd w:val="clear" w:color="auto" w:fill="D1ECFF"/>
      </w:tcPr>
    </w:tblStylePr>
    <w:tblStylePr w:type="firstCol">
      <w:rPr>
        <w:rFonts w:ascii="Arial" w:hAnsi="Arial"/>
        <w:b/>
        <w:sz w:val="20"/>
      </w:rPr>
    </w:tblStylePr>
    <w:tblStylePr w:type="band1Horz">
      <w:rPr>
        <w:rFonts w:ascii="Arial" w:hAnsi="Arial"/>
        <w:sz w:val="20"/>
      </w:rPr>
      <w:tblPr/>
      <w:tcPr>
        <w:tcBorders>
          <w:top w:val="single" w:sz="4" w:space="0" w:color="0084DD"/>
          <w:bottom w:val="single" w:sz="4" w:space="0" w:color="0084DD"/>
        </w:tcBorders>
        <w:shd w:val="clear" w:color="auto" w:fill="F3FAFF"/>
      </w:tcPr>
    </w:tblStylePr>
    <w:tblStylePr w:type="band2Horz">
      <w:tblPr/>
      <w:tcPr>
        <w:tcBorders>
          <w:top w:val="nil"/>
          <w:bottom w:val="single" w:sz="4" w:space="0" w:color="0084DD"/>
        </w:tcBorders>
        <w:shd w:val="clear" w:color="auto" w:fill="auto"/>
      </w:tcPr>
    </w:tblStylePr>
    <w:tblStylePr w:type="nwCell">
      <w:rPr>
        <w:rFonts w:ascii="Arial" w:hAnsi="Arial"/>
        <w:b/>
        <w:color w:val="000000"/>
        <w:sz w:val="20"/>
      </w:rPr>
    </w:tblStylePr>
  </w:style>
  <w:style w:type="character" w:styleId="CommentReference">
    <w:name w:val="annotation reference"/>
    <w:basedOn w:val="DefaultParagraphFont"/>
    <w:uiPriority w:val="99"/>
    <w:semiHidden/>
    <w:unhideWhenUsed/>
    <w:rsid w:val="00C47D57"/>
    <w:rPr>
      <w:sz w:val="16"/>
      <w:szCs w:val="16"/>
    </w:rPr>
  </w:style>
  <w:style w:type="paragraph" w:styleId="CommentText">
    <w:name w:val="annotation text"/>
    <w:basedOn w:val="Normal"/>
    <w:link w:val="CommentTextChar"/>
    <w:uiPriority w:val="99"/>
    <w:unhideWhenUsed/>
    <w:rsid w:val="00C47D57"/>
    <w:rPr>
      <w:szCs w:val="20"/>
    </w:rPr>
  </w:style>
  <w:style w:type="character" w:customStyle="1" w:styleId="CommentTextChar">
    <w:name w:val="Comment Text Char"/>
    <w:basedOn w:val="DefaultParagraphFont"/>
    <w:link w:val="CommentText"/>
    <w:uiPriority w:val="99"/>
    <w:rsid w:val="00C47D57"/>
    <w:rPr>
      <w:sz w:val="20"/>
      <w:szCs w:val="20"/>
    </w:rPr>
  </w:style>
  <w:style w:type="paragraph" w:styleId="CommentSubject">
    <w:name w:val="annotation subject"/>
    <w:basedOn w:val="CommentText"/>
    <w:next w:val="CommentText"/>
    <w:link w:val="CommentSubjectChar"/>
    <w:uiPriority w:val="99"/>
    <w:semiHidden/>
    <w:unhideWhenUsed/>
    <w:rsid w:val="00C47D57"/>
    <w:rPr>
      <w:b/>
      <w:bCs/>
    </w:rPr>
  </w:style>
  <w:style w:type="character" w:customStyle="1" w:styleId="CommentSubjectChar">
    <w:name w:val="Comment Subject Char"/>
    <w:basedOn w:val="CommentTextChar"/>
    <w:link w:val="CommentSubject"/>
    <w:uiPriority w:val="99"/>
    <w:semiHidden/>
    <w:rsid w:val="00C47D57"/>
    <w:rPr>
      <w:b/>
      <w:bCs/>
      <w:sz w:val="20"/>
      <w:szCs w:val="20"/>
    </w:rPr>
  </w:style>
  <w:style w:type="paragraph" w:styleId="BalloonText">
    <w:name w:val="Balloon Text"/>
    <w:basedOn w:val="Normal"/>
    <w:link w:val="BalloonTextChar"/>
    <w:uiPriority w:val="99"/>
    <w:semiHidden/>
    <w:unhideWhenUsed/>
    <w:rsid w:val="00C47D5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D57"/>
    <w:rPr>
      <w:rFonts w:ascii="Segoe UI" w:hAnsi="Segoe UI" w:cs="Segoe UI"/>
      <w:sz w:val="18"/>
      <w:szCs w:val="18"/>
    </w:rPr>
  </w:style>
  <w:style w:type="paragraph" w:customStyle="1" w:styleId="Dividerheadingwithoutnumbering">
    <w:name w:val="Divider heading with out numbering"/>
    <w:basedOn w:val="BodyText"/>
    <w:uiPriority w:val="99"/>
    <w:rsid w:val="00F24C99"/>
    <w:pPr>
      <w:spacing w:before="1200" w:line="900" w:lineRule="exact"/>
    </w:pPr>
    <w:rPr>
      <w:rFonts w:ascii="KPMG Light" w:hAnsi="KPMG Light"/>
      <w:color w:val="FFFFFF" w:themeColor="background1"/>
      <w:sz w:val="108"/>
    </w:rPr>
  </w:style>
  <w:style w:type="paragraph" w:customStyle="1" w:styleId="Dividerheading">
    <w:name w:val="Divider heading"/>
    <w:basedOn w:val="Dividerheadingwithoutnumbering"/>
    <w:uiPriority w:val="99"/>
    <w:rsid w:val="00BF4CE4"/>
    <w:pPr>
      <w:spacing w:before="400" w:line="1440" w:lineRule="exact"/>
    </w:pPr>
    <w:rPr>
      <w:rFonts w:ascii="KPMG Bold" w:hAnsi="KPMG Bold"/>
      <w:sz w:val="160"/>
    </w:rPr>
  </w:style>
  <w:style w:type="paragraph" w:customStyle="1" w:styleId="Heading1NoNumber">
    <w:name w:val="Heading 1_No Number"/>
    <w:basedOn w:val="BodyText"/>
    <w:uiPriority w:val="99"/>
    <w:rsid w:val="003B3FAC"/>
    <w:pPr>
      <w:spacing w:after="480" w:line="1000" w:lineRule="exact"/>
    </w:pPr>
    <w:rPr>
      <w:rFonts w:ascii="KPMG Extralight" w:hAnsi="KPMG Extralight"/>
      <w:color w:val="0C233C" w:themeColor="text2"/>
      <w:sz w:val="108"/>
      <w:szCs w:val="108"/>
    </w:rPr>
  </w:style>
  <w:style w:type="paragraph" w:styleId="FootnoteText">
    <w:name w:val="footnote text"/>
    <w:aliases w:val="ft,fn,fnW,Footnotes,Footnote ak,Footnote,Style 14,fn - no space,FT,SD Footnote Text,Footnote Text AG,footnote text,Car,Char,Style 50,Footnote Text Char1,Footnote Text Char Char,Footnote Text Char2 Char1 Char,FT Char Char,FT Char Char Char"/>
    <w:basedOn w:val="Normal"/>
    <w:link w:val="FootnoteTextChar"/>
    <w:uiPriority w:val="99"/>
    <w:qFormat/>
    <w:rsid w:val="00FA5E64"/>
    <w:pPr>
      <w:spacing w:before="0" w:after="0"/>
    </w:pPr>
    <w:rPr>
      <w:rFonts w:eastAsia="Times New Roman" w:cs="Times New Roman"/>
      <w:sz w:val="16"/>
      <w:szCs w:val="20"/>
      <w:lang w:eastAsia="en-AU"/>
    </w:rPr>
  </w:style>
  <w:style w:type="character" w:customStyle="1" w:styleId="FootnoteTextChar">
    <w:name w:val="Footnote Text Char"/>
    <w:aliases w:val="ft Char,fn Char,fnW Char,Footnotes Char,Footnote ak Char,Footnote Char,Style 14 Char,fn - no space Char,FT Char,SD Footnote Text Char,Footnote Text AG Char,footnote text Char,Car Char,Char Char,Style 50 Char,Footnote Text Char1 Char"/>
    <w:basedOn w:val="DefaultParagraphFont"/>
    <w:link w:val="FootnoteText"/>
    <w:uiPriority w:val="99"/>
    <w:rsid w:val="00FA5E64"/>
    <w:rPr>
      <w:rFonts w:ascii="Arial" w:eastAsia="Times New Roman" w:hAnsi="Arial" w:cs="Times New Roman"/>
      <w:sz w:val="16"/>
      <w:szCs w:val="20"/>
      <w:lang w:eastAsia="en-AU"/>
    </w:rPr>
  </w:style>
  <w:style w:type="character" w:styleId="FootnoteReference">
    <w:name w:val="footnote reference"/>
    <w:aliases w:val="fr,Footnote ReferenceW,Style 13,Style 49,fr + (Latin) Arial,(Asian) Arial,Black,Black + (Latin) Arial,TP Footnote Reference,Footnote Reference + (拉丁) Book Antiqua,(中文) 標楷體,(符號) 標楷體,Aggie각주번호,FC,Black + 10 pt,o,Style 18,fr1,fr2,fr3"/>
    <w:basedOn w:val="DefaultParagraphFont"/>
    <w:uiPriority w:val="99"/>
    <w:unhideWhenUsed/>
    <w:qFormat/>
    <w:rsid w:val="003934F5"/>
    <w:rPr>
      <w:vertAlign w:val="superscript"/>
    </w:rPr>
  </w:style>
  <w:style w:type="paragraph" w:styleId="BodyText3">
    <w:name w:val="Body Text 3"/>
    <w:basedOn w:val="Normal"/>
    <w:link w:val="BodyText3Char"/>
    <w:uiPriority w:val="99"/>
    <w:semiHidden/>
    <w:locked/>
    <w:rsid w:val="003934F5"/>
    <w:rPr>
      <w:sz w:val="16"/>
      <w:szCs w:val="16"/>
    </w:rPr>
  </w:style>
  <w:style w:type="character" w:customStyle="1" w:styleId="BodyText3Char">
    <w:name w:val="Body Text 3 Char"/>
    <w:basedOn w:val="DefaultParagraphFont"/>
    <w:link w:val="BodyText3"/>
    <w:uiPriority w:val="99"/>
    <w:semiHidden/>
    <w:rsid w:val="003934F5"/>
    <w:rPr>
      <w:sz w:val="16"/>
      <w:szCs w:val="16"/>
    </w:rPr>
  </w:style>
  <w:style w:type="paragraph" w:styleId="ListBullet2">
    <w:name w:val="List Bullet 2"/>
    <w:basedOn w:val="ListBullet"/>
    <w:uiPriority w:val="99"/>
    <w:qFormat/>
    <w:rsid w:val="0019756D"/>
    <w:pPr>
      <w:numPr>
        <w:numId w:val="2"/>
      </w:numPr>
      <w:spacing w:before="130" w:after="130"/>
      <w:contextualSpacing w:val="0"/>
      <w:jc w:val="both"/>
    </w:pPr>
    <w:rPr>
      <w:rFonts w:eastAsia="Times New Roman" w:cs="Times New Roman"/>
      <w:szCs w:val="20"/>
      <w:lang w:eastAsia="en-AU"/>
    </w:rPr>
  </w:style>
  <w:style w:type="paragraph" w:styleId="ListBullet">
    <w:name w:val="List Bullet"/>
    <w:basedOn w:val="Normal"/>
    <w:link w:val="ListBulletChar"/>
    <w:uiPriority w:val="99"/>
    <w:unhideWhenUsed/>
    <w:qFormat/>
    <w:rsid w:val="00242835"/>
    <w:pPr>
      <w:numPr>
        <w:numId w:val="3"/>
      </w:numPr>
      <w:spacing w:line="276" w:lineRule="auto"/>
      <w:contextualSpacing/>
    </w:pPr>
  </w:style>
  <w:style w:type="paragraph" w:customStyle="1" w:styleId="BodyTe">
    <w:name w:val="Body Te"/>
    <w:basedOn w:val="BodyText"/>
    <w:uiPriority w:val="99"/>
    <w:rsid w:val="00E42BCB"/>
    <w:pPr>
      <w:spacing w:line="260" w:lineRule="atLeast"/>
    </w:pPr>
    <w:rPr>
      <w:rFonts w:cs="Arial"/>
    </w:rPr>
  </w:style>
  <w:style w:type="paragraph" w:customStyle="1" w:styleId="Quotetext">
    <w:name w:val="Quote text"/>
    <w:basedOn w:val="BodyText"/>
    <w:uiPriority w:val="99"/>
    <w:rsid w:val="00FE0262"/>
    <w:pPr>
      <w:ind w:left="340" w:right="709"/>
    </w:pPr>
    <w:rPr>
      <w:rFonts w:cs="Arial"/>
      <w:color w:val="0C233C" w:themeColor="text2"/>
      <w:sz w:val="18"/>
      <w:szCs w:val="18"/>
    </w:rPr>
  </w:style>
  <w:style w:type="paragraph" w:customStyle="1" w:styleId="Aiphabullet">
    <w:name w:val="Aipha bullet"/>
    <w:basedOn w:val="ListParagraph"/>
    <w:uiPriority w:val="99"/>
    <w:rsid w:val="000C3CD0"/>
    <w:pPr>
      <w:numPr>
        <w:numId w:val="4"/>
      </w:numPr>
      <w:contextualSpacing w:val="0"/>
    </w:pPr>
    <w:rPr>
      <w:szCs w:val="18"/>
    </w:rPr>
  </w:style>
  <w:style w:type="paragraph" w:styleId="Caption">
    <w:name w:val="caption"/>
    <w:basedOn w:val="Normal"/>
    <w:next w:val="BodyText"/>
    <w:uiPriority w:val="99"/>
    <w:qFormat/>
    <w:rsid w:val="0019756D"/>
    <w:pPr>
      <w:keepNext/>
      <w:spacing w:before="240" w:after="60"/>
    </w:pPr>
    <w:rPr>
      <w:rFonts w:eastAsia="Times New Roman" w:cs="Times New Roman"/>
      <w:bCs/>
      <w:color w:val="00338D" w:themeColor="accent1"/>
      <w:szCs w:val="20"/>
      <w:lang w:eastAsia="en-AU"/>
    </w:rPr>
  </w:style>
  <w:style w:type="paragraph" w:customStyle="1" w:styleId="AppendixHeading">
    <w:name w:val="Appendix Heading"/>
    <w:basedOn w:val="Heading1"/>
    <w:next w:val="BodyText"/>
    <w:rsid w:val="00AC62D4"/>
    <w:pPr>
      <w:keepNext w:val="0"/>
      <w:keepLines w:val="0"/>
      <w:numPr>
        <w:numId w:val="10"/>
      </w:numPr>
      <w:ind w:left="357" w:hanging="357"/>
      <w:outlineLvl w:val="9"/>
    </w:pPr>
    <w:rPr>
      <w:rFonts w:eastAsia="Times New Roman" w:cs="Times New Roman"/>
      <w:sz w:val="104"/>
      <w:szCs w:val="20"/>
      <w:lang w:eastAsia="en-AU"/>
    </w:rPr>
  </w:style>
  <w:style w:type="paragraph" w:customStyle="1" w:styleId="AppendixHeading2">
    <w:name w:val="Appendix Heading 2"/>
    <w:basedOn w:val="Heading2"/>
    <w:next w:val="BodyText"/>
    <w:rsid w:val="00FB50A0"/>
    <w:pPr>
      <w:spacing w:before="400"/>
      <w:outlineLvl w:val="9"/>
    </w:pPr>
    <w:rPr>
      <w:rFonts w:asciiTheme="minorHAnsi" w:eastAsia="Times New Roman" w:hAnsiTheme="minorHAnsi" w:cs="Times New Roman"/>
      <w:szCs w:val="20"/>
      <w:lang w:eastAsia="en-AU"/>
    </w:rPr>
  </w:style>
  <w:style w:type="paragraph" w:customStyle="1" w:styleId="AppendixHeading3">
    <w:name w:val="Appendix Heading 3"/>
    <w:basedOn w:val="Heading3"/>
    <w:rsid w:val="00825681"/>
    <w:pPr>
      <w:keepNext w:val="0"/>
      <w:keepLines w:val="0"/>
      <w:spacing w:before="180" w:after="60"/>
      <w:jc w:val="both"/>
      <w:outlineLvl w:val="9"/>
    </w:pPr>
    <w:rPr>
      <w:rFonts w:asciiTheme="majorHAnsi" w:eastAsia="Times New Roman" w:hAnsiTheme="majorHAnsi" w:cs="Times New Roman"/>
      <w:szCs w:val="22"/>
      <w:lang w:eastAsia="en-AU"/>
    </w:rPr>
  </w:style>
  <w:style w:type="paragraph" w:customStyle="1" w:styleId="AppendixHeading4">
    <w:name w:val="Appendix Heading 4"/>
    <w:basedOn w:val="Heading4"/>
    <w:next w:val="BodyText"/>
    <w:rsid w:val="00AE03FB"/>
    <w:pPr>
      <w:keepLines w:val="0"/>
      <w:tabs>
        <w:tab w:val="num" w:pos="0"/>
      </w:tabs>
      <w:spacing w:before="120" w:line="280" w:lineRule="exact"/>
      <w:ind w:hanging="964"/>
      <w:outlineLvl w:val="9"/>
    </w:pPr>
    <w:rPr>
      <w:rFonts w:eastAsia="Times New Roman" w:cs="Times New Roman"/>
      <w:i/>
      <w:iCs w:val="0"/>
      <w:color w:val="0C2D83"/>
      <w:sz w:val="22"/>
      <w:lang w:eastAsia="en-AU"/>
    </w:rPr>
  </w:style>
  <w:style w:type="paragraph" w:customStyle="1" w:styleId="Executionsummary">
    <w:name w:val="Execution summary"/>
    <w:basedOn w:val="Heading1Noshow"/>
    <w:uiPriority w:val="99"/>
    <w:rsid w:val="00D61BE9"/>
    <w:pPr>
      <w:spacing w:line="1200" w:lineRule="exact"/>
    </w:pPr>
    <w:rPr>
      <w:color w:val="002478"/>
    </w:rPr>
  </w:style>
  <w:style w:type="table" w:customStyle="1" w:styleId="Transurban-GridTheme">
    <w:name w:val="Transurban - Grid Theme"/>
    <w:basedOn w:val="TableNormal"/>
    <w:uiPriority w:val="99"/>
    <w:rsid w:val="004B7149"/>
    <w:pPr>
      <w:spacing w:after="0" w:line="240" w:lineRule="auto"/>
    </w:pPr>
    <w:rPr>
      <w:rFonts w:ascii="Times New Roman" w:eastAsia="Times New Roman" w:hAnsi="Times New Roman" w:cs="Times New Roman"/>
      <w:sz w:val="20"/>
      <w:szCs w:val="20"/>
      <w:lang w:eastAsia="en-AU"/>
    </w:rPr>
    <w:tblPr>
      <w:tblInd w:w="113" w:type="dxa"/>
      <w:tblBorders>
        <w:top w:val="single" w:sz="8" w:space="0" w:color="BFBFBF" w:themeColor="background1" w:themeShade="BF"/>
        <w:left w:val="single" w:sz="8" w:space="0" w:color="BFBFBF" w:themeColor="background1" w:themeShade="BF"/>
        <w:bottom w:val="single" w:sz="18" w:space="0" w:color="00338D" w:themeColor="accent1"/>
        <w:right w:val="single" w:sz="8" w:space="0" w:color="BFBFBF" w:themeColor="background1" w:themeShade="BF"/>
        <w:insideH w:val="single" w:sz="8" w:space="0" w:color="BFBFBF" w:themeColor="background1" w:themeShade="BF"/>
        <w:insideV w:val="single" w:sz="8" w:space="0" w:color="BFBFBF" w:themeColor="background1" w:themeShade="BF"/>
      </w:tblBorders>
    </w:tblPr>
    <w:trPr>
      <w:cantSplit/>
    </w:trPr>
    <w:tblStylePr w:type="firstRow">
      <w:rPr>
        <w:caps/>
        <w:smallCaps w:val="0"/>
        <w:color w:val="FFFFFF" w:themeColor="background1"/>
      </w:rPr>
      <w:tblPr/>
      <w:trPr>
        <w:tblHeader/>
      </w:tr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il"/>
          <w:insideV w:val="single" w:sz="8" w:space="0" w:color="BFBFBF" w:themeColor="background1" w:themeShade="BF"/>
          <w:tl2br w:val="nil"/>
          <w:tr2bl w:val="nil"/>
        </w:tcBorders>
        <w:shd w:val="clear" w:color="auto" w:fill="BFBFBF" w:themeFill="background1" w:themeFillShade="BF"/>
      </w:tcPr>
    </w:tblStylePr>
    <w:tblStylePr w:type="lastRow">
      <w:rPr>
        <w:b/>
        <w:i w:val="0"/>
      </w:rPr>
      <w:tblPr/>
      <w:tcPr>
        <w:tcBorders>
          <w:top w:val="single" w:sz="18" w:space="0" w:color="00338D" w:themeColor="accent1"/>
          <w:left w:val="single" w:sz="8" w:space="0" w:color="BFBFBF" w:themeColor="background1" w:themeShade="BF"/>
          <w:bottom w:val="single" w:sz="18" w:space="0" w:color="00338D" w:themeColor="accent1"/>
          <w:right w:val="single" w:sz="8" w:space="0" w:color="BFBFBF" w:themeColor="background1" w:themeShade="BF"/>
          <w:insideH w:val="nil"/>
          <w:insideV w:val="single" w:sz="8" w:space="0" w:color="BFBFBF" w:themeColor="background1" w:themeShade="BF"/>
          <w:tl2br w:val="nil"/>
          <w:tr2bl w:val="nil"/>
        </w:tcBorders>
      </w:tcPr>
    </w:tblStylePr>
    <w:tblStylePr w:type="firstCol">
      <w:rPr>
        <w:b/>
        <w:i w:val="0"/>
      </w:rPr>
    </w:tblStylePr>
  </w:style>
  <w:style w:type="table" w:customStyle="1" w:styleId="CoSTableDesign2">
    <w:name w:val="CoS Table Design2"/>
    <w:basedOn w:val="TableNormal"/>
    <w:uiPriority w:val="99"/>
    <w:rsid w:val="00442BAC"/>
    <w:pPr>
      <w:spacing w:after="0" w:line="240" w:lineRule="auto"/>
    </w:pPr>
    <w:rPr>
      <w:rFonts w:ascii="Arial" w:hAnsi="Arial" w:cs="Times New Roman"/>
      <w:color w:val="00338D" w:themeColor="accent1"/>
    </w:rPr>
    <w:tblPr>
      <w:tblStyleRowBandSize w:val="1"/>
      <w:tblBorders>
        <w:bottom w:val="single" w:sz="4" w:space="0" w:color="152128"/>
        <w:insideH w:val="single" w:sz="4" w:space="0" w:color="E9EAF7"/>
      </w:tblBorders>
      <w:tblCellMar>
        <w:left w:w="85" w:type="dxa"/>
        <w:right w:w="85" w:type="dxa"/>
      </w:tblCellMar>
    </w:tblPr>
    <w:tblStylePr w:type="firstRow">
      <w:pPr>
        <w:jc w:val="left"/>
      </w:pPr>
      <w:rPr>
        <w:rFonts w:ascii="Arial" w:hAnsi="Arial"/>
        <w:b/>
        <w:i w:val="0"/>
        <w:color w:val="FFFFFF" w:themeColor="background1"/>
        <w:sz w:val="22"/>
      </w:rPr>
      <w:tblPr/>
      <w:trPr>
        <w:tblHeader/>
      </w:trPr>
      <w:tcPr>
        <w:shd w:val="clear" w:color="auto" w:fill="00338D" w:themeFill="accent1"/>
      </w:tcPr>
    </w:tblStylePr>
    <w:tblStylePr w:type="lastRow">
      <w:tblPr/>
      <w:tcPr>
        <w:tcBorders>
          <w:top w:val="single" w:sz="12" w:space="0" w:color="00338D" w:themeColor="accent1"/>
          <w:bottom w:val="single" w:sz="12" w:space="0" w:color="00338D" w:themeColor="accent1"/>
        </w:tcBorders>
      </w:tcPr>
    </w:tblStylePr>
    <w:tblStylePr w:type="firstCol">
      <w:tblPr/>
      <w:tcPr>
        <w:shd w:val="clear" w:color="auto" w:fill="E9EAF7"/>
      </w:tcPr>
    </w:tblStylePr>
    <w:tblStylePr w:type="band1Horz">
      <w:tblPr/>
      <w:tcPr>
        <w:shd w:val="clear" w:color="auto" w:fill="FFFFFF"/>
      </w:tcPr>
    </w:tblStylePr>
    <w:tblStylePr w:type="band2Horz">
      <w:tblPr/>
      <w:tcPr>
        <w:shd w:val="clear" w:color="auto" w:fill="E9EAF7"/>
      </w:tcPr>
    </w:tblStylePr>
  </w:style>
  <w:style w:type="table" w:customStyle="1" w:styleId="CoSTableDesign">
    <w:name w:val="CoS Table Design"/>
    <w:basedOn w:val="TableNormal"/>
    <w:uiPriority w:val="99"/>
    <w:rsid w:val="00C401B6"/>
    <w:pPr>
      <w:spacing w:after="0" w:line="240" w:lineRule="auto"/>
    </w:pPr>
    <w:rPr>
      <w:rFonts w:ascii="Arial" w:hAnsi="Arial" w:cs="Times New Roman"/>
    </w:rPr>
    <w:tblPr>
      <w:tblStyleRowBandSize w:val="1"/>
      <w:tblBorders>
        <w:bottom w:val="single" w:sz="12" w:space="0" w:color="00338D" w:themeColor="accent1"/>
        <w:insideH w:val="single" w:sz="4" w:space="0" w:color="EBF0E9"/>
      </w:tblBorders>
      <w:tblCellMar>
        <w:left w:w="85" w:type="dxa"/>
        <w:right w:w="85" w:type="dxa"/>
      </w:tblCellMar>
    </w:tblPr>
    <w:tblStylePr w:type="firstRow">
      <w:pPr>
        <w:jc w:val="left"/>
      </w:pPr>
      <w:rPr>
        <w:rFonts w:ascii="Arial" w:hAnsi="Arial"/>
        <w:b/>
        <w:i w:val="0"/>
        <w:color w:val="FFFFFF" w:themeColor="background1"/>
        <w:sz w:val="22"/>
      </w:rPr>
      <w:tblPr/>
      <w:trPr>
        <w:tblHeader/>
      </w:trPr>
      <w:tcPr>
        <w:shd w:val="clear" w:color="auto" w:fill="00338D" w:themeFill="accent1"/>
      </w:tcPr>
    </w:tblStylePr>
    <w:tblStylePr w:type="lastRow">
      <w:tblPr/>
      <w:tcPr>
        <w:tcBorders>
          <w:top w:val="single" w:sz="12" w:space="0" w:color="00338D" w:themeColor="accent1"/>
          <w:bottom w:val="single" w:sz="12" w:space="0" w:color="00338D" w:themeColor="accent1"/>
        </w:tcBorders>
      </w:tcPr>
    </w:tblStylePr>
    <w:tblStylePr w:type="band1Horz">
      <w:tblPr/>
      <w:tcPr>
        <w:shd w:val="clear" w:color="auto" w:fill="FFFFFF"/>
      </w:tcPr>
    </w:tblStylePr>
    <w:tblStylePr w:type="band2Horz">
      <w:tblPr/>
      <w:tcPr>
        <w:shd w:val="clear" w:color="auto" w:fill="EBF0E9"/>
      </w:tcPr>
    </w:tblStylePr>
  </w:style>
  <w:style w:type="paragraph" w:styleId="ListBullet3">
    <w:name w:val="List Bullet 3"/>
    <w:basedOn w:val="BodyText"/>
    <w:uiPriority w:val="99"/>
    <w:rsid w:val="006F1451"/>
    <w:pPr>
      <w:numPr>
        <w:numId w:val="46"/>
      </w:numPr>
      <w:ind w:left="1037" w:hanging="357"/>
    </w:pPr>
    <w:rPr>
      <w:bCs/>
      <w:iCs/>
    </w:rPr>
  </w:style>
  <w:style w:type="paragraph" w:styleId="ListBullet4">
    <w:name w:val="List Bullet 4"/>
    <w:basedOn w:val="Normal"/>
    <w:uiPriority w:val="99"/>
    <w:semiHidden/>
    <w:rsid w:val="00B66EC8"/>
    <w:pPr>
      <w:spacing w:after="0" w:line="260" w:lineRule="atLeast"/>
      <w:ind w:left="1440" w:hanging="360"/>
    </w:pPr>
    <w:rPr>
      <w:rFonts w:eastAsia="Times New Roman" w:cs="Times New Roman"/>
      <w:sz w:val="22"/>
      <w:lang w:eastAsia="en-AU"/>
    </w:rPr>
  </w:style>
  <w:style w:type="paragraph" w:styleId="ListBullet5">
    <w:name w:val="List Bullet 5"/>
    <w:basedOn w:val="Normal"/>
    <w:uiPriority w:val="99"/>
    <w:semiHidden/>
    <w:rsid w:val="00B66EC8"/>
    <w:pPr>
      <w:spacing w:after="0" w:line="260" w:lineRule="atLeast"/>
      <w:ind w:left="1800" w:hanging="360"/>
    </w:pPr>
    <w:rPr>
      <w:rFonts w:eastAsia="Times New Roman" w:cs="Times New Roman"/>
      <w:sz w:val="22"/>
      <w:lang w:eastAsia="en-AU"/>
    </w:rPr>
  </w:style>
  <w:style w:type="table" w:styleId="ListTable3-Accent1">
    <w:name w:val="List Table 3 Accent 1"/>
    <w:basedOn w:val="TableNormal"/>
    <w:uiPriority w:val="48"/>
    <w:rsid w:val="00BD6BC7"/>
    <w:pPr>
      <w:spacing w:after="0" w:line="240" w:lineRule="auto"/>
    </w:pPr>
    <w:rPr>
      <w:rFonts w:ascii="Arial" w:hAnsi="Arial" w:cs="Times New Roman"/>
      <w:color w:val="0C233C" w:themeColor="accent3"/>
    </w:rPr>
    <w:tblPr>
      <w:tblStyleRowBandSize w:val="1"/>
      <w:tblStyleColBandSize w:val="1"/>
      <w:tblBorders>
        <w:top w:val="single" w:sz="4" w:space="0" w:color="00338D" w:themeColor="accent1"/>
        <w:left w:val="single" w:sz="4" w:space="0" w:color="00338D" w:themeColor="accent1"/>
        <w:bottom w:val="single" w:sz="4" w:space="0" w:color="00338D" w:themeColor="accent1"/>
        <w:right w:val="single" w:sz="4" w:space="0" w:color="00338D" w:themeColor="accent1"/>
      </w:tblBorders>
    </w:tblPr>
    <w:tblStylePr w:type="firstRow">
      <w:rPr>
        <w:b/>
        <w:bCs/>
        <w:color w:val="FFFFFF" w:themeColor="background1"/>
      </w:rPr>
      <w:tblPr/>
      <w:tcPr>
        <w:shd w:val="clear" w:color="auto" w:fill="00338D" w:themeFill="accent1"/>
      </w:tcPr>
    </w:tblStylePr>
    <w:tblStylePr w:type="lastRow">
      <w:rPr>
        <w:b/>
        <w:bCs/>
      </w:rPr>
      <w:tblPr/>
      <w:tcPr>
        <w:tcBorders>
          <w:top w:val="double" w:sz="4" w:space="0" w:color="0033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8D" w:themeColor="accent1"/>
          <w:right w:val="single" w:sz="4" w:space="0" w:color="00338D" w:themeColor="accent1"/>
        </w:tcBorders>
      </w:tcPr>
    </w:tblStylePr>
    <w:tblStylePr w:type="band1Horz">
      <w:tblPr/>
      <w:tcPr>
        <w:tcBorders>
          <w:top w:val="single" w:sz="4" w:space="0" w:color="00338D" w:themeColor="accent1"/>
          <w:bottom w:val="single" w:sz="4" w:space="0" w:color="0033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8D" w:themeColor="accent1"/>
          <w:left w:val="nil"/>
        </w:tcBorders>
      </w:tcPr>
    </w:tblStylePr>
    <w:tblStylePr w:type="swCell">
      <w:tblPr/>
      <w:tcPr>
        <w:tcBorders>
          <w:top w:val="double" w:sz="4" w:space="0" w:color="00338D" w:themeColor="accent1"/>
          <w:right w:val="nil"/>
        </w:tcBorders>
      </w:tcPr>
    </w:tblStylePr>
  </w:style>
  <w:style w:type="table" w:customStyle="1" w:styleId="MediumShading2-Accent11">
    <w:name w:val="Medium Shading 2 - Accent 11"/>
    <w:basedOn w:val="TableNormal"/>
    <w:next w:val="MediumShading2-Accent1"/>
    <w:uiPriority w:val="64"/>
    <w:rsid w:val="00F4118C"/>
    <w:pPr>
      <w:spacing w:after="0" w:line="240" w:lineRule="auto"/>
    </w:pPr>
    <w:rPr>
      <w:rFonts w:ascii="Arial"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8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8D" w:themeFill="accent1"/>
      </w:tcPr>
    </w:tblStylePr>
    <w:tblStylePr w:type="lastCol">
      <w:rPr>
        <w:b/>
        <w:bCs/>
        <w:color w:val="FFFFFF" w:themeColor="background1"/>
      </w:rPr>
      <w:tblPr/>
      <w:tcPr>
        <w:tcBorders>
          <w:left w:val="nil"/>
          <w:right w:val="nil"/>
          <w:insideH w:val="nil"/>
          <w:insideV w:val="nil"/>
        </w:tcBorders>
        <w:shd w:val="clear" w:color="auto" w:fill="00338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F411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8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8D" w:themeFill="accent1"/>
      </w:tcPr>
    </w:tblStylePr>
    <w:tblStylePr w:type="lastCol">
      <w:rPr>
        <w:b/>
        <w:bCs/>
        <w:color w:val="FFFFFF" w:themeColor="background1"/>
      </w:rPr>
      <w:tblPr/>
      <w:tcPr>
        <w:tcBorders>
          <w:left w:val="nil"/>
          <w:right w:val="nil"/>
          <w:insideH w:val="nil"/>
          <w:insideV w:val="nil"/>
        </w:tcBorders>
        <w:shd w:val="clear" w:color="auto" w:fill="00338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umberbullet3rdlevel">
    <w:name w:val="Number bullet 3rd level"/>
    <w:basedOn w:val="BodyText"/>
    <w:uiPriority w:val="99"/>
    <w:rsid w:val="008A1C44"/>
    <w:pPr>
      <w:numPr>
        <w:numId w:val="5"/>
      </w:numPr>
    </w:pPr>
  </w:style>
  <w:style w:type="paragraph" w:customStyle="1" w:styleId="Numberheading1">
    <w:name w:val="Number heading 1"/>
    <w:basedOn w:val="BodyText"/>
    <w:uiPriority w:val="99"/>
    <w:rsid w:val="0015271D"/>
    <w:pPr>
      <w:numPr>
        <w:numId w:val="6"/>
      </w:numPr>
      <w:ind w:left="340" w:hanging="340"/>
    </w:pPr>
    <w:rPr>
      <w:b/>
    </w:rPr>
  </w:style>
  <w:style w:type="paragraph" w:customStyle="1" w:styleId="TableText0">
    <w:name w:val="Table Text"/>
    <w:link w:val="TableTextChar0"/>
    <w:rsid w:val="00D85C65"/>
    <w:pPr>
      <w:spacing w:before="120" w:after="120" w:line="240" w:lineRule="auto"/>
    </w:pPr>
    <w:rPr>
      <w:rFonts w:ascii="Arial" w:eastAsia="Times New Roman" w:hAnsi="Arial" w:cs="Arial"/>
      <w:sz w:val="18"/>
      <w:szCs w:val="18"/>
    </w:rPr>
  </w:style>
  <w:style w:type="character" w:customStyle="1" w:styleId="TableTextChar0">
    <w:name w:val="Table Text Char"/>
    <w:link w:val="TableText0"/>
    <w:locked/>
    <w:rsid w:val="00D85C65"/>
    <w:rPr>
      <w:rFonts w:ascii="Arial" w:eastAsia="Times New Roman" w:hAnsi="Arial" w:cs="Arial"/>
      <w:sz w:val="18"/>
      <w:szCs w:val="18"/>
    </w:rPr>
  </w:style>
  <w:style w:type="character" w:customStyle="1" w:styleId="ListParagraphChar">
    <w:name w:val="List Paragraph Char"/>
    <w:aliases w:val="Body Text Numbered Char,Bullet Level 1 Char,Lists Char,lp1 Char,Use Case List Paragraph Char,numbered Char,Bullet List Char,FooterText Char,List Paragraph1 Char,Use Case List ParagraphCxSpLast Char,Paragraphe de liste1 Char,列出段落 Char"/>
    <w:link w:val="ListParagraph"/>
    <w:uiPriority w:val="34"/>
    <w:locked/>
    <w:rsid w:val="009E4059"/>
    <w:rPr>
      <w:sz w:val="20"/>
    </w:rPr>
  </w:style>
  <w:style w:type="paragraph" w:styleId="NormalWeb">
    <w:name w:val="Normal (Web)"/>
    <w:basedOn w:val="Normal"/>
    <w:uiPriority w:val="99"/>
    <w:unhideWhenUsed/>
    <w:rsid w:val="00DC6216"/>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C04616"/>
    <w:rPr>
      <w:i/>
      <w:iCs/>
    </w:rPr>
  </w:style>
  <w:style w:type="character" w:styleId="FollowedHyperlink">
    <w:name w:val="FollowedHyperlink"/>
    <w:basedOn w:val="DefaultParagraphFont"/>
    <w:uiPriority w:val="99"/>
    <w:semiHidden/>
    <w:unhideWhenUsed/>
    <w:rsid w:val="00C04616"/>
    <w:rPr>
      <w:color w:val="00B8F5" w:themeColor="followedHyperlink"/>
      <w:u w:val="single"/>
    </w:rPr>
  </w:style>
  <w:style w:type="table" w:customStyle="1" w:styleId="IHPA1">
    <w:name w:val="IHPA1"/>
    <w:basedOn w:val="TableNormal"/>
    <w:next w:val="TableGrid"/>
    <w:uiPriority w:val="39"/>
    <w:rsid w:val="00E63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3B1C"/>
    <w:rPr>
      <w:color w:val="605E5C"/>
      <w:shd w:val="clear" w:color="auto" w:fill="E1DFDD"/>
    </w:rPr>
  </w:style>
  <w:style w:type="table" w:styleId="TableGrid1">
    <w:name w:val="Table Grid 1"/>
    <w:basedOn w:val="TableNormal"/>
    <w:uiPriority w:val="99"/>
    <w:unhideWhenUsed/>
    <w:rsid w:val="00036122"/>
    <w:pPr>
      <w:spacing w:before="120" w:after="12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2">
    <w:name w:val="toc 2"/>
    <w:basedOn w:val="Normal"/>
    <w:next w:val="Normal"/>
    <w:autoRedefine/>
    <w:uiPriority w:val="39"/>
    <w:unhideWhenUsed/>
    <w:rsid w:val="00F95100"/>
    <w:pPr>
      <w:tabs>
        <w:tab w:val="left" w:pos="851"/>
        <w:tab w:val="right" w:pos="9060"/>
      </w:tabs>
      <w:spacing w:after="100"/>
      <w:ind w:left="340"/>
    </w:pPr>
    <w:rPr>
      <w:noProof/>
      <w:color w:val="FFFFFF" w:themeColor="background1"/>
    </w:rPr>
  </w:style>
  <w:style w:type="paragraph" w:customStyle="1" w:styleId="PFParaNumLevel1">
    <w:name w:val="PF (ParaNum) Level 1"/>
    <w:basedOn w:val="Normal"/>
    <w:rsid w:val="00B17ED7"/>
    <w:pPr>
      <w:numPr>
        <w:numId w:val="8"/>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 w:val="22"/>
      <w:szCs w:val="20"/>
    </w:rPr>
  </w:style>
  <w:style w:type="paragraph" w:customStyle="1" w:styleId="PFParaNumLevel2">
    <w:name w:val="PF (ParaNum) Level 2"/>
    <w:basedOn w:val="Normal"/>
    <w:rsid w:val="00B17ED7"/>
    <w:pPr>
      <w:numPr>
        <w:ilvl w:val="1"/>
        <w:numId w:val="8"/>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 w:val="22"/>
      <w:szCs w:val="20"/>
    </w:rPr>
  </w:style>
  <w:style w:type="paragraph" w:customStyle="1" w:styleId="PFParaNumLevel3">
    <w:name w:val="PF (ParaNum) Level 3"/>
    <w:basedOn w:val="Normal"/>
    <w:rsid w:val="00B17ED7"/>
    <w:pPr>
      <w:numPr>
        <w:ilvl w:val="2"/>
        <w:numId w:val="8"/>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 w:val="22"/>
      <w:szCs w:val="20"/>
    </w:rPr>
  </w:style>
  <w:style w:type="paragraph" w:customStyle="1" w:styleId="PFParaNumLevel4">
    <w:name w:val="PF (ParaNum) Level 4"/>
    <w:basedOn w:val="Normal"/>
    <w:rsid w:val="00B17ED7"/>
    <w:pPr>
      <w:numPr>
        <w:ilvl w:val="3"/>
        <w:numId w:val="8"/>
      </w:numPr>
      <w:tabs>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 w:val="22"/>
      <w:szCs w:val="20"/>
    </w:rPr>
  </w:style>
  <w:style w:type="paragraph" w:customStyle="1" w:styleId="PFParaNumLevel5">
    <w:name w:val="PF (ParaNum) Level 5"/>
    <w:basedOn w:val="Normal"/>
    <w:rsid w:val="00B17ED7"/>
    <w:pPr>
      <w:numPr>
        <w:ilvl w:val="4"/>
        <w:numId w:val="8"/>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 w:val="22"/>
      <w:szCs w:val="20"/>
    </w:rPr>
  </w:style>
  <w:style w:type="paragraph" w:customStyle="1" w:styleId="PFParaNumLevel6">
    <w:name w:val="PF (ParaNum) Level 6"/>
    <w:basedOn w:val="PFParaNumLevel4"/>
    <w:rsid w:val="00B17ED7"/>
    <w:pPr>
      <w:numPr>
        <w:ilvl w:val="5"/>
      </w:numPr>
    </w:pPr>
  </w:style>
  <w:style w:type="paragraph" w:customStyle="1" w:styleId="PFNumLevel2">
    <w:name w:val="PF (Num) Level 2"/>
    <w:basedOn w:val="Normal"/>
    <w:rsid w:val="00582503"/>
    <w:pPr>
      <w:numPr>
        <w:ilvl w:val="1"/>
        <w:numId w:val="9"/>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 w:val="22"/>
      <w:szCs w:val="20"/>
    </w:rPr>
  </w:style>
  <w:style w:type="paragraph" w:customStyle="1" w:styleId="PFNumLevel3">
    <w:name w:val="PF (Num) Level 3"/>
    <w:basedOn w:val="Normal"/>
    <w:rsid w:val="00582503"/>
    <w:pPr>
      <w:numPr>
        <w:ilvl w:val="2"/>
        <w:numId w:val="9"/>
      </w:numPr>
      <w:tabs>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 w:val="22"/>
      <w:szCs w:val="20"/>
    </w:rPr>
  </w:style>
  <w:style w:type="paragraph" w:customStyle="1" w:styleId="PFNumLevel4">
    <w:name w:val="PF (Num) Level 4"/>
    <w:basedOn w:val="Normal"/>
    <w:rsid w:val="00582503"/>
    <w:pPr>
      <w:numPr>
        <w:ilvl w:val="3"/>
        <w:numId w:val="9"/>
      </w:numPr>
      <w:tabs>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 w:val="22"/>
      <w:szCs w:val="20"/>
    </w:rPr>
  </w:style>
  <w:style w:type="paragraph" w:customStyle="1" w:styleId="PFNumLevel5">
    <w:name w:val="PF (Num) Level 5"/>
    <w:basedOn w:val="Normal"/>
    <w:rsid w:val="00582503"/>
    <w:pPr>
      <w:numPr>
        <w:ilvl w:val="4"/>
        <w:numId w:val="9"/>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 w:val="22"/>
      <w:szCs w:val="20"/>
    </w:rPr>
  </w:style>
  <w:style w:type="paragraph" w:customStyle="1" w:styleId="Heading1A">
    <w:name w:val="Heading 1A"/>
    <w:basedOn w:val="Heading1"/>
    <w:next w:val="Normal"/>
    <w:rsid w:val="00582503"/>
    <w:pPr>
      <w:keepLines w:val="0"/>
      <w:numPr>
        <w:numId w:val="9"/>
      </w:numPr>
      <w:tabs>
        <w:tab w:val="clear" w:pos="567"/>
        <w:tab w:val="num" w:pos="360"/>
        <w:tab w:val="left" w:pos="1848"/>
        <w:tab w:val="left" w:pos="2773"/>
        <w:tab w:val="left" w:pos="3697"/>
        <w:tab w:val="left" w:pos="4621"/>
        <w:tab w:val="left" w:pos="5545"/>
        <w:tab w:val="left" w:pos="6469"/>
        <w:tab w:val="left" w:pos="7394"/>
        <w:tab w:val="left" w:pos="8318"/>
        <w:tab w:val="right" w:pos="8930"/>
      </w:tabs>
      <w:spacing w:before="400" w:after="120" w:line="276" w:lineRule="auto"/>
    </w:pPr>
    <w:rPr>
      <w:rFonts w:ascii="Times New Roman" w:eastAsia="Times New Roman" w:hAnsi="Times New Roman" w:cs="Times New Roman"/>
      <w:b/>
      <w:caps/>
      <w:color w:val="000000"/>
      <w:kern w:val="28"/>
      <w:sz w:val="22"/>
      <w:szCs w:val="20"/>
    </w:rPr>
  </w:style>
  <w:style w:type="paragraph" w:customStyle="1" w:styleId="PFNumLevel6">
    <w:name w:val="PF (Num) Level 6"/>
    <w:basedOn w:val="PFNumLevel4"/>
    <w:rsid w:val="00582503"/>
    <w:pPr>
      <w:numPr>
        <w:ilvl w:val="5"/>
      </w:numPr>
    </w:pPr>
  </w:style>
  <w:style w:type="paragraph" w:customStyle="1" w:styleId="Tablebullet">
    <w:name w:val="Table bullet"/>
    <w:qFormat/>
    <w:rsid w:val="005934D5"/>
    <w:pPr>
      <w:numPr>
        <w:numId w:val="11"/>
      </w:numPr>
      <w:spacing w:before="60" w:after="60" w:line="240" w:lineRule="auto"/>
      <w:ind w:left="340" w:hanging="340"/>
    </w:pPr>
    <w:rPr>
      <w:rFonts w:ascii="Univers 45 Light" w:hAnsi="Univers 45 Light"/>
      <w:bCs/>
      <w:sz w:val="18"/>
    </w:rPr>
  </w:style>
  <w:style w:type="table" w:customStyle="1" w:styleId="TableGrid10">
    <w:name w:val="Table Grid1"/>
    <w:basedOn w:val="TableNormal"/>
    <w:next w:val="TableGrid"/>
    <w:uiPriority w:val="39"/>
    <w:rsid w:val="00FF215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locked/>
    <w:rsid w:val="00EF3022"/>
    <w:pPr>
      <w:spacing w:before="0" w:line="480" w:lineRule="auto"/>
    </w:pPr>
    <w:rPr>
      <w:sz w:val="22"/>
    </w:rPr>
  </w:style>
  <w:style w:type="character" w:customStyle="1" w:styleId="BodyText2Char">
    <w:name w:val="Body Text 2 Char"/>
    <w:basedOn w:val="DefaultParagraphFont"/>
    <w:link w:val="BodyText2"/>
    <w:uiPriority w:val="99"/>
    <w:semiHidden/>
    <w:rsid w:val="00EF3022"/>
  </w:style>
  <w:style w:type="paragraph" w:customStyle="1" w:styleId="Heading1Option2">
    <w:name w:val="Heading 1_Option 2"/>
    <w:basedOn w:val="Heading1"/>
    <w:qFormat/>
    <w:rsid w:val="00D122AF"/>
    <w:pPr>
      <w:tabs>
        <w:tab w:val="clear" w:pos="567"/>
      </w:tabs>
      <w:spacing w:after="360" w:line="240" w:lineRule="auto"/>
    </w:pPr>
    <w:rPr>
      <w:color w:val="00338D"/>
    </w:rPr>
  </w:style>
  <w:style w:type="paragraph" w:customStyle="1" w:styleId="CSbullettick">
    <w:name w:val="CS bullet tick"/>
    <w:basedOn w:val="Normal"/>
    <w:uiPriority w:val="99"/>
    <w:rsid w:val="00F15886"/>
    <w:pPr>
      <w:numPr>
        <w:numId w:val="12"/>
      </w:numPr>
      <w:spacing w:before="60" w:after="60"/>
    </w:pPr>
    <w:rPr>
      <w:rFonts w:ascii="Univers 45 Light" w:hAnsi="Univers 45 Light"/>
    </w:rPr>
  </w:style>
  <w:style w:type="paragraph" w:customStyle="1" w:styleId="MEBasic1">
    <w:name w:val="ME Basic 1"/>
    <w:basedOn w:val="Normal"/>
    <w:rsid w:val="00DB20BA"/>
    <w:pPr>
      <w:numPr>
        <w:numId w:val="13"/>
      </w:numPr>
      <w:spacing w:before="0" w:after="140" w:line="280" w:lineRule="atLeast"/>
      <w:outlineLvl w:val="0"/>
    </w:pPr>
    <w:rPr>
      <w:rFonts w:ascii="Times New Roman" w:eastAsia="Times New Roman" w:hAnsi="Times New Roman" w:cs="Angsana New"/>
      <w:sz w:val="22"/>
      <w:lang w:eastAsia="zh-CN" w:bidi="th-TH"/>
    </w:rPr>
  </w:style>
  <w:style w:type="paragraph" w:customStyle="1" w:styleId="MEBasic2">
    <w:name w:val="ME Basic 2"/>
    <w:basedOn w:val="Normal"/>
    <w:rsid w:val="00DB20BA"/>
    <w:pPr>
      <w:numPr>
        <w:ilvl w:val="1"/>
        <w:numId w:val="13"/>
      </w:numPr>
      <w:tabs>
        <w:tab w:val="clear" w:pos="822"/>
      </w:tabs>
      <w:spacing w:before="0" w:after="140" w:line="280" w:lineRule="atLeast"/>
      <w:ind w:left="680"/>
      <w:outlineLvl w:val="1"/>
    </w:pPr>
    <w:rPr>
      <w:rFonts w:ascii="Times New Roman" w:eastAsia="Times New Roman" w:hAnsi="Times New Roman" w:cs="Angsana New"/>
      <w:sz w:val="22"/>
      <w:lang w:eastAsia="zh-CN" w:bidi="th-TH"/>
    </w:rPr>
  </w:style>
  <w:style w:type="paragraph" w:customStyle="1" w:styleId="MEBasic3">
    <w:name w:val="ME Basic 3"/>
    <w:basedOn w:val="Normal"/>
    <w:rsid w:val="00DB20BA"/>
    <w:pPr>
      <w:numPr>
        <w:ilvl w:val="2"/>
        <w:numId w:val="13"/>
      </w:numPr>
      <w:tabs>
        <w:tab w:val="clear" w:pos="1503"/>
      </w:tabs>
      <w:spacing w:before="0" w:after="140" w:line="280" w:lineRule="atLeast"/>
      <w:ind w:left="794" w:hanging="794"/>
      <w:outlineLvl w:val="2"/>
    </w:pPr>
    <w:rPr>
      <w:rFonts w:ascii="Times New Roman" w:eastAsia="Times New Roman" w:hAnsi="Times New Roman" w:cs="Angsana New"/>
      <w:sz w:val="22"/>
      <w:lang w:eastAsia="zh-CN" w:bidi="th-TH"/>
    </w:rPr>
  </w:style>
  <w:style w:type="paragraph" w:customStyle="1" w:styleId="MEBasic4">
    <w:name w:val="ME Basic 4"/>
    <w:basedOn w:val="Normal"/>
    <w:rsid w:val="00DB20BA"/>
    <w:pPr>
      <w:numPr>
        <w:ilvl w:val="3"/>
        <w:numId w:val="13"/>
      </w:numPr>
      <w:tabs>
        <w:tab w:val="clear" w:pos="2183"/>
      </w:tabs>
      <w:spacing w:before="0" w:after="140" w:line="280" w:lineRule="atLeast"/>
      <w:ind w:left="907" w:hanging="907"/>
      <w:outlineLvl w:val="3"/>
    </w:pPr>
    <w:rPr>
      <w:rFonts w:ascii="Times New Roman" w:eastAsia="Times New Roman" w:hAnsi="Times New Roman" w:cs="Angsana New"/>
      <w:sz w:val="22"/>
      <w:lang w:eastAsia="zh-CN" w:bidi="th-TH"/>
    </w:rPr>
  </w:style>
  <w:style w:type="paragraph" w:customStyle="1" w:styleId="MEBasic5">
    <w:name w:val="ME Basic 5"/>
    <w:basedOn w:val="Normal"/>
    <w:rsid w:val="00DB20BA"/>
    <w:pPr>
      <w:numPr>
        <w:ilvl w:val="4"/>
        <w:numId w:val="13"/>
      </w:numPr>
      <w:tabs>
        <w:tab w:val="clear" w:pos="2864"/>
      </w:tabs>
      <w:spacing w:before="0" w:after="140" w:line="280" w:lineRule="atLeast"/>
      <w:ind w:left="1021" w:hanging="1021"/>
      <w:outlineLvl w:val="4"/>
    </w:pPr>
    <w:rPr>
      <w:rFonts w:ascii="Times New Roman" w:eastAsia="Times New Roman" w:hAnsi="Times New Roman" w:cs="Angsana New"/>
      <w:sz w:val="22"/>
      <w:lang w:eastAsia="zh-CN" w:bidi="th-TH"/>
    </w:rPr>
  </w:style>
  <w:style w:type="table" w:customStyle="1" w:styleId="ListTable3-Accent111">
    <w:name w:val="List Table 3 - Accent 111"/>
    <w:basedOn w:val="TableNormal"/>
    <w:next w:val="ListTable3-Accent1"/>
    <w:uiPriority w:val="48"/>
    <w:rsid w:val="00536F97"/>
    <w:pPr>
      <w:spacing w:after="0" w:line="240" w:lineRule="auto"/>
    </w:pPr>
    <w:tblPr>
      <w:tblStyleRowBandSize w:val="1"/>
      <w:tblStyleColBandSize w:val="1"/>
      <w:tblBorders>
        <w:top w:val="single" w:sz="4" w:space="0" w:color="00338D" w:themeColor="accent1"/>
        <w:left w:val="single" w:sz="4" w:space="0" w:color="00338D" w:themeColor="accent1"/>
        <w:bottom w:val="single" w:sz="4" w:space="0" w:color="00338D" w:themeColor="accent1"/>
        <w:right w:val="single" w:sz="4" w:space="0" w:color="00338D" w:themeColor="accent1"/>
      </w:tblBorders>
    </w:tblPr>
    <w:tblStylePr w:type="firstRow">
      <w:rPr>
        <w:b/>
        <w:bCs/>
        <w:color w:val="FFFFFF" w:themeColor="background1"/>
      </w:rPr>
      <w:tblPr/>
      <w:tcPr>
        <w:shd w:val="clear" w:color="auto" w:fill="00338D" w:themeFill="accent1"/>
      </w:tcPr>
    </w:tblStylePr>
    <w:tblStylePr w:type="lastRow">
      <w:rPr>
        <w:b/>
        <w:bCs/>
      </w:rPr>
      <w:tblPr/>
      <w:tcPr>
        <w:tcBorders>
          <w:top w:val="double" w:sz="4" w:space="0" w:color="0033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8D" w:themeColor="accent1"/>
          <w:right w:val="single" w:sz="4" w:space="0" w:color="00338D" w:themeColor="accent1"/>
        </w:tcBorders>
      </w:tcPr>
    </w:tblStylePr>
    <w:tblStylePr w:type="band1Horz">
      <w:tblPr/>
      <w:tcPr>
        <w:tcBorders>
          <w:top w:val="single" w:sz="4" w:space="0" w:color="00338D" w:themeColor="accent1"/>
          <w:bottom w:val="single" w:sz="4" w:space="0" w:color="0033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8D" w:themeColor="accent1"/>
          <w:left w:val="nil"/>
        </w:tcBorders>
      </w:tcPr>
    </w:tblStylePr>
    <w:tblStylePr w:type="swCell">
      <w:tblPr/>
      <w:tcPr>
        <w:tcBorders>
          <w:top w:val="double" w:sz="4" w:space="0" w:color="00338D" w:themeColor="accent1"/>
          <w:right w:val="nil"/>
        </w:tcBorders>
      </w:tcPr>
    </w:tblStylePr>
  </w:style>
  <w:style w:type="character" w:customStyle="1" w:styleId="TabletextChar">
    <w:name w:val="Table text Char"/>
    <w:aliases w:val="Body text Char,b Char,block Char,bt Char,body Char,body text Char,Body Char,t1 Char,taten_body Char,Body Text 1 Char,NoticeText-List Char,body text Char Char Char,body text Char Char Char Char Char Char,Body Text x Char,Body Text Char1"/>
    <w:basedOn w:val="DefaultParagraphFont"/>
    <w:link w:val="Tabletext"/>
    <w:qFormat/>
    <w:locked/>
    <w:rsid w:val="00BC1E98"/>
    <w:rPr>
      <w:rFonts w:ascii="Univers 45 Light" w:hAnsi="Univers 45 Light"/>
      <w:sz w:val="20"/>
    </w:rPr>
  </w:style>
  <w:style w:type="paragraph" w:customStyle="1" w:styleId="Casestudytitle">
    <w:name w:val="Case study title"/>
    <w:basedOn w:val="Normal"/>
    <w:uiPriority w:val="99"/>
    <w:rsid w:val="00CC0C50"/>
    <w:pPr>
      <w:spacing w:before="0" w:after="160" w:line="800" w:lineRule="exact"/>
    </w:pPr>
    <w:rPr>
      <w:rFonts w:ascii="KPMG Light" w:hAnsi="KPMG Light"/>
      <w:color w:val="FFFFFF" w:themeColor="background1"/>
      <w:sz w:val="80"/>
    </w:rPr>
  </w:style>
  <w:style w:type="paragraph" w:customStyle="1" w:styleId="Casestudysubheading">
    <w:name w:val="Case study subheading"/>
    <w:basedOn w:val="Normal"/>
    <w:uiPriority w:val="99"/>
    <w:rsid w:val="00E46855"/>
    <w:pPr>
      <w:spacing w:before="0" w:after="400"/>
    </w:pPr>
    <w:rPr>
      <w:b/>
      <w:bCs/>
      <w:color w:val="FFFFFF" w:themeColor="background1"/>
      <w:sz w:val="32"/>
      <w:szCs w:val="32"/>
    </w:rPr>
  </w:style>
  <w:style w:type="paragraph" w:customStyle="1" w:styleId="Casestudyheading">
    <w:name w:val="Case study heading"/>
    <w:basedOn w:val="Normal"/>
    <w:uiPriority w:val="99"/>
    <w:rsid w:val="00407DE7"/>
    <w:rPr>
      <w:rFonts w:ascii="Univers 45 Light" w:eastAsia="Calibri" w:hAnsi="Univers 45 Light" w:cs="Times New Roman"/>
      <w:b/>
      <w:color w:val="002478"/>
      <w:sz w:val="24"/>
      <w:szCs w:val="20"/>
    </w:rPr>
  </w:style>
  <w:style w:type="paragraph" w:customStyle="1" w:styleId="CasestudyBodytext">
    <w:name w:val="Case study Body text"/>
    <w:basedOn w:val="BodyText"/>
    <w:uiPriority w:val="99"/>
    <w:rsid w:val="001F7EB2"/>
    <w:rPr>
      <w:szCs w:val="16"/>
    </w:rPr>
  </w:style>
  <w:style w:type="paragraph" w:customStyle="1" w:styleId="CasestudyBullet1stlevel">
    <w:name w:val="Case study Bullet 1st level"/>
    <w:basedOn w:val="Tablelistbullet"/>
    <w:uiPriority w:val="99"/>
    <w:rsid w:val="003B21E4"/>
    <w:rPr>
      <w:szCs w:val="16"/>
    </w:rPr>
  </w:style>
  <w:style w:type="paragraph" w:customStyle="1" w:styleId="Casestudyvalue">
    <w:name w:val="Case study value"/>
    <w:basedOn w:val="Normal"/>
    <w:uiPriority w:val="99"/>
    <w:rsid w:val="0080086C"/>
    <w:rPr>
      <w:rFonts w:ascii="KPMG Extralight" w:hAnsi="KPMG Extralight"/>
      <w:sz w:val="48"/>
      <w:szCs w:val="52"/>
    </w:rPr>
  </w:style>
  <w:style w:type="paragraph" w:customStyle="1" w:styleId="CasestudyNumberbullet">
    <w:name w:val="Case study Number bullet"/>
    <w:basedOn w:val="CasestudyBodytext"/>
    <w:uiPriority w:val="99"/>
    <w:rsid w:val="00395C9D"/>
    <w:pPr>
      <w:numPr>
        <w:numId w:val="14"/>
      </w:numPr>
    </w:pPr>
  </w:style>
  <w:style w:type="table" w:customStyle="1" w:styleId="McLLTableGeneralText13">
    <w:name w:val="McLL Table General Text13"/>
    <w:basedOn w:val="TableNormal"/>
    <w:next w:val="TableGrid"/>
    <w:uiPriority w:val="39"/>
    <w:rsid w:val="00626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DefaultParagraphFont"/>
    <w:link w:val="Tableheading"/>
    <w:locked/>
    <w:rsid w:val="00A72944"/>
    <w:rPr>
      <w:rFonts w:ascii="Arial" w:hAnsi="Arial"/>
      <w:b/>
      <w:color w:val="FFFFFF" w:themeColor="background1"/>
      <w:sz w:val="20"/>
    </w:rPr>
  </w:style>
  <w:style w:type="paragraph" w:styleId="NormalIndent">
    <w:name w:val="Normal Indent"/>
    <w:basedOn w:val="Normal"/>
    <w:uiPriority w:val="99"/>
    <w:semiHidden/>
    <w:unhideWhenUsed/>
    <w:qFormat/>
    <w:rsid w:val="008314F2"/>
    <w:pPr>
      <w:spacing w:before="160" w:after="100" w:line="252" w:lineRule="auto"/>
      <w:ind w:left="792"/>
    </w:pPr>
    <w:rPr>
      <w:rFonts w:eastAsiaTheme="minorEastAsia"/>
      <w:spacing w:val="2"/>
      <w:szCs w:val="20"/>
      <w:lang w:eastAsia="en-AU"/>
    </w:rPr>
  </w:style>
  <w:style w:type="character" w:customStyle="1" w:styleId="TablelistbulletChar">
    <w:name w:val="Table list bullet Char"/>
    <w:basedOn w:val="DefaultParagraphFont"/>
    <w:link w:val="Tablelistbullet"/>
    <w:locked/>
    <w:rsid w:val="00AE349D"/>
    <w:rPr>
      <w:rFonts w:ascii="Arial" w:hAnsi="Arial"/>
      <w:sz w:val="18"/>
    </w:rPr>
  </w:style>
  <w:style w:type="paragraph" w:customStyle="1" w:styleId="Heading2option2">
    <w:name w:val="Heading 2_option 2"/>
    <w:basedOn w:val="Heading2"/>
    <w:qFormat/>
    <w:rsid w:val="00C276C5"/>
    <w:pPr>
      <w:keepNext/>
      <w:keepLines/>
      <w:spacing w:before="240"/>
      <w:contextualSpacing/>
    </w:pPr>
    <w:rPr>
      <w:lang w:val="en-US"/>
    </w:rPr>
  </w:style>
  <w:style w:type="character" w:customStyle="1" w:styleId="TableBulletChar">
    <w:name w:val="Table Bullet Char"/>
    <w:basedOn w:val="DefaultParagraphFont"/>
    <w:link w:val="TableBullet0"/>
    <w:locked/>
    <w:rsid w:val="00950D75"/>
    <w:rPr>
      <w:rFonts w:ascii="Univers 45 Light" w:hAnsi="Univers 45 Light"/>
      <w:sz w:val="20"/>
    </w:rPr>
  </w:style>
  <w:style w:type="paragraph" w:customStyle="1" w:styleId="TableBullet0">
    <w:name w:val="Table Bullet"/>
    <w:basedOn w:val="Tablelistbullet"/>
    <w:link w:val="TableBulletChar"/>
    <w:qFormat/>
    <w:rsid w:val="00950D75"/>
    <w:pPr>
      <w:numPr>
        <w:numId w:val="0"/>
      </w:numPr>
      <w:tabs>
        <w:tab w:val="num" w:pos="340"/>
      </w:tabs>
      <w:ind w:left="340" w:hanging="340"/>
    </w:pPr>
  </w:style>
  <w:style w:type="paragraph" w:customStyle="1" w:styleId="Tablebold">
    <w:name w:val="Table bold"/>
    <w:basedOn w:val="Normal"/>
    <w:uiPriority w:val="99"/>
    <w:rsid w:val="009A31F7"/>
    <w:pPr>
      <w:spacing w:before="60" w:after="60"/>
    </w:pPr>
    <w:rPr>
      <w:rFonts w:ascii="Univers 45 Light" w:hAnsi="Univers 45 Light"/>
      <w:b/>
    </w:rPr>
  </w:style>
  <w:style w:type="paragraph" w:customStyle="1" w:styleId="CVbullet">
    <w:name w:val="CV bullet"/>
    <w:basedOn w:val="Normal"/>
    <w:uiPriority w:val="99"/>
    <w:rsid w:val="00896985"/>
    <w:pPr>
      <w:numPr>
        <w:numId w:val="15"/>
      </w:numPr>
      <w:spacing w:before="60" w:after="60"/>
      <w:ind w:left="357" w:hanging="357"/>
      <w:contextualSpacing/>
    </w:pPr>
    <w:rPr>
      <w:rFonts w:ascii="Univers 45 Light" w:hAnsi="Univers 45 Light"/>
      <w:sz w:val="14"/>
    </w:rPr>
  </w:style>
  <w:style w:type="paragraph" w:styleId="Revision">
    <w:name w:val="Revision"/>
    <w:hidden/>
    <w:uiPriority w:val="99"/>
    <w:semiHidden/>
    <w:rsid w:val="00843BE4"/>
    <w:pPr>
      <w:spacing w:after="0" w:line="240" w:lineRule="auto"/>
    </w:pPr>
    <w:rPr>
      <w:sz w:val="20"/>
    </w:rPr>
  </w:style>
  <w:style w:type="paragraph" w:customStyle="1" w:styleId="Tableheading2">
    <w:name w:val="Table heading 2"/>
    <w:basedOn w:val="TableText0"/>
    <w:uiPriority w:val="99"/>
    <w:rsid w:val="00C34FAD"/>
    <w:rPr>
      <w:b/>
      <w:bCs/>
      <w:color w:val="FF209C"/>
    </w:rPr>
  </w:style>
  <w:style w:type="paragraph" w:customStyle="1" w:styleId="Casestudy">
    <w:name w:val="Case study"/>
    <w:basedOn w:val="Dividerheading"/>
    <w:uiPriority w:val="99"/>
    <w:rsid w:val="00407DE7"/>
    <w:rPr>
      <w:sz w:val="96"/>
      <w:szCs w:val="20"/>
    </w:rPr>
  </w:style>
  <w:style w:type="paragraph" w:customStyle="1" w:styleId="Casestudymainheading">
    <w:name w:val="Case study main heading"/>
    <w:basedOn w:val="Casestudysubheading"/>
    <w:uiPriority w:val="99"/>
    <w:rsid w:val="00407DE7"/>
    <w:pPr>
      <w:spacing w:line="800" w:lineRule="exact"/>
    </w:pPr>
    <w:rPr>
      <w:rFonts w:ascii="KPMG Extralight" w:hAnsi="KPMG Extralight"/>
      <w:b w:val="0"/>
      <w:bCs w:val="0"/>
      <w:sz w:val="80"/>
      <w:szCs w:val="80"/>
    </w:rPr>
  </w:style>
  <w:style w:type="paragraph" w:customStyle="1" w:styleId="Casestudyintrotext">
    <w:name w:val="Case study intro text"/>
    <w:basedOn w:val="CasestudyBodytext"/>
    <w:uiPriority w:val="99"/>
    <w:rsid w:val="00290366"/>
    <w:rPr>
      <w:color w:val="FFFFFF" w:themeColor="background1"/>
      <w:sz w:val="28"/>
    </w:rPr>
  </w:style>
  <w:style w:type="table" w:customStyle="1" w:styleId="FHTable1">
    <w:name w:val="FH Table1"/>
    <w:basedOn w:val="TableNormal"/>
    <w:uiPriority w:val="99"/>
    <w:rsid w:val="00F97F4E"/>
    <w:pPr>
      <w:spacing w:after="0" w:line="240" w:lineRule="auto"/>
    </w:pPr>
    <w:rPr>
      <w:rFonts w:ascii="Arial" w:eastAsia="Times New Roman" w:hAnsi="Arial" w:cs="Times New Roman"/>
      <w:sz w:val="20"/>
    </w:rPr>
    <w:tblPr>
      <w:tblStyleRowBandSize w:val="1"/>
      <w:tblStyleColBandSize w:val="1"/>
      <w:tblInd w:w="0" w:type="nil"/>
      <w:tblBorders>
        <w:bottom w:val="single" w:sz="8" w:space="0" w:color="00447C"/>
        <w:insideH w:val="single" w:sz="8" w:space="0" w:color="00AEEF"/>
      </w:tblBorders>
    </w:tblPr>
    <w:tcPr>
      <w:vAlign w:val="center"/>
    </w:tcPr>
    <w:tblStylePr w:type="firstRow">
      <w:rPr>
        <w:b/>
        <w:color w:val="FFFFFF"/>
      </w:rPr>
      <w:tblPr/>
      <w:tcPr>
        <w:tcBorders>
          <w:top w:val="nil"/>
          <w:left w:val="nil"/>
          <w:bottom w:val="single" w:sz="4" w:space="0" w:color="00447C"/>
          <w:right w:val="nil"/>
          <w:insideH w:val="nil"/>
          <w:insideV w:val="nil"/>
          <w:tl2br w:val="nil"/>
          <w:tr2bl w:val="nil"/>
        </w:tcBorders>
        <w:shd w:val="clear" w:color="auto" w:fill="00447C"/>
      </w:tcPr>
    </w:tblStylePr>
    <w:tblStylePr w:type="lastRow">
      <w:rPr>
        <w:b/>
        <w:color w:val="00447C"/>
      </w:rPr>
      <w:tblPr/>
      <w:tcPr>
        <w:tcBorders>
          <w:top w:val="single" w:sz="8" w:space="0" w:color="00AEEF"/>
          <w:left w:val="nil"/>
          <w:bottom w:val="single" w:sz="12" w:space="0" w:color="00AEEF"/>
          <w:right w:val="nil"/>
          <w:insideH w:val="nil"/>
          <w:insideV w:val="nil"/>
          <w:tl2br w:val="nil"/>
          <w:tr2bl w:val="nil"/>
        </w:tcBorders>
        <w:shd w:val="clear" w:color="auto" w:fill="D2DDE4"/>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8FCFE"/>
      </w:tcPr>
    </w:tblStylePr>
  </w:style>
  <w:style w:type="paragraph" w:customStyle="1" w:styleId="BodyText0">
    <w:name w:val="BodyText"/>
    <w:basedOn w:val="Normal"/>
    <w:uiPriority w:val="99"/>
    <w:rsid w:val="00923DE8"/>
    <w:pPr>
      <w:spacing w:before="0" w:after="160" w:line="259" w:lineRule="auto"/>
    </w:pPr>
    <w:rPr>
      <w:sz w:val="18"/>
    </w:rPr>
  </w:style>
  <w:style w:type="table" w:customStyle="1" w:styleId="FHTable">
    <w:name w:val="FH Table"/>
    <w:basedOn w:val="TableNormal"/>
    <w:uiPriority w:val="99"/>
    <w:rsid w:val="00923DE8"/>
    <w:pPr>
      <w:spacing w:after="0" w:line="240" w:lineRule="auto"/>
    </w:pPr>
    <w:tblPr>
      <w:tblStyleRowBandSize w:val="1"/>
    </w:tblPr>
    <w:tblStylePr w:type="firstRow">
      <w:rPr>
        <w:rFonts w:ascii="Arial" w:hAnsi="Arial"/>
        <w:b/>
        <w:color w:val="FFFFFF" w:themeColor="background1"/>
        <w:sz w:val="18"/>
      </w:rPr>
      <w:tblPr/>
      <w:tcPr>
        <w:shd w:val="clear" w:color="auto" w:fill="0C233C" w:themeFill="text2"/>
      </w:tcPr>
    </w:tblStylePr>
    <w:tblStylePr w:type="band1Horz">
      <w:pPr>
        <w:wordWrap/>
        <w:spacing w:beforeLines="60" w:before="60" w:beforeAutospacing="0" w:afterLines="60" w:after="60" w:afterAutospacing="0"/>
        <w:jc w:val="left"/>
      </w:pPr>
      <w:rPr>
        <w:rFonts w:ascii="Arial" w:hAnsi="Arial"/>
        <w:color w:val="auto"/>
        <w:sz w:val="18"/>
      </w:rPr>
      <w:tblPr/>
      <w:tcPr>
        <w:tcBorders>
          <w:bottom w:val="single" w:sz="4" w:space="0" w:color="0C233C" w:themeColor="text2"/>
        </w:tcBorders>
      </w:tcPr>
    </w:tblStylePr>
    <w:tblStylePr w:type="band2Horz">
      <w:pPr>
        <w:wordWrap/>
        <w:spacing w:beforeLines="60" w:before="60" w:beforeAutospacing="0" w:afterLines="60" w:after="60" w:afterAutospacing="0"/>
        <w:jc w:val="left"/>
      </w:pPr>
      <w:rPr>
        <w:rFonts w:asciiTheme="minorHAnsi" w:hAnsiTheme="minorHAnsi"/>
        <w:color w:val="auto"/>
        <w:sz w:val="18"/>
      </w:rPr>
      <w:tblPr/>
      <w:tcPr>
        <w:tcBorders>
          <w:top w:val="nil"/>
          <w:bottom w:val="single" w:sz="4" w:space="0" w:color="0C233C" w:themeColor="text2"/>
        </w:tcBorders>
        <w:vAlign w:val="center"/>
      </w:tcPr>
    </w:tblStylePr>
  </w:style>
  <w:style w:type="table" w:customStyle="1" w:styleId="FHTable2">
    <w:name w:val="FH Table2"/>
    <w:basedOn w:val="TableNormal"/>
    <w:uiPriority w:val="99"/>
    <w:rsid w:val="00223EBA"/>
    <w:pPr>
      <w:spacing w:after="0" w:line="240" w:lineRule="auto"/>
    </w:pPr>
    <w:rPr>
      <w:rFonts w:ascii="Arial" w:eastAsia="Times New Roman" w:hAnsi="Arial" w:cs="Times New Roman"/>
      <w:sz w:val="20"/>
    </w:rPr>
    <w:tblPr>
      <w:tblStyleRowBandSize w:val="1"/>
      <w:tblStyleColBandSize w:val="1"/>
      <w:tblInd w:w="0" w:type="nil"/>
      <w:tblBorders>
        <w:bottom w:val="single" w:sz="8" w:space="0" w:color="00447C"/>
        <w:insideH w:val="single" w:sz="8" w:space="0" w:color="00AEEF"/>
      </w:tblBorders>
    </w:tblPr>
    <w:tcPr>
      <w:vAlign w:val="center"/>
    </w:tcPr>
    <w:tblStylePr w:type="firstRow">
      <w:rPr>
        <w:b/>
        <w:color w:val="FFFFFF"/>
      </w:rPr>
      <w:tblPr/>
      <w:tcPr>
        <w:tcBorders>
          <w:top w:val="nil"/>
          <w:left w:val="nil"/>
          <w:bottom w:val="single" w:sz="4" w:space="0" w:color="00447C"/>
          <w:right w:val="nil"/>
          <w:insideH w:val="nil"/>
          <w:insideV w:val="nil"/>
          <w:tl2br w:val="nil"/>
          <w:tr2bl w:val="nil"/>
        </w:tcBorders>
        <w:shd w:val="clear" w:color="auto" w:fill="00447C"/>
      </w:tcPr>
    </w:tblStylePr>
    <w:tblStylePr w:type="lastRow">
      <w:rPr>
        <w:b/>
        <w:color w:val="00447C"/>
      </w:rPr>
      <w:tblPr/>
      <w:tcPr>
        <w:tcBorders>
          <w:top w:val="single" w:sz="8" w:space="0" w:color="00AEEF"/>
          <w:left w:val="nil"/>
          <w:bottom w:val="single" w:sz="12" w:space="0" w:color="00AEEF"/>
          <w:right w:val="nil"/>
          <w:insideH w:val="nil"/>
          <w:insideV w:val="nil"/>
          <w:tl2br w:val="nil"/>
          <w:tr2bl w:val="nil"/>
        </w:tcBorders>
        <w:shd w:val="clear" w:color="auto" w:fill="D2DDE4"/>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8FCFE"/>
      </w:tcPr>
    </w:tblStylePr>
  </w:style>
  <w:style w:type="character" w:customStyle="1" w:styleId="ListBulletChar">
    <w:name w:val="List Bullet Char"/>
    <w:basedOn w:val="DefaultParagraphFont"/>
    <w:link w:val="ListBullet"/>
    <w:uiPriority w:val="99"/>
    <w:rsid w:val="0019756D"/>
    <w:rPr>
      <w:rFonts w:ascii="Arial" w:hAnsi="Arial"/>
      <w:sz w:val="20"/>
    </w:rPr>
  </w:style>
  <w:style w:type="paragraph" w:customStyle="1" w:styleId="SectionTitle">
    <w:name w:val="Section Title"/>
    <w:link w:val="SectionTitleChar"/>
    <w:rsid w:val="004545C5"/>
    <w:pPr>
      <w:pageBreakBefore/>
      <w:framePr w:w="7825" w:wrap="notBeside" w:vAnchor="page" w:hAnchor="text" w:y="1475" w:anchorLock="1"/>
      <w:pBdr>
        <w:bottom w:val="single" w:sz="8" w:space="0" w:color="E7E6E6" w:themeColor="background2"/>
      </w:pBdr>
      <w:outlineLvl w:val="0"/>
    </w:pPr>
    <w:rPr>
      <w:b/>
      <w:color w:val="0C233C" w:themeColor="text2"/>
      <w:sz w:val="40"/>
    </w:rPr>
  </w:style>
  <w:style w:type="character" w:customStyle="1" w:styleId="SectionTitleChar">
    <w:name w:val="Section Title Char"/>
    <w:basedOn w:val="DefaultParagraphFont"/>
    <w:link w:val="SectionTitle"/>
    <w:rsid w:val="004545C5"/>
    <w:rPr>
      <w:b/>
      <w:color w:val="0C233C" w:themeColor="text2"/>
      <w:sz w:val="40"/>
    </w:rPr>
  </w:style>
  <w:style w:type="paragraph" w:customStyle="1" w:styleId="Tablefootnote">
    <w:name w:val="Table footnote"/>
    <w:basedOn w:val="Normal"/>
    <w:uiPriority w:val="99"/>
    <w:rsid w:val="00EE7F81"/>
    <w:pPr>
      <w:spacing w:after="0"/>
    </w:pPr>
    <w:rPr>
      <w:rFonts w:cs="Arial"/>
      <w:i/>
      <w:iCs/>
      <w:sz w:val="16"/>
      <w:szCs w:val="16"/>
    </w:rPr>
  </w:style>
  <w:style w:type="paragraph" w:customStyle="1" w:styleId="Glossaryheading">
    <w:name w:val="Glossary heading"/>
    <w:basedOn w:val="Heading1Noshow"/>
    <w:uiPriority w:val="99"/>
    <w:rsid w:val="0011702A"/>
    <w:pPr>
      <w:spacing w:line="168" w:lineRule="auto"/>
    </w:pPr>
    <w:rPr>
      <w:color w:val="00338D" w:themeColor="accent1"/>
      <w:sz w:val="96"/>
      <w:szCs w:val="28"/>
    </w:rPr>
  </w:style>
  <w:style w:type="paragraph" w:styleId="Title">
    <w:name w:val="Title"/>
    <w:basedOn w:val="Normal"/>
    <w:next w:val="Normal"/>
    <w:link w:val="TitleChar"/>
    <w:uiPriority w:val="10"/>
    <w:rsid w:val="0007315C"/>
    <w:pPr>
      <w:spacing w:after="240" w:line="168" w:lineRule="auto"/>
    </w:pPr>
    <w:rPr>
      <w:rFonts w:ascii="KPMG Bold" w:hAnsi="KPMG Bold"/>
      <w:noProof/>
      <w:color w:val="FFFFFF" w:themeColor="background1"/>
      <w:sz w:val="104"/>
      <w:szCs w:val="222"/>
      <w:lang w:eastAsia="en-AU"/>
    </w:rPr>
  </w:style>
  <w:style w:type="character" w:customStyle="1" w:styleId="TitleChar">
    <w:name w:val="Title Char"/>
    <w:basedOn w:val="DefaultParagraphFont"/>
    <w:link w:val="Title"/>
    <w:uiPriority w:val="10"/>
    <w:rsid w:val="0007315C"/>
    <w:rPr>
      <w:rFonts w:ascii="KPMG Bold" w:hAnsi="KPMG Bold"/>
      <w:noProof/>
      <w:color w:val="FFFFFF" w:themeColor="background1"/>
      <w:sz w:val="104"/>
      <w:szCs w:val="222"/>
      <w:lang w:eastAsia="en-AU"/>
    </w:rPr>
  </w:style>
  <w:style w:type="paragraph" w:styleId="Subtitle">
    <w:name w:val="Subtitle"/>
    <w:basedOn w:val="Normal"/>
    <w:next w:val="Normal"/>
    <w:link w:val="SubtitleChar"/>
    <w:uiPriority w:val="11"/>
    <w:rsid w:val="0007286C"/>
    <w:pPr>
      <w:numPr>
        <w:ilvl w:val="1"/>
      </w:numPr>
      <w:spacing w:before="0" w:after="240" w:line="276" w:lineRule="auto"/>
    </w:pPr>
    <w:rPr>
      <w:rFonts w:eastAsiaTheme="minorEastAsia"/>
      <w:color w:val="FFFFFF" w:themeColor="background1"/>
      <w:sz w:val="28"/>
    </w:rPr>
  </w:style>
  <w:style w:type="character" w:customStyle="1" w:styleId="SubtitleChar">
    <w:name w:val="Subtitle Char"/>
    <w:basedOn w:val="DefaultParagraphFont"/>
    <w:link w:val="Subtitle"/>
    <w:uiPriority w:val="11"/>
    <w:rsid w:val="0007286C"/>
    <w:rPr>
      <w:rFonts w:eastAsiaTheme="minorEastAsia"/>
      <w:color w:val="FFFFFF" w:themeColor="background1"/>
      <w:sz w:val="28"/>
    </w:rPr>
  </w:style>
  <w:style w:type="paragraph" w:styleId="ListNumber">
    <w:name w:val="List Number"/>
    <w:basedOn w:val="Normal"/>
    <w:uiPriority w:val="9"/>
    <w:unhideWhenUsed/>
    <w:qFormat/>
    <w:rsid w:val="00896985"/>
    <w:pPr>
      <w:numPr>
        <w:numId w:val="16"/>
      </w:numPr>
      <w:spacing w:before="0" w:after="100" w:line="259" w:lineRule="auto"/>
      <w:ind w:left="284" w:hanging="284"/>
    </w:pPr>
  </w:style>
  <w:style w:type="paragraph" w:styleId="ListNumber2">
    <w:name w:val="List Number 2"/>
    <w:basedOn w:val="Normal"/>
    <w:uiPriority w:val="9"/>
    <w:unhideWhenUsed/>
    <w:rsid w:val="00896985"/>
    <w:pPr>
      <w:numPr>
        <w:ilvl w:val="1"/>
        <w:numId w:val="16"/>
      </w:numPr>
      <w:spacing w:before="0" w:after="160" w:line="259" w:lineRule="auto"/>
      <w:contextualSpacing/>
    </w:pPr>
  </w:style>
  <w:style w:type="paragraph" w:styleId="TOAHeading">
    <w:name w:val="toa heading"/>
    <w:basedOn w:val="Normal"/>
    <w:next w:val="Normal"/>
    <w:uiPriority w:val="99"/>
    <w:unhideWhenUsed/>
    <w:rsid w:val="0007286C"/>
    <w:pPr>
      <w:spacing w:after="160" w:line="259" w:lineRule="auto"/>
    </w:pPr>
    <w:rPr>
      <w:rFonts w:asciiTheme="majorHAnsi" w:eastAsiaTheme="majorEastAsia" w:hAnsiTheme="majorHAnsi" w:cstheme="majorBidi"/>
      <w:b/>
      <w:bCs/>
      <w:sz w:val="24"/>
      <w:szCs w:val="24"/>
    </w:rPr>
  </w:style>
  <w:style w:type="paragraph" w:styleId="TOCHeading">
    <w:name w:val="TOC Heading"/>
    <w:next w:val="Normal"/>
    <w:uiPriority w:val="39"/>
    <w:unhideWhenUsed/>
    <w:qFormat/>
    <w:rsid w:val="00F95100"/>
    <w:pPr>
      <w:framePr w:w="7825" w:wrap="around" w:vAnchor="page" w:hAnchor="text" w:y="1475" w:anchorLock="1"/>
      <w:pBdr>
        <w:bottom w:val="single" w:sz="8" w:space="0" w:color="E7E6E6" w:themeColor="background2"/>
      </w:pBdr>
    </w:pPr>
    <w:rPr>
      <w:rFonts w:ascii="Arial" w:hAnsi="Arial"/>
      <w:b/>
      <w:color w:val="0C233C" w:themeColor="text2"/>
      <w:sz w:val="36"/>
    </w:rPr>
  </w:style>
  <w:style w:type="paragraph" w:customStyle="1" w:styleId="SectionTitleNumbered">
    <w:name w:val="Section Title Numbered"/>
    <w:basedOn w:val="SectionTitle"/>
    <w:next w:val="Normal"/>
    <w:link w:val="SectionTitleNumberedChar"/>
    <w:rsid w:val="0007286C"/>
    <w:pPr>
      <w:framePr w:wrap="notBeside"/>
      <w:numPr>
        <w:numId w:val="17"/>
      </w:numPr>
      <w:ind w:left="680" w:hanging="680"/>
    </w:pPr>
  </w:style>
  <w:style w:type="character" w:styleId="PlaceholderText">
    <w:name w:val="Placeholder Text"/>
    <w:basedOn w:val="DefaultParagraphFont"/>
    <w:uiPriority w:val="99"/>
    <w:semiHidden/>
    <w:rsid w:val="0007286C"/>
    <w:rPr>
      <w:color w:val="808080"/>
    </w:rPr>
  </w:style>
  <w:style w:type="character" w:customStyle="1" w:styleId="SectionTitleNumberedChar">
    <w:name w:val="Section Title Numbered Char"/>
    <w:basedOn w:val="SectionTitleChar"/>
    <w:link w:val="SectionTitleNumbered"/>
    <w:rsid w:val="0007286C"/>
    <w:rPr>
      <w:b/>
      <w:color w:val="0C233C" w:themeColor="text2"/>
      <w:sz w:val="40"/>
    </w:rPr>
  </w:style>
  <w:style w:type="character" w:styleId="PageNumber">
    <w:name w:val="page number"/>
    <w:basedOn w:val="DefaultParagraphFont"/>
    <w:uiPriority w:val="39"/>
    <w:unhideWhenUsed/>
    <w:rsid w:val="0007286C"/>
    <w:rPr>
      <w:rFonts w:asciiTheme="minorHAnsi" w:hAnsiTheme="minorHAnsi"/>
      <w:color w:val="FFFFFF" w:themeColor="background1"/>
      <w:sz w:val="16"/>
      <w:bdr w:val="none" w:sz="0" w:space="0" w:color="auto"/>
    </w:rPr>
  </w:style>
  <w:style w:type="table" w:customStyle="1" w:styleId="FooterFrame">
    <w:name w:val="Footer Frame"/>
    <w:basedOn w:val="TableNormal"/>
    <w:uiPriority w:val="99"/>
    <w:rsid w:val="0007286C"/>
    <w:pPr>
      <w:spacing w:after="0" w:line="240" w:lineRule="auto"/>
    </w:pPr>
    <w:rPr>
      <w:rFonts w:ascii="DIN Pro" w:hAnsi="DIN Pro"/>
      <w:color w:val="0C233C" w:themeColor="text2"/>
      <w:sz w:val="16"/>
    </w:rPr>
    <w:tblPr>
      <w:tblBorders>
        <w:top w:val="single" w:sz="4" w:space="0" w:color="E7E6E6" w:themeColor="background2"/>
      </w:tblBorders>
      <w:tblCellMar>
        <w:left w:w="0" w:type="dxa"/>
        <w:right w:w="0" w:type="dxa"/>
      </w:tblCellMar>
    </w:tblPr>
    <w:tcPr>
      <w:vAlign w:val="bottom"/>
    </w:tcPr>
    <w:tblStylePr w:type="lastCol">
      <w:pPr>
        <w:jc w:val="center"/>
      </w:pPr>
      <w:rPr>
        <w:rFonts w:asciiTheme="minorHAnsi" w:hAnsiTheme="minorHAnsi"/>
        <w:color w:val="FFFFFF" w:themeColor="background1"/>
        <w:sz w:val="16"/>
      </w:rPr>
      <w:tblPr/>
      <w:tcPr>
        <w:tcBorders>
          <w:top w:val="nil"/>
          <w:left w:val="nil"/>
          <w:bottom w:val="nil"/>
          <w:right w:val="nil"/>
          <w:insideH w:val="nil"/>
          <w:insideV w:val="nil"/>
          <w:tl2br w:val="nil"/>
          <w:tr2bl w:val="nil"/>
        </w:tcBorders>
        <w:shd w:val="clear" w:color="auto" w:fill="0C233C" w:themeFill="text2"/>
      </w:tcPr>
    </w:tblStylePr>
  </w:style>
  <w:style w:type="numbering" w:customStyle="1" w:styleId="NumberedList">
    <w:name w:val="Numbered List"/>
    <w:uiPriority w:val="99"/>
    <w:rsid w:val="0007286C"/>
    <w:pPr>
      <w:numPr>
        <w:numId w:val="18"/>
      </w:numPr>
    </w:pPr>
  </w:style>
  <w:style w:type="numbering" w:customStyle="1" w:styleId="Bullets">
    <w:name w:val="Bullets"/>
    <w:uiPriority w:val="99"/>
    <w:rsid w:val="0007286C"/>
    <w:pPr>
      <w:numPr>
        <w:numId w:val="19"/>
      </w:numPr>
    </w:pPr>
  </w:style>
  <w:style w:type="table" w:customStyle="1" w:styleId="CoverFrame">
    <w:name w:val="Cover Frame"/>
    <w:basedOn w:val="TableNormal"/>
    <w:uiPriority w:val="99"/>
    <w:rsid w:val="0007286C"/>
    <w:pPr>
      <w:spacing w:after="0" w:line="240" w:lineRule="auto"/>
    </w:pPr>
    <w:tblPr>
      <w:tblCellMar>
        <w:left w:w="0" w:type="dxa"/>
        <w:right w:w="0" w:type="dxa"/>
      </w:tblCellMar>
    </w:tblPr>
    <w:tblStylePr w:type="lastCol">
      <w:tblPr/>
      <w:tcPr>
        <w:shd w:val="clear" w:color="auto" w:fill="0C233C" w:themeFill="text2"/>
      </w:tcPr>
    </w:tblStylePr>
  </w:style>
  <w:style w:type="paragraph" w:styleId="Date">
    <w:name w:val="Date"/>
    <w:basedOn w:val="Normal"/>
    <w:next w:val="Normal"/>
    <w:link w:val="DateChar"/>
    <w:uiPriority w:val="99"/>
    <w:unhideWhenUsed/>
    <w:rsid w:val="00550FF4"/>
    <w:pPr>
      <w:spacing w:before="5200"/>
    </w:pPr>
    <w:rPr>
      <w:color w:val="FFFFFF" w:themeColor="background1"/>
    </w:rPr>
  </w:style>
  <w:style w:type="character" w:customStyle="1" w:styleId="DateChar">
    <w:name w:val="Date Char"/>
    <w:basedOn w:val="DefaultParagraphFont"/>
    <w:link w:val="Date"/>
    <w:uiPriority w:val="99"/>
    <w:rsid w:val="00550FF4"/>
    <w:rPr>
      <w:rFonts w:ascii="Arial" w:hAnsi="Arial"/>
      <w:color w:val="FFFFFF" w:themeColor="background1"/>
      <w:sz w:val="20"/>
    </w:rPr>
  </w:style>
  <w:style w:type="paragraph" w:customStyle="1" w:styleId="Author">
    <w:name w:val="Author"/>
    <w:basedOn w:val="Subtitle"/>
    <w:link w:val="AuthorChar"/>
    <w:rsid w:val="0007286C"/>
    <w:pPr>
      <w:spacing w:after="320"/>
    </w:pPr>
  </w:style>
  <w:style w:type="character" w:customStyle="1" w:styleId="AuthorChar">
    <w:name w:val="Author Char"/>
    <w:basedOn w:val="SubtitleChar"/>
    <w:link w:val="Author"/>
    <w:rsid w:val="0007286C"/>
    <w:rPr>
      <w:rFonts w:eastAsiaTheme="minorEastAsia"/>
      <w:color w:val="FFFFFF" w:themeColor="background1"/>
      <w:sz w:val="28"/>
    </w:rPr>
  </w:style>
  <w:style w:type="paragraph" w:customStyle="1" w:styleId="Introduction">
    <w:name w:val="Introduction"/>
    <w:basedOn w:val="Normal"/>
    <w:link w:val="IntroductionChar"/>
    <w:rsid w:val="0007286C"/>
    <w:pPr>
      <w:spacing w:before="0" w:after="360" w:line="312" w:lineRule="auto"/>
    </w:pPr>
    <w:rPr>
      <w:color w:val="00338D" w:themeColor="accent1"/>
      <w:sz w:val="24"/>
    </w:rPr>
  </w:style>
  <w:style w:type="paragraph" w:styleId="TOC3">
    <w:name w:val="toc 3"/>
    <w:basedOn w:val="TOC2"/>
    <w:next w:val="Normal"/>
    <w:autoRedefine/>
    <w:uiPriority w:val="39"/>
    <w:unhideWhenUsed/>
    <w:rsid w:val="00AE6A35"/>
    <w:pPr>
      <w:tabs>
        <w:tab w:val="left" w:pos="0"/>
        <w:tab w:val="left" w:pos="540"/>
        <w:tab w:val="left" w:pos="907"/>
        <w:tab w:val="left" w:pos="9015"/>
      </w:tabs>
      <w:spacing w:before="0" w:after="160"/>
      <w:ind w:left="0"/>
    </w:pPr>
    <w:rPr>
      <w:sz w:val="16"/>
    </w:rPr>
  </w:style>
  <w:style w:type="paragraph" w:styleId="TOC4">
    <w:name w:val="toc 4"/>
    <w:basedOn w:val="TOC3"/>
    <w:next w:val="Normal"/>
    <w:autoRedefine/>
    <w:uiPriority w:val="39"/>
    <w:unhideWhenUsed/>
    <w:rsid w:val="0007286C"/>
    <w:pPr>
      <w:ind w:left="1361"/>
    </w:pPr>
  </w:style>
  <w:style w:type="table" w:customStyle="1" w:styleId="Frame">
    <w:name w:val="Frame"/>
    <w:basedOn w:val="TableNormal"/>
    <w:uiPriority w:val="99"/>
    <w:rsid w:val="0007286C"/>
    <w:pPr>
      <w:spacing w:after="0" w:line="240" w:lineRule="auto"/>
    </w:pPr>
    <w:tblPr>
      <w:tblCellMar>
        <w:left w:w="0" w:type="dxa"/>
        <w:right w:w="0" w:type="dxa"/>
      </w:tblCellMar>
    </w:tblPr>
  </w:style>
  <w:style w:type="character" w:customStyle="1" w:styleId="IntroductionChar">
    <w:name w:val="Introduction Char"/>
    <w:basedOn w:val="DefaultParagraphFont"/>
    <w:link w:val="Introduction"/>
    <w:rsid w:val="0007286C"/>
    <w:rPr>
      <w:color w:val="00338D" w:themeColor="accent1"/>
      <w:sz w:val="24"/>
    </w:rPr>
  </w:style>
  <w:style w:type="paragraph" w:customStyle="1" w:styleId="TableTitle">
    <w:name w:val="Table Title"/>
    <w:basedOn w:val="Normal"/>
    <w:link w:val="TableTitleChar"/>
    <w:rsid w:val="0007286C"/>
    <w:pPr>
      <w:spacing w:before="240" w:after="160" w:line="259" w:lineRule="auto"/>
    </w:pPr>
    <w:rPr>
      <w:color w:val="0C233C" w:themeColor="text2"/>
    </w:rPr>
  </w:style>
  <w:style w:type="character" w:customStyle="1" w:styleId="TableTitleChar">
    <w:name w:val="Table Title Char"/>
    <w:basedOn w:val="DefaultParagraphFont"/>
    <w:link w:val="TableTitle"/>
    <w:rsid w:val="0007286C"/>
    <w:rPr>
      <w:color w:val="0C233C" w:themeColor="text2"/>
      <w:sz w:val="20"/>
    </w:rPr>
  </w:style>
  <w:style w:type="paragraph" w:styleId="TOC5">
    <w:name w:val="toc 5"/>
    <w:basedOn w:val="TOC4"/>
    <w:next w:val="Normal"/>
    <w:autoRedefine/>
    <w:uiPriority w:val="39"/>
    <w:unhideWhenUsed/>
    <w:rsid w:val="0007286C"/>
    <w:pPr>
      <w:ind w:left="1814"/>
    </w:pPr>
  </w:style>
  <w:style w:type="character" w:customStyle="1" w:styleId="ExampleStyleChar">
    <w:name w:val="Example Style Char"/>
    <w:link w:val="ExampleStyle"/>
    <w:uiPriority w:val="99"/>
    <w:locked/>
    <w:rsid w:val="0007286C"/>
    <w:rPr>
      <w:rFonts w:ascii="Verdana" w:hAnsi="Verdana"/>
      <w:i/>
      <w:kern w:val="32"/>
      <w:sz w:val="16"/>
      <w:shd w:val="clear" w:color="auto" w:fill="C6D9F1"/>
      <w:lang w:val="x-none" w:eastAsia="x-none"/>
    </w:rPr>
  </w:style>
  <w:style w:type="paragraph" w:customStyle="1" w:styleId="ExampleStyle">
    <w:name w:val="Example Style"/>
    <w:basedOn w:val="Normal"/>
    <w:link w:val="ExampleStyleChar"/>
    <w:uiPriority w:val="99"/>
    <w:rsid w:val="0007286C"/>
    <w:pPr>
      <w:widowControl w:val="0"/>
      <w:shd w:val="clear" w:color="auto" w:fill="C6D9F1"/>
      <w:tabs>
        <w:tab w:val="left" w:pos="12474"/>
      </w:tabs>
      <w:spacing w:before="60" w:after="240"/>
      <w:ind w:left="204"/>
      <w:contextualSpacing/>
    </w:pPr>
    <w:rPr>
      <w:rFonts w:ascii="Verdana" w:hAnsi="Verdana"/>
      <w:i/>
      <w:kern w:val="32"/>
      <w:sz w:val="16"/>
      <w:lang w:val="x-none" w:eastAsia="x-none"/>
    </w:rPr>
  </w:style>
  <w:style w:type="numbering" w:customStyle="1" w:styleId="abcList">
    <w:name w:val="a.b.c List"/>
    <w:rsid w:val="0007286C"/>
    <w:pPr>
      <w:numPr>
        <w:numId w:val="20"/>
      </w:numPr>
    </w:pPr>
  </w:style>
  <w:style w:type="numbering" w:customStyle="1" w:styleId="TableBullets">
    <w:name w:val="Table Bullets"/>
    <w:basedOn w:val="NoList"/>
    <w:uiPriority w:val="99"/>
    <w:rsid w:val="0007286C"/>
    <w:pPr>
      <w:numPr>
        <w:numId w:val="21"/>
      </w:numPr>
    </w:pPr>
  </w:style>
  <w:style w:type="paragraph" w:customStyle="1" w:styleId="TableParagraph">
    <w:name w:val="Table Paragraph"/>
    <w:basedOn w:val="Normal"/>
    <w:uiPriority w:val="1"/>
    <w:rsid w:val="0007286C"/>
    <w:pPr>
      <w:widowControl w:val="0"/>
      <w:autoSpaceDE w:val="0"/>
      <w:autoSpaceDN w:val="0"/>
      <w:spacing w:before="0" w:after="0"/>
      <w:ind w:left="107"/>
    </w:pPr>
    <w:rPr>
      <w:rFonts w:eastAsia="Arial" w:cs="Arial"/>
      <w:sz w:val="22"/>
      <w:lang w:eastAsia="en-AU" w:bidi="en-AU"/>
    </w:rPr>
  </w:style>
  <w:style w:type="table" w:styleId="GridTable3-Accent1">
    <w:name w:val="Grid Table 3 Accent 1"/>
    <w:basedOn w:val="TableNormal"/>
    <w:uiPriority w:val="48"/>
    <w:rsid w:val="0007286C"/>
    <w:pPr>
      <w:widowControl w:val="0"/>
      <w:autoSpaceDE w:val="0"/>
      <w:autoSpaceDN w:val="0"/>
      <w:spacing w:after="0" w:line="240" w:lineRule="auto"/>
    </w:pPr>
    <w:rPr>
      <w:lang w:val="en-US"/>
    </w:rPr>
    <w:tblPr>
      <w:tblStyleRowBandSize w:val="1"/>
      <w:tblStyleColBandSize w:val="1"/>
      <w:tblBorders>
        <w:top w:val="single" w:sz="4" w:space="0" w:color="2171FF" w:themeColor="accent1" w:themeTint="99"/>
        <w:left w:val="single" w:sz="4" w:space="0" w:color="2171FF" w:themeColor="accent1" w:themeTint="99"/>
        <w:bottom w:val="single" w:sz="4" w:space="0" w:color="2171FF" w:themeColor="accent1" w:themeTint="99"/>
        <w:right w:val="single" w:sz="4" w:space="0" w:color="2171FF" w:themeColor="accent1" w:themeTint="99"/>
        <w:insideH w:val="single" w:sz="4" w:space="0" w:color="2171FF" w:themeColor="accent1" w:themeTint="99"/>
        <w:insideV w:val="single" w:sz="4" w:space="0" w:color="2171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CFFF" w:themeFill="accent1" w:themeFillTint="33"/>
      </w:tcPr>
    </w:tblStylePr>
    <w:tblStylePr w:type="band1Horz">
      <w:tblPr/>
      <w:tcPr>
        <w:shd w:val="clear" w:color="auto" w:fill="B5CFFF" w:themeFill="accent1" w:themeFillTint="33"/>
      </w:tcPr>
    </w:tblStylePr>
    <w:tblStylePr w:type="neCell">
      <w:tblPr/>
      <w:tcPr>
        <w:tcBorders>
          <w:bottom w:val="single" w:sz="4" w:space="0" w:color="2171FF" w:themeColor="accent1" w:themeTint="99"/>
        </w:tcBorders>
      </w:tcPr>
    </w:tblStylePr>
    <w:tblStylePr w:type="nwCell">
      <w:tblPr/>
      <w:tcPr>
        <w:tcBorders>
          <w:bottom w:val="single" w:sz="4" w:space="0" w:color="2171FF" w:themeColor="accent1" w:themeTint="99"/>
        </w:tcBorders>
      </w:tcPr>
    </w:tblStylePr>
    <w:tblStylePr w:type="seCell">
      <w:tblPr/>
      <w:tcPr>
        <w:tcBorders>
          <w:top w:val="single" w:sz="4" w:space="0" w:color="2171FF" w:themeColor="accent1" w:themeTint="99"/>
        </w:tcBorders>
      </w:tcPr>
    </w:tblStylePr>
    <w:tblStylePr w:type="swCell">
      <w:tblPr/>
      <w:tcPr>
        <w:tcBorders>
          <w:top w:val="single" w:sz="4" w:space="0" w:color="2171FF" w:themeColor="accent1" w:themeTint="99"/>
        </w:tcBorders>
      </w:tcPr>
    </w:tblStylePr>
  </w:style>
  <w:style w:type="numbering" w:customStyle="1" w:styleId="ABList2">
    <w:name w:val="A/B List2"/>
    <w:basedOn w:val="NoList"/>
    <w:rsid w:val="0007286C"/>
  </w:style>
  <w:style w:type="numbering" w:styleId="111111">
    <w:name w:val="Outline List 2"/>
    <w:basedOn w:val="NoList"/>
    <w:uiPriority w:val="99"/>
    <w:semiHidden/>
    <w:unhideWhenUsed/>
    <w:rsid w:val="0007286C"/>
    <w:pPr>
      <w:numPr>
        <w:numId w:val="22"/>
      </w:numPr>
    </w:pPr>
  </w:style>
  <w:style w:type="numbering" w:styleId="1ai">
    <w:name w:val="Outline List 1"/>
    <w:basedOn w:val="NoList"/>
    <w:uiPriority w:val="99"/>
    <w:semiHidden/>
    <w:unhideWhenUsed/>
    <w:rsid w:val="0007286C"/>
    <w:pPr>
      <w:numPr>
        <w:numId w:val="23"/>
      </w:numPr>
    </w:pPr>
  </w:style>
  <w:style w:type="numbering" w:styleId="ArticleSection">
    <w:name w:val="Outline List 3"/>
    <w:basedOn w:val="NoList"/>
    <w:uiPriority w:val="99"/>
    <w:semiHidden/>
    <w:unhideWhenUsed/>
    <w:rsid w:val="0007286C"/>
    <w:pPr>
      <w:numPr>
        <w:numId w:val="24"/>
      </w:numPr>
    </w:pPr>
  </w:style>
  <w:style w:type="paragraph" w:styleId="Bibliography">
    <w:name w:val="Bibliography"/>
    <w:basedOn w:val="Normal"/>
    <w:next w:val="Normal"/>
    <w:uiPriority w:val="37"/>
    <w:semiHidden/>
    <w:unhideWhenUsed/>
    <w:rsid w:val="0007286C"/>
    <w:pPr>
      <w:spacing w:before="0" w:after="160" w:line="259" w:lineRule="auto"/>
    </w:pPr>
    <w:rPr>
      <w:sz w:val="18"/>
    </w:rPr>
  </w:style>
  <w:style w:type="paragraph" w:styleId="BlockText">
    <w:name w:val="Block Text"/>
    <w:basedOn w:val="Normal"/>
    <w:uiPriority w:val="99"/>
    <w:semiHidden/>
    <w:unhideWhenUsed/>
    <w:rsid w:val="0007286C"/>
    <w:pPr>
      <w:pBdr>
        <w:top w:val="single" w:sz="2" w:space="10" w:color="00338D" w:themeColor="accent1"/>
        <w:left w:val="single" w:sz="2" w:space="10" w:color="00338D" w:themeColor="accent1"/>
        <w:bottom w:val="single" w:sz="2" w:space="10" w:color="00338D" w:themeColor="accent1"/>
        <w:right w:val="single" w:sz="2" w:space="10" w:color="00338D" w:themeColor="accent1"/>
      </w:pBdr>
      <w:spacing w:before="0" w:after="160" w:line="259" w:lineRule="auto"/>
      <w:ind w:left="1152" w:right="1152"/>
    </w:pPr>
    <w:rPr>
      <w:rFonts w:eastAsiaTheme="minorEastAsia"/>
      <w:i/>
      <w:iCs/>
      <w:color w:val="00338D" w:themeColor="accent1"/>
      <w:sz w:val="18"/>
    </w:rPr>
  </w:style>
  <w:style w:type="paragraph" w:styleId="BodyTextFirstIndent">
    <w:name w:val="Body Text First Indent"/>
    <w:basedOn w:val="BodyText"/>
    <w:link w:val="BodyTextFirstIndentChar"/>
    <w:uiPriority w:val="99"/>
    <w:semiHidden/>
    <w:unhideWhenUsed/>
    <w:locked/>
    <w:rsid w:val="0007286C"/>
    <w:pPr>
      <w:spacing w:before="0" w:after="160" w:line="259" w:lineRule="auto"/>
      <w:ind w:firstLine="360"/>
    </w:pPr>
    <w:rPr>
      <w:rFonts w:asciiTheme="minorHAnsi" w:hAnsiTheme="minorHAnsi"/>
      <w:sz w:val="18"/>
    </w:rPr>
  </w:style>
  <w:style w:type="character" w:customStyle="1" w:styleId="BodyTextFirstIndentChar">
    <w:name w:val="Body Text First Indent Char"/>
    <w:basedOn w:val="BodyTextChar"/>
    <w:link w:val="BodyTextFirstIndent"/>
    <w:uiPriority w:val="99"/>
    <w:semiHidden/>
    <w:rsid w:val="0007286C"/>
    <w:rPr>
      <w:rFonts w:ascii="Arial" w:hAnsi="Arial"/>
      <w:sz w:val="18"/>
    </w:rPr>
  </w:style>
  <w:style w:type="paragraph" w:styleId="BodyTextIndent">
    <w:name w:val="Body Text Indent"/>
    <w:basedOn w:val="Normal"/>
    <w:link w:val="BodyTextIndentChar"/>
    <w:uiPriority w:val="99"/>
    <w:semiHidden/>
    <w:unhideWhenUsed/>
    <w:locked/>
    <w:rsid w:val="0007286C"/>
    <w:pPr>
      <w:spacing w:before="0" w:line="259" w:lineRule="auto"/>
      <w:ind w:left="283"/>
    </w:pPr>
    <w:rPr>
      <w:sz w:val="18"/>
    </w:rPr>
  </w:style>
  <w:style w:type="character" w:customStyle="1" w:styleId="BodyTextIndentChar">
    <w:name w:val="Body Text Indent Char"/>
    <w:basedOn w:val="DefaultParagraphFont"/>
    <w:link w:val="BodyTextIndent"/>
    <w:uiPriority w:val="99"/>
    <w:semiHidden/>
    <w:rsid w:val="0007286C"/>
    <w:rPr>
      <w:sz w:val="18"/>
    </w:rPr>
  </w:style>
  <w:style w:type="paragraph" w:styleId="BodyTextFirstIndent2">
    <w:name w:val="Body Text First Indent 2"/>
    <w:basedOn w:val="BodyTextIndent"/>
    <w:link w:val="BodyTextFirstIndent2Char"/>
    <w:uiPriority w:val="99"/>
    <w:semiHidden/>
    <w:unhideWhenUsed/>
    <w:locked/>
    <w:rsid w:val="0007286C"/>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7286C"/>
    <w:rPr>
      <w:sz w:val="18"/>
    </w:rPr>
  </w:style>
  <w:style w:type="paragraph" w:styleId="BodyTextIndent2">
    <w:name w:val="Body Text Indent 2"/>
    <w:basedOn w:val="Normal"/>
    <w:link w:val="BodyTextIndent2Char"/>
    <w:uiPriority w:val="99"/>
    <w:semiHidden/>
    <w:unhideWhenUsed/>
    <w:locked/>
    <w:rsid w:val="0007286C"/>
    <w:pPr>
      <w:spacing w:before="0" w:line="480" w:lineRule="auto"/>
      <w:ind w:left="283"/>
    </w:pPr>
    <w:rPr>
      <w:sz w:val="18"/>
    </w:rPr>
  </w:style>
  <w:style w:type="character" w:customStyle="1" w:styleId="BodyTextIndent2Char">
    <w:name w:val="Body Text Indent 2 Char"/>
    <w:basedOn w:val="DefaultParagraphFont"/>
    <w:link w:val="BodyTextIndent2"/>
    <w:uiPriority w:val="99"/>
    <w:semiHidden/>
    <w:rsid w:val="0007286C"/>
    <w:rPr>
      <w:sz w:val="18"/>
    </w:rPr>
  </w:style>
  <w:style w:type="paragraph" w:styleId="BodyTextIndent3">
    <w:name w:val="Body Text Indent 3"/>
    <w:basedOn w:val="Normal"/>
    <w:link w:val="BodyTextIndent3Char"/>
    <w:uiPriority w:val="99"/>
    <w:semiHidden/>
    <w:unhideWhenUsed/>
    <w:locked/>
    <w:rsid w:val="0007286C"/>
    <w:pPr>
      <w:spacing w:before="0"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07286C"/>
    <w:rPr>
      <w:sz w:val="16"/>
      <w:szCs w:val="16"/>
    </w:rPr>
  </w:style>
  <w:style w:type="character" w:styleId="BookTitle">
    <w:name w:val="Book Title"/>
    <w:basedOn w:val="DefaultParagraphFont"/>
    <w:uiPriority w:val="33"/>
    <w:rsid w:val="0007286C"/>
    <w:rPr>
      <w:b/>
      <w:bCs/>
      <w:i/>
      <w:iCs/>
      <w:spacing w:val="5"/>
    </w:rPr>
  </w:style>
  <w:style w:type="paragraph" w:styleId="Closing">
    <w:name w:val="Closing"/>
    <w:basedOn w:val="Normal"/>
    <w:link w:val="ClosingChar"/>
    <w:uiPriority w:val="99"/>
    <w:semiHidden/>
    <w:unhideWhenUsed/>
    <w:rsid w:val="0007286C"/>
    <w:pPr>
      <w:spacing w:before="0" w:after="0"/>
      <w:ind w:left="4252"/>
    </w:pPr>
    <w:rPr>
      <w:sz w:val="18"/>
    </w:rPr>
  </w:style>
  <w:style w:type="character" w:customStyle="1" w:styleId="ClosingChar">
    <w:name w:val="Closing Char"/>
    <w:basedOn w:val="DefaultParagraphFont"/>
    <w:link w:val="Closing"/>
    <w:uiPriority w:val="99"/>
    <w:semiHidden/>
    <w:rsid w:val="0007286C"/>
    <w:rPr>
      <w:sz w:val="18"/>
    </w:rPr>
  </w:style>
  <w:style w:type="table" w:styleId="DarkList">
    <w:name w:val="Dark List"/>
    <w:basedOn w:val="TableNormal"/>
    <w:uiPriority w:val="70"/>
    <w:semiHidden/>
    <w:unhideWhenUsed/>
    <w:rsid w:val="0007286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DocumentMap">
    <w:name w:val="Document Map"/>
    <w:basedOn w:val="Normal"/>
    <w:link w:val="DocumentMapChar"/>
    <w:uiPriority w:val="99"/>
    <w:semiHidden/>
    <w:unhideWhenUsed/>
    <w:rsid w:val="0007286C"/>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7286C"/>
    <w:rPr>
      <w:rFonts w:ascii="Segoe UI" w:hAnsi="Segoe UI" w:cs="Segoe UI"/>
      <w:sz w:val="16"/>
      <w:szCs w:val="16"/>
    </w:rPr>
  </w:style>
  <w:style w:type="paragraph" w:styleId="EmailSignature">
    <w:name w:val="E-mail Signature"/>
    <w:basedOn w:val="Normal"/>
    <w:link w:val="EmailSignatureChar"/>
    <w:uiPriority w:val="99"/>
    <w:semiHidden/>
    <w:unhideWhenUsed/>
    <w:rsid w:val="0007286C"/>
    <w:pPr>
      <w:spacing w:before="0" w:after="0"/>
    </w:pPr>
    <w:rPr>
      <w:sz w:val="18"/>
    </w:rPr>
  </w:style>
  <w:style w:type="character" w:customStyle="1" w:styleId="EmailSignatureChar">
    <w:name w:val="Email Signature Char"/>
    <w:basedOn w:val="DefaultParagraphFont"/>
    <w:link w:val="EmailSignature"/>
    <w:uiPriority w:val="99"/>
    <w:semiHidden/>
    <w:rsid w:val="0007286C"/>
    <w:rPr>
      <w:sz w:val="18"/>
    </w:rPr>
  </w:style>
  <w:style w:type="character" w:styleId="EndnoteReference">
    <w:name w:val="endnote reference"/>
    <w:basedOn w:val="DefaultParagraphFont"/>
    <w:uiPriority w:val="99"/>
    <w:semiHidden/>
    <w:unhideWhenUsed/>
    <w:rsid w:val="0007286C"/>
    <w:rPr>
      <w:vertAlign w:val="superscript"/>
    </w:rPr>
  </w:style>
  <w:style w:type="paragraph" w:styleId="EndnoteText">
    <w:name w:val="endnote text"/>
    <w:basedOn w:val="Normal"/>
    <w:link w:val="EndnoteTextChar"/>
    <w:uiPriority w:val="99"/>
    <w:semiHidden/>
    <w:unhideWhenUsed/>
    <w:rsid w:val="0007286C"/>
    <w:pPr>
      <w:spacing w:before="0" w:after="0"/>
    </w:pPr>
    <w:rPr>
      <w:szCs w:val="20"/>
    </w:rPr>
  </w:style>
  <w:style w:type="character" w:customStyle="1" w:styleId="EndnoteTextChar">
    <w:name w:val="Endnote Text Char"/>
    <w:basedOn w:val="DefaultParagraphFont"/>
    <w:link w:val="EndnoteText"/>
    <w:uiPriority w:val="99"/>
    <w:semiHidden/>
    <w:rsid w:val="0007286C"/>
    <w:rPr>
      <w:sz w:val="20"/>
      <w:szCs w:val="20"/>
    </w:rPr>
  </w:style>
  <w:style w:type="paragraph" w:styleId="EnvelopeAddress">
    <w:name w:val="envelope address"/>
    <w:basedOn w:val="Normal"/>
    <w:uiPriority w:val="99"/>
    <w:semiHidden/>
    <w:unhideWhenUsed/>
    <w:rsid w:val="0007286C"/>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7286C"/>
    <w:pPr>
      <w:spacing w:before="0" w:after="0"/>
    </w:pPr>
    <w:rPr>
      <w:rFonts w:asciiTheme="majorHAnsi" w:eastAsiaTheme="majorEastAsia" w:hAnsiTheme="majorHAnsi" w:cstheme="majorBidi"/>
      <w:szCs w:val="20"/>
    </w:rPr>
  </w:style>
  <w:style w:type="table" w:styleId="GridTable1Light">
    <w:name w:val="Grid Table 1 Light"/>
    <w:basedOn w:val="TableNormal"/>
    <w:uiPriority w:val="46"/>
    <w:rsid w:val="000728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C6A1D"/>
    <w:pPr>
      <w:spacing w:after="0" w:line="240" w:lineRule="auto"/>
    </w:pPr>
    <w:tblPr>
      <w:tblStyleRowBandSize w:val="1"/>
      <w:tblStyleColBandSize w:val="1"/>
      <w:tblBorders>
        <w:top w:val="single" w:sz="4" w:space="0" w:color="6BA0FF" w:themeColor="accent1" w:themeTint="66"/>
        <w:left w:val="single" w:sz="4" w:space="0" w:color="6BA0FF" w:themeColor="accent1" w:themeTint="66"/>
        <w:bottom w:val="single" w:sz="4" w:space="0" w:color="6BA0FF" w:themeColor="accent1" w:themeTint="66"/>
        <w:right w:val="single" w:sz="4" w:space="0" w:color="6BA0FF" w:themeColor="accent1" w:themeTint="66"/>
        <w:insideH w:val="single" w:sz="4" w:space="0" w:color="6BA0FF" w:themeColor="accent1" w:themeTint="66"/>
        <w:insideV w:val="single" w:sz="4" w:space="0" w:color="6BA0FF" w:themeColor="accent1" w:themeTint="66"/>
      </w:tblBorders>
    </w:tblPr>
    <w:tblStylePr w:type="firstRow">
      <w:rPr>
        <w:b/>
        <w:bCs/>
        <w:color w:val="1E49E2" w:themeColor="accent2"/>
      </w:rPr>
      <w:tblPr/>
      <w:tcPr>
        <w:tcBorders>
          <w:bottom w:val="single" w:sz="12" w:space="0" w:color="2171FF" w:themeColor="accent1" w:themeTint="99"/>
        </w:tcBorders>
      </w:tcPr>
    </w:tblStylePr>
    <w:tblStylePr w:type="lastRow">
      <w:rPr>
        <w:b/>
        <w:bCs/>
      </w:rPr>
      <w:tblPr/>
      <w:tcPr>
        <w:tcBorders>
          <w:top w:val="double" w:sz="2" w:space="0" w:color="2171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7286C"/>
    <w:pPr>
      <w:spacing w:after="0" w:line="240" w:lineRule="auto"/>
    </w:pPr>
    <w:tblPr>
      <w:tblStyleRowBandSize w:val="1"/>
      <w:tblStyleColBandSize w:val="1"/>
      <w:tblBorders>
        <w:top w:val="single" w:sz="4" w:space="0" w:color="A4B5F3" w:themeColor="accent2" w:themeTint="66"/>
        <w:left w:val="single" w:sz="4" w:space="0" w:color="A4B5F3" w:themeColor="accent2" w:themeTint="66"/>
        <w:bottom w:val="single" w:sz="4" w:space="0" w:color="A4B5F3" w:themeColor="accent2" w:themeTint="66"/>
        <w:right w:val="single" w:sz="4" w:space="0" w:color="A4B5F3" w:themeColor="accent2" w:themeTint="66"/>
        <w:insideH w:val="single" w:sz="4" w:space="0" w:color="A4B5F3" w:themeColor="accent2" w:themeTint="66"/>
        <w:insideV w:val="single" w:sz="4" w:space="0" w:color="A4B5F3" w:themeColor="accent2" w:themeTint="66"/>
      </w:tblBorders>
    </w:tblPr>
    <w:tblStylePr w:type="firstRow">
      <w:rPr>
        <w:b/>
        <w:bCs/>
      </w:rPr>
      <w:tblPr/>
      <w:tcPr>
        <w:tcBorders>
          <w:bottom w:val="single" w:sz="12" w:space="0" w:color="7791ED" w:themeColor="accent2" w:themeTint="99"/>
        </w:tcBorders>
      </w:tcPr>
    </w:tblStylePr>
    <w:tblStylePr w:type="lastRow">
      <w:rPr>
        <w:b/>
        <w:bCs/>
      </w:rPr>
      <w:tblPr/>
      <w:tcPr>
        <w:tcBorders>
          <w:top w:val="double" w:sz="2" w:space="0" w:color="7791E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7286C"/>
    <w:pPr>
      <w:spacing w:after="0" w:line="240" w:lineRule="auto"/>
    </w:pPr>
    <w:tblPr>
      <w:tblStyleRowBandSize w:val="1"/>
      <w:tblStyleColBandSize w:val="1"/>
      <w:tblBorders>
        <w:top w:val="single" w:sz="4" w:space="0" w:color="6CA4E1" w:themeColor="accent3" w:themeTint="66"/>
        <w:left w:val="single" w:sz="4" w:space="0" w:color="6CA4E1" w:themeColor="accent3" w:themeTint="66"/>
        <w:bottom w:val="single" w:sz="4" w:space="0" w:color="6CA4E1" w:themeColor="accent3" w:themeTint="66"/>
        <w:right w:val="single" w:sz="4" w:space="0" w:color="6CA4E1" w:themeColor="accent3" w:themeTint="66"/>
        <w:insideH w:val="single" w:sz="4" w:space="0" w:color="6CA4E1" w:themeColor="accent3" w:themeTint="66"/>
        <w:insideV w:val="single" w:sz="4" w:space="0" w:color="6CA4E1" w:themeColor="accent3" w:themeTint="66"/>
      </w:tblBorders>
    </w:tblPr>
    <w:tblStylePr w:type="firstRow">
      <w:rPr>
        <w:b/>
        <w:bCs/>
      </w:rPr>
      <w:tblPr/>
      <w:tcPr>
        <w:tcBorders>
          <w:bottom w:val="single" w:sz="12" w:space="0" w:color="2977CD" w:themeColor="accent3" w:themeTint="99"/>
        </w:tcBorders>
      </w:tcPr>
    </w:tblStylePr>
    <w:tblStylePr w:type="lastRow">
      <w:rPr>
        <w:b/>
        <w:bCs/>
      </w:rPr>
      <w:tblPr/>
      <w:tcPr>
        <w:tcBorders>
          <w:top w:val="double" w:sz="2" w:space="0" w:color="2977C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7286C"/>
    <w:pPr>
      <w:spacing w:after="0" w:line="240" w:lineRule="auto"/>
    </w:pPr>
    <w:tblPr>
      <w:tblStyleRowBandSize w:val="1"/>
      <w:tblStyleColBandSize w:val="1"/>
      <w:tblBorders>
        <w:top w:val="single" w:sz="4" w:space="0" w:color="95E4FF" w:themeColor="accent4" w:themeTint="66"/>
        <w:left w:val="single" w:sz="4" w:space="0" w:color="95E4FF" w:themeColor="accent4" w:themeTint="66"/>
        <w:bottom w:val="single" w:sz="4" w:space="0" w:color="95E4FF" w:themeColor="accent4" w:themeTint="66"/>
        <w:right w:val="single" w:sz="4" w:space="0" w:color="95E4FF" w:themeColor="accent4" w:themeTint="66"/>
        <w:insideH w:val="single" w:sz="4" w:space="0" w:color="95E4FF" w:themeColor="accent4" w:themeTint="66"/>
        <w:insideV w:val="single" w:sz="4" w:space="0" w:color="95E4FF" w:themeColor="accent4" w:themeTint="66"/>
      </w:tblBorders>
    </w:tblPr>
    <w:tblStylePr w:type="firstRow">
      <w:rPr>
        <w:b/>
        <w:bCs/>
      </w:rPr>
      <w:tblPr/>
      <w:tcPr>
        <w:tcBorders>
          <w:bottom w:val="single" w:sz="12" w:space="0" w:color="60D7FF" w:themeColor="accent4" w:themeTint="99"/>
        </w:tcBorders>
      </w:tcPr>
    </w:tblStylePr>
    <w:tblStylePr w:type="lastRow">
      <w:rPr>
        <w:b/>
        <w:bCs/>
      </w:rPr>
      <w:tblPr/>
      <w:tcPr>
        <w:tcBorders>
          <w:top w:val="double" w:sz="2" w:space="0" w:color="60D7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7286C"/>
    <w:pPr>
      <w:spacing w:after="0" w:line="240" w:lineRule="auto"/>
    </w:pPr>
    <w:tblPr>
      <w:tblStyleRowBandSize w:val="1"/>
      <w:tblStyleColBandSize w:val="1"/>
      <w:tblBorders>
        <w:top w:val="single" w:sz="4" w:space="0" w:color="C69FF7" w:themeColor="accent5" w:themeTint="66"/>
        <w:left w:val="single" w:sz="4" w:space="0" w:color="C69FF7" w:themeColor="accent5" w:themeTint="66"/>
        <w:bottom w:val="single" w:sz="4" w:space="0" w:color="C69FF7" w:themeColor="accent5" w:themeTint="66"/>
        <w:right w:val="single" w:sz="4" w:space="0" w:color="C69FF7" w:themeColor="accent5" w:themeTint="66"/>
        <w:insideH w:val="single" w:sz="4" w:space="0" w:color="C69FF7" w:themeColor="accent5" w:themeTint="66"/>
        <w:insideV w:val="single" w:sz="4" w:space="0" w:color="C69FF7" w:themeColor="accent5" w:themeTint="66"/>
      </w:tblBorders>
    </w:tblPr>
    <w:tblStylePr w:type="firstRow">
      <w:rPr>
        <w:b/>
        <w:bCs/>
      </w:rPr>
      <w:tblPr/>
      <w:tcPr>
        <w:tcBorders>
          <w:bottom w:val="single" w:sz="12" w:space="0" w:color="A970F3" w:themeColor="accent5" w:themeTint="99"/>
        </w:tcBorders>
      </w:tcPr>
    </w:tblStylePr>
    <w:tblStylePr w:type="lastRow">
      <w:rPr>
        <w:b/>
        <w:bCs/>
      </w:rPr>
      <w:tblPr/>
      <w:tcPr>
        <w:tcBorders>
          <w:top w:val="double" w:sz="2" w:space="0" w:color="A970F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7286C"/>
    <w:pPr>
      <w:spacing w:after="0" w:line="240" w:lineRule="auto"/>
    </w:pPr>
    <w:tblPr>
      <w:tblStyleRowBandSize w:val="1"/>
      <w:tblStyleColBandSize w:val="1"/>
      <w:tblBorders>
        <w:top w:val="single" w:sz="4" w:space="0" w:color="FEADD7" w:themeColor="accent6" w:themeTint="66"/>
        <w:left w:val="single" w:sz="4" w:space="0" w:color="FEADD7" w:themeColor="accent6" w:themeTint="66"/>
        <w:bottom w:val="single" w:sz="4" w:space="0" w:color="FEADD7" w:themeColor="accent6" w:themeTint="66"/>
        <w:right w:val="single" w:sz="4" w:space="0" w:color="FEADD7" w:themeColor="accent6" w:themeTint="66"/>
        <w:insideH w:val="single" w:sz="4" w:space="0" w:color="FEADD7" w:themeColor="accent6" w:themeTint="66"/>
        <w:insideV w:val="single" w:sz="4" w:space="0" w:color="FEADD7" w:themeColor="accent6" w:themeTint="66"/>
      </w:tblBorders>
    </w:tblPr>
    <w:tblStylePr w:type="firstRow">
      <w:rPr>
        <w:b/>
        <w:bCs/>
      </w:rPr>
      <w:tblPr/>
      <w:tcPr>
        <w:tcBorders>
          <w:bottom w:val="single" w:sz="12" w:space="0" w:color="FD85C3" w:themeColor="accent6" w:themeTint="99"/>
        </w:tcBorders>
      </w:tcPr>
    </w:tblStylePr>
    <w:tblStylePr w:type="lastRow">
      <w:rPr>
        <w:b/>
        <w:bCs/>
      </w:rPr>
      <w:tblPr/>
      <w:tcPr>
        <w:tcBorders>
          <w:top w:val="double" w:sz="2" w:space="0" w:color="FD85C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7286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7286C"/>
    <w:pPr>
      <w:spacing w:after="0" w:line="240" w:lineRule="auto"/>
    </w:pPr>
    <w:tblPr>
      <w:tblStyleRowBandSize w:val="1"/>
      <w:tblStyleColBandSize w:val="1"/>
      <w:tblBorders>
        <w:top w:val="single" w:sz="2" w:space="0" w:color="2171FF" w:themeColor="accent1" w:themeTint="99"/>
        <w:bottom w:val="single" w:sz="2" w:space="0" w:color="2171FF" w:themeColor="accent1" w:themeTint="99"/>
        <w:insideH w:val="single" w:sz="2" w:space="0" w:color="2171FF" w:themeColor="accent1" w:themeTint="99"/>
        <w:insideV w:val="single" w:sz="2" w:space="0" w:color="2171FF" w:themeColor="accent1" w:themeTint="99"/>
      </w:tblBorders>
    </w:tblPr>
    <w:tblStylePr w:type="firstRow">
      <w:rPr>
        <w:b/>
        <w:bCs/>
      </w:rPr>
      <w:tblPr/>
      <w:tcPr>
        <w:tcBorders>
          <w:top w:val="nil"/>
          <w:bottom w:val="single" w:sz="12" w:space="0" w:color="2171FF" w:themeColor="accent1" w:themeTint="99"/>
          <w:insideH w:val="nil"/>
          <w:insideV w:val="nil"/>
        </w:tcBorders>
        <w:shd w:val="clear" w:color="auto" w:fill="FFFFFF" w:themeFill="background1"/>
      </w:tcPr>
    </w:tblStylePr>
    <w:tblStylePr w:type="lastRow">
      <w:rPr>
        <w:b/>
        <w:bCs/>
      </w:rPr>
      <w:tblPr/>
      <w:tcPr>
        <w:tcBorders>
          <w:top w:val="double" w:sz="2" w:space="0" w:color="2171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GridTable2-Accent2">
    <w:name w:val="Grid Table 2 Accent 2"/>
    <w:basedOn w:val="TableNormal"/>
    <w:uiPriority w:val="47"/>
    <w:rsid w:val="0007286C"/>
    <w:pPr>
      <w:spacing w:after="0" w:line="240" w:lineRule="auto"/>
    </w:pPr>
    <w:tblPr>
      <w:tblStyleRowBandSize w:val="1"/>
      <w:tblStyleColBandSize w:val="1"/>
      <w:tblBorders>
        <w:top w:val="single" w:sz="2" w:space="0" w:color="7791ED" w:themeColor="accent2" w:themeTint="99"/>
        <w:bottom w:val="single" w:sz="2" w:space="0" w:color="7791ED" w:themeColor="accent2" w:themeTint="99"/>
        <w:insideH w:val="single" w:sz="2" w:space="0" w:color="7791ED" w:themeColor="accent2" w:themeTint="99"/>
        <w:insideV w:val="single" w:sz="2" w:space="0" w:color="7791ED" w:themeColor="accent2" w:themeTint="99"/>
      </w:tblBorders>
    </w:tblPr>
    <w:tblStylePr w:type="firstRow">
      <w:rPr>
        <w:b/>
        <w:bCs/>
      </w:rPr>
      <w:tblPr/>
      <w:tcPr>
        <w:tcBorders>
          <w:top w:val="nil"/>
          <w:bottom w:val="single" w:sz="12" w:space="0" w:color="7791ED" w:themeColor="accent2" w:themeTint="99"/>
          <w:insideH w:val="nil"/>
          <w:insideV w:val="nil"/>
        </w:tcBorders>
        <w:shd w:val="clear" w:color="auto" w:fill="FFFFFF" w:themeFill="background1"/>
      </w:tcPr>
    </w:tblStylePr>
    <w:tblStylePr w:type="lastRow">
      <w:rPr>
        <w:b/>
        <w:bCs/>
      </w:rPr>
      <w:tblPr/>
      <w:tcPr>
        <w:tcBorders>
          <w:top w:val="double" w:sz="2" w:space="0" w:color="7791E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GridTable2-Accent3">
    <w:name w:val="Grid Table 2 Accent 3"/>
    <w:basedOn w:val="TableNormal"/>
    <w:uiPriority w:val="47"/>
    <w:rsid w:val="0007286C"/>
    <w:pPr>
      <w:spacing w:after="0" w:line="240" w:lineRule="auto"/>
    </w:pPr>
    <w:tblPr>
      <w:tblStyleRowBandSize w:val="1"/>
      <w:tblStyleColBandSize w:val="1"/>
      <w:tblBorders>
        <w:top w:val="single" w:sz="2" w:space="0" w:color="2977CD" w:themeColor="accent3" w:themeTint="99"/>
        <w:bottom w:val="single" w:sz="2" w:space="0" w:color="2977CD" w:themeColor="accent3" w:themeTint="99"/>
        <w:insideH w:val="single" w:sz="2" w:space="0" w:color="2977CD" w:themeColor="accent3" w:themeTint="99"/>
        <w:insideV w:val="single" w:sz="2" w:space="0" w:color="2977CD" w:themeColor="accent3" w:themeTint="99"/>
      </w:tblBorders>
    </w:tblPr>
    <w:tblStylePr w:type="firstRow">
      <w:rPr>
        <w:b/>
        <w:bCs/>
      </w:rPr>
      <w:tblPr/>
      <w:tcPr>
        <w:tcBorders>
          <w:top w:val="nil"/>
          <w:bottom w:val="single" w:sz="12" w:space="0" w:color="2977CD" w:themeColor="accent3" w:themeTint="99"/>
          <w:insideH w:val="nil"/>
          <w:insideV w:val="nil"/>
        </w:tcBorders>
        <w:shd w:val="clear" w:color="auto" w:fill="FFFFFF" w:themeFill="background1"/>
      </w:tcPr>
    </w:tblStylePr>
    <w:tblStylePr w:type="lastRow">
      <w:rPr>
        <w:b/>
        <w:bCs/>
      </w:rPr>
      <w:tblPr/>
      <w:tcPr>
        <w:tcBorders>
          <w:top w:val="double" w:sz="2" w:space="0" w:color="2977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GridTable2-Accent4">
    <w:name w:val="Grid Table 2 Accent 4"/>
    <w:basedOn w:val="TableNormal"/>
    <w:uiPriority w:val="47"/>
    <w:rsid w:val="0007286C"/>
    <w:pPr>
      <w:spacing w:after="0" w:line="240" w:lineRule="auto"/>
    </w:pPr>
    <w:tblPr>
      <w:tblStyleRowBandSize w:val="1"/>
      <w:tblStyleColBandSize w:val="1"/>
      <w:tblBorders>
        <w:top w:val="single" w:sz="2" w:space="0" w:color="60D7FF" w:themeColor="accent4" w:themeTint="99"/>
        <w:bottom w:val="single" w:sz="2" w:space="0" w:color="60D7FF" w:themeColor="accent4" w:themeTint="99"/>
        <w:insideH w:val="single" w:sz="2" w:space="0" w:color="60D7FF" w:themeColor="accent4" w:themeTint="99"/>
        <w:insideV w:val="single" w:sz="2" w:space="0" w:color="60D7FF" w:themeColor="accent4" w:themeTint="99"/>
      </w:tblBorders>
    </w:tblPr>
    <w:tblStylePr w:type="firstRow">
      <w:rPr>
        <w:b/>
        <w:bCs/>
      </w:rPr>
      <w:tblPr/>
      <w:tcPr>
        <w:tcBorders>
          <w:top w:val="nil"/>
          <w:bottom w:val="single" w:sz="12" w:space="0" w:color="60D7FF" w:themeColor="accent4" w:themeTint="99"/>
          <w:insideH w:val="nil"/>
          <w:insideV w:val="nil"/>
        </w:tcBorders>
        <w:shd w:val="clear" w:color="auto" w:fill="FFFFFF" w:themeFill="background1"/>
      </w:tcPr>
    </w:tblStylePr>
    <w:tblStylePr w:type="lastRow">
      <w:rPr>
        <w:b/>
        <w:bCs/>
      </w:rPr>
      <w:tblPr/>
      <w:tcPr>
        <w:tcBorders>
          <w:top w:val="double" w:sz="2" w:space="0" w:color="60D7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GridTable2-Accent5">
    <w:name w:val="Grid Table 2 Accent 5"/>
    <w:basedOn w:val="TableNormal"/>
    <w:uiPriority w:val="47"/>
    <w:rsid w:val="0007286C"/>
    <w:pPr>
      <w:spacing w:after="0" w:line="240" w:lineRule="auto"/>
    </w:pPr>
    <w:tblPr>
      <w:tblStyleRowBandSize w:val="1"/>
      <w:tblStyleColBandSize w:val="1"/>
      <w:tblBorders>
        <w:top w:val="single" w:sz="2" w:space="0" w:color="A970F3" w:themeColor="accent5" w:themeTint="99"/>
        <w:bottom w:val="single" w:sz="2" w:space="0" w:color="A970F3" w:themeColor="accent5" w:themeTint="99"/>
        <w:insideH w:val="single" w:sz="2" w:space="0" w:color="A970F3" w:themeColor="accent5" w:themeTint="99"/>
        <w:insideV w:val="single" w:sz="2" w:space="0" w:color="A970F3" w:themeColor="accent5" w:themeTint="99"/>
      </w:tblBorders>
    </w:tblPr>
    <w:tblStylePr w:type="firstRow">
      <w:rPr>
        <w:b/>
        <w:bCs/>
      </w:rPr>
      <w:tblPr/>
      <w:tcPr>
        <w:tcBorders>
          <w:top w:val="nil"/>
          <w:bottom w:val="single" w:sz="12" w:space="0" w:color="A970F3" w:themeColor="accent5" w:themeTint="99"/>
          <w:insideH w:val="nil"/>
          <w:insideV w:val="nil"/>
        </w:tcBorders>
        <w:shd w:val="clear" w:color="auto" w:fill="FFFFFF" w:themeFill="background1"/>
      </w:tcPr>
    </w:tblStylePr>
    <w:tblStylePr w:type="lastRow">
      <w:rPr>
        <w:b/>
        <w:bCs/>
      </w:rPr>
      <w:tblPr/>
      <w:tcPr>
        <w:tcBorders>
          <w:top w:val="double" w:sz="2" w:space="0" w:color="A970F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GridTable2-Accent6">
    <w:name w:val="Grid Table 2 Accent 6"/>
    <w:basedOn w:val="TableNormal"/>
    <w:uiPriority w:val="47"/>
    <w:rsid w:val="0007286C"/>
    <w:pPr>
      <w:spacing w:after="0" w:line="240" w:lineRule="auto"/>
    </w:pPr>
    <w:tblPr>
      <w:tblStyleRowBandSize w:val="1"/>
      <w:tblStyleColBandSize w:val="1"/>
      <w:tblBorders>
        <w:top w:val="single" w:sz="2" w:space="0" w:color="FD85C3" w:themeColor="accent6" w:themeTint="99"/>
        <w:bottom w:val="single" w:sz="2" w:space="0" w:color="FD85C3" w:themeColor="accent6" w:themeTint="99"/>
        <w:insideH w:val="single" w:sz="2" w:space="0" w:color="FD85C3" w:themeColor="accent6" w:themeTint="99"/>
        <w:insideV w:val="single" w:sz="2" w:space="0" w:color="FD85C3" w:themeColor="accent6" w:themeTint="99"/>
      </w:tblBorders>
    </w:tblPr>
    <w:tblStylePr w:type="firstRow">
      <w:rPr>
        <w:b/>
        <w:bCs/>
      </w:rPr>
      <w:tblPr/>
      <w:tcPr>
        <w:tcBorders>
          <w:top w:val="nil"/>
          <w:bottom w:val="single" w:sz="12" w:space="0" w:color="FD85C3" w:themeColor="accent6" w:themeTint="99"/>
          <w:insideH w:val="nil"/>
          <w:insideV w:val="nil"/>
        </w:tcBorders>
        <w:shd w:val="clear" w:color="auto" w:fill="FFFFFF" w:themeFill="background1"/>
      </w:tcPr>
    </w:tblStylePr>
    <w:tblStylePr w:type="lastRow">
      <w:rPr>
        <w:b/>
        <w:bCs/>
      </w:rPr>
      <w:tblPr/>
      <w:tcPr>
        <w:tcBorders>
          <w:top w:val="double" w:sz="2" w:space="0" w:color="FD85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GridTable3">
    <w:name w:val="Grid Table 3"/>
    <w:basedOn w:val="TableNormal"/>
    <w:uiPriority w:val="48"/>
    <w:rsid w:val="000728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2">
    <w:name w:val="Grid Table 3 Accent 2"/>
    <w:basedOn w:val="TableNormal"/>
    <w:uiPriority w:val="48"/>
    <w:rsid w:val="0007286C"/>
    <w:pPr>
      <w:spacing w:after="0" w:line="240" w:lineRule="auto"/>
    </w:pPr>
    <w:tblPr>
      <w:tblStyleRowBandSize w:val="1"/>
      <w:tblStyleColBandSize w:val="1"/>
      <w:tblBorders>
        <w:top w:val="single" w:sz="4" w:space="0" w:color="7791ED" w:themeColor="accent2" w:themeTint="99"/>
        <w:left w:val="single" w:sz="4" w:space="0" w:color="7791ED" w:themeColor="accent2" w:themeTint="99"/>
        <w:bottom w:val="single" w:sz="4" w:space="0" w:color="7791ED" w:themeColor="accent2" w:themeTint="99"/>
        <w:right w:val="single" w:sz="4" w:space="0" w:color="7791ED" w:themeColor="accent2" w:themeTint="99"/>
        <w:insideH w:val="single" w:sz="4" w:space="0" w:color="7791ED" w:themeColor="accent2" w:themeTint="99"/>
        <w:insideV w:val="single" w:sz="4" w:space="0" w:color="7791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AF9" w:themeFill="accent2" w:themeFillTint="33"/>
      </w:tcPr>
    </w:tblStylePr>
    <w:tblStylePr w:type="band1Horz">
      <w:tblPr/>
      <w:tcPr>
        <w:shd w:val="clear" w:color="auto" w:fill="D1DAF9" w:themeFill="accent2" w:themeFillTint="33"/>
      </w:tcPr>
    </w:tblStylePr>
    <w:tblStylePr w:type="neCell">
      <w:tblPr/>
      <w:tcPr>
        <w:tcBorders>
          <w:bottom w:val="single" w:sz="4" w:space="0" w:color="7791ED" w:themeColor="accent2" w:themeTint="99"/>
        </w:tcBorders>
      </w:tcPr>
    </w:tblStylePr>
    <w:tblStylePr w:type="nwCell">
      <w:tblPr/>
      <w:tcPr>
        <w:tcBorders>
          <w:bottom w:val="single" w:sz="4" w:space="0" w:color="7791ED" w:themeColor="accent2" w:themeTint="99"/>
        </w:tcBorders>
      </w:tcPr>
    </w:tblStylePr>
    <w:tblStylePr w:type="seCell">
      <w:tblPr/>
      <w:tcPr>
        <w:tcBorders>
          <w:top w:val="single" w:sz="4" w:space="0" w:color="7791ED" w:themeColor="accent2" w:themeTint="99"/>
        </w:tcBorders>
      </w:tcPr>
    </w:tblStylePr>
    <w:tblStylePr w:type="swCell">
      <w:tblPr/>
      <w:tcPr>
        <w:tcBorders>
          <w:top w:val="single" w:sz="4" w:space="0" w:color="7791ED" w:themeColor="accent2" w:themeTint="99"/>
        </w:tcBorders>
      </w:tcPr>
    </w:tblStylePr>
  </w:style>
  <w:style w:type="table" w:styleId="GridTable3-Accent3">
    <w:name w:val="Grid Table 3 Accent 3"/>
    <w:basedOn w:val="TableNormal"/>
    <w:uiPriority w:val="48"/>
    <w:rsid w:val="0007286C"/>
    <w:pPr>
      <w:spacing w:after="0" w:line="240" w:lineRule="auto"/>
    </w:pPr>
    <w:tblPr>
      <w:tblStyleRowBandSize w:val="1"/>
      <w:tblStyleColBandSize w:val="1"/>
      <w:tblBorders>
        <w:top w:val="single" w:sz="4" w:space="0" w:color="2977CD" w:themeColor="accent3" w:themeTint="99"/>
        <w:left w:val="single" w:sz="4" w:space="0" w:color="2977CD" w:themeColor="accent3" w:themeTint="99"/>
        <w:bottom w:val="single" w:sz="4" w:space="0" w:color="2977CD" w:themeColor="accent3" w:themeTint="99"/>
        <w:right w:val="single" w:sz="4" w:space="0" w:color="2977CD" w:themeColor="accent3" w:themeTint="99"/>
        <w:insideH w:val="single" w:sz="4" w:space="0" w:color="2977CD" w:themeColor="accent3" w:themeTint="99"/>
        <w:insideV w:val="single" w:sz="4" w:space="0" w:color="2977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D1F0" w:themeFill="accent3" w:themeFillTint="33"/>
      </w:tcPr>
    </w:tblStylePr>
    <w:tblStylePr w:type="band1Horz">
      <w:tblPr/>
      <w:tcPr>
        <w:shd w:val="clear" w:color="auto" w:fill="B5D1F0" w:themeFill="accent3" w:themeFillTint="33"/>
      </w:tcPr>
    </w:tblStylePr>
    <w:tblStylePr w:type="neCell">
      <w:tblPr/>
      <w:tcPr>
        <w:tcBorders>
          <w:bottom w:val="single" w:sz="4" w:space="0" w:color="2977CD" w:themeColor="accent3" w:themeTint="99"/>
        </w:tcBorders>
      </w:tcPr>
    </w:tblStylePr>
    <w:tblStylePr w:type="nwCell">
      <w:tblPr/>
      <w:tcPr>
        <w:tcBorders>
          <w:bottom w:val="single" w:sz="4" w:space="0" w:color="2977CD" w:themeColor="accent3" w:themeTint="99"/>
        </w:tcBorders>
      </w:tcPr>
    </w:tblStylePr>
    <w:tblStylePr w:type="seCell">
      <w:tblPr/>
      <w:tcPr>
        <w:tcBorders>
          <w:top w:val="single" w:sz="4" w:space="0" w:color="2977CD" w:themeColor="accent3" w:themeTint="99"/>
        </w:tcBorders>
      </w:tcPr>
    </w:tblStylePr>
    <w:tblStylePr w:type="swCell">
      <w:tblPr/>
      <w:tcPr>
        <w:tcBorders>
          <w:top w:val="single" w:sz="4" w:space="0" w:color="2977CD" w:themeColor="accent3" w:themeTint="99"/>
        </w:tcBorders>
      </w:tcPr>
    </w:tblStylePr>
  </w:style>
  <w:style w:type="table" w:styleId="GridTable3-Accent4">
    <w:name w:val="Grid Table 3 Accent 4"/>
    <w:basedOn w:val="TableNormal"/>
    <w:uiPriority w:val="48"/>
    <w:rsid w:val="0007286C"/>
    <w:pPr>
      <w:spacing w:after="0" w:line="240" w:lineRule="auto"/>
    </w:pPr>
    <w:tblPr>
      <w:tblStyleRowBandSize w:val="1"/>
      <w:tblStyleColBandSize w:val="1"/>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insideV w:val="single" w:sz="4" w:space="0" w:color="60D7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1FF" w:themeFill="accent4" w:themeFillTint="33"/>
      </w:tcPr>
    </w:tblStylePr>
    <w:tblStylePr w:type="band1Horz">
      <w:tblPr/>
      <w:tcPr>
        <w:shd w:val="clear" w:color="auto" w:fill="CAF1FF" w:themeFill="accent4" w:themeFillTint="33"/>
      </w:tcPr>
    </w:tblStylePr>
    <w:tblStylePr w:type="neCell">
      <w:tblPr/>
      <w:tcPr>
        <w:tcBorders>
          <w:bottom w:val="single" w:sz="4" w:space="0" w:color="60D7FF" w:themeColor="accent4" w:themeTint="99"/>
        </w:tcBorders>
      </w:tcPr>
    </w:tblStylePr>
    <w:tblStylePr w:type="nwCell">
      <w:tblPr/>
      <w:tcPr>
        <w:tcBorders>
          <w:bottom w:val="single" w:sz="4" w:space="0" w:color="60D7FF" w:themeColor="accent4" w:themeTint="99"/>
        </w:tcBorders>
      </w:tcPr>
    </w:tblStylePr>
    <w:tblStylePr w:type="seCell">
      <w:tblPr/>
      <w:tcPr>
        <w:tcBorders>
          <w:top w:val="single" w:sz="4" w:space="0" w:color="60D7FF" w:themeColor="accent4" w:themeTint="99"/>
        </w:tcBorders>
      </w:tcPr>
    </w:tblStylePr>
    <w:tblStylePr w:type="swCell">
      <w:tblPr/>
      <w:tcPr>
        <w:tcBorders>
          <w:top w:val="single" w:sz="4" w:space="0" w:color="60D7FF" w:themeColor="accent4" w:themeTint="99"/>
        </w:tcBorders>
      </w:tcPr>
    </w:tblStylePr>
  </w:style>
  <w:style w:type="table" w:styleId="GridTable3-Accent5">
    <w:name w:val="Grid Table 3 Accent 5"/>
    <w:basedOn w:val="TableNormal"/>
    <w:uiPriority w:val="48"/>
    <w:rsid w:val="0007286C"/>
    <w:pPr>
      <w:spacing w:after="0" w:line="240" w:lineRule="auto"/>
    </w:pPr>
    <w:tblPr>
      <w:tblStyleRowBandSize w:val="1"/>
      <w:tblStyleColBandSize w:val="1"/>
      <w:tblBorders>
        <w:top w:val="single" w:sz="4" w:space="0" w:color="A970F3" w:themeColor="accent5" w:themeTint="99"/>
        <w:left w:val="single" w:sz="4" w:space="0" w:color="A970F3" w:themeColor="accent5" w:themeTint="99"/>
        <w:bottom w:val="single" w:sz="4" w:space="0" w:color="A970F3" w:themeColor="accent5" w:themeTint="99"/>
        <w:right w:val="single" w:sz="4" w:space="0" w:color="A970F3" w:themeColor="accent5" w:themeTint="99"/>
        <w:insideH w:val="single" w:sz="4" w:space="0" w:color="A970F3" w:themeColor="accent5" w:themeTint="99"/>
        <w:insideV w:val="single" w:sz="4" w:space="0" w:color="A970F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CFFB" w:themeFill="accent5" w:themeFillTint="33"/>
      </w:tcPr>
    </w:tblStylePr>
    <w:tblStylePr w:type="band1Horz">
      <w:tblPr/>
      <w:tcPr>
        <w:shd w:val="clear" w:color="auto" w:fill="E2CFFB" w:themeFill="accent5" w:themeFillTint="33"/>
      </w:tcPr>
    </w:tblStylePr>
    <w:tblStylePr w:type="neCell">
      <w:tblPr/>
      <w:tcPr>
        <w:tcBorders>
          <w:bottom w:val="single" w:sz="4" w:space="0" w:color="A970F3" w:themeColor="accent5" w:themeTint="99"/>
        </w:tcBorders>
      </w:tcPr>
    </w:tblStylePr>
    <w:tblStylePr w:type="nwCell">
      <w:tblPr/>
      <w:tcPr>
        <w:tcBorders>
          <w:bottom w:val="single" w:sz="4" w:space="0" w:color="A970F3" w:themeColor="accent5" w:themeTint="99"/>
        </w:tcBorders>
      </w:tcPr>
    </w:tblStylePr>
    <w:tblStylePr w:type="seCell">
      <w:tblPr/>
      <w:tcPr>
        <w:tcBorders>
          <w:top w:val="single" w:sz="4" w:space="0" w:color="A970F3" w:themeColor="accent5" w:themeTint="99"/>
        </w:tcBorders>
      </w:tcPr>
    </w:tblStylePr>
    <w:tblStylePr w:type="swCell">
      <w:tblPr/>
      <w:tcPr>
        <w:tcBorders>
          <w:top w:val="single" w:sz="4" w:space="0" w:color="A970F3" w:themeColor="accent5" w:themeTint="99"/>
        </w:tcBorders>
      </w:tcPr>
    </w:tblStylePr>
  </w:style>
  <w:style w:type="table" w:styleId="GridTable3-Accent6">
    <w:name w:val="Grid Table 3 Accent 6"/>
    <w:basedOn w:val="TableNormal"/>
    <w:uiPriority w:val="48"/>
    <w:rsid w:val="0007286C"/>
    <w:pPr>
      <w:spacing w:after="0" w:line="240" w:lineRule="auto"/>
    </w:pPr>
    <w:tblPr>
      <w:tblStyleRowBandSize w:val="1"/>
      <w:tblStyleColBandSize w:val="1"/>
      <w:tblBorders>
        <w:top w:val="single" w:sz="4" w:space="0" w:color="FD85C3" w:themeColor="accent6" w:themeTint="99"/>
        <w:left w:val="single" w:sz="4" w:space="0" w:color="FD85C3" w:themeColor="accent6" w:themeTint="99"/>
        <w:bottom w:val="single" w:sz="4" w:space="0" w:color="FD85C3" w:themeColor="accent6" w:themeTint="99"/>
        <w:right w:val="single" w:sz="4" w:space="0" w:color="FD85C3" w:themeColor="accent6" w:themeTint="99"/>
        <w:insideH w:val="single" w:sz="4" w:space="0" w:color="FD85C3" w:themeColor="accent6" w:themeTint="99"/>
        <w:insideV w:val="single" w:sz="4" w:space="0" w:color="FD85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D6EB" w:themeFill="accent6" w:themeFillTint="33"/>
      </w:tcPr>
    </w:tblStylePr>
    <w:tblStylePr w:type="band1Horz">
      <w:tblPr/>
      <w:tcPr>
        <w:shd w:val="clear" w:color="auto" w:fill="FED6EB" w:themeFill="accent6" w:themeFillTint="33"/>
      </w:tcPr>
    </w:tblStylePr>
    <w:tblStylePr w:type="neCell">
      <w:tblPr/>
      <w:tcPr>
        <w:tcBorders>
          <w:bottom w:val="single" w:sz="4" w:space="0" w:color="FD85C3" w:themeColor="accent6" w:themeTint="99"/>
        </w:tcBorders>
      </w:tcPr>
    </w:tblStylePr>
    <w:tblStylePr w:type="nwCell">
      <w:tblPr/>
      <w:tcPr>
        <w:tcBorders>
          <w:bottom w:val="single" w:sz="4" w:space="0" w:color="FD85C3" w:themeColor="accent6" w:themeTint="99"/>
        </w:tcBorders>
      </w:tcPr>
    </w:tblStylePr>
    <w:tblStylePr w:type="seCell">
      <w:tblPr/>
      <w:tcPr>
        <w:tcBorders>
          <w:top w:val="single" w:sz="4" w:space="0" w:color="FD85C3" w:themeColor="accent6" w:themeTint="99"/>
        </w:tcBorders>
      </w:tcPr>
    </w:tblStylePr>
    <w:tblStylePr w:type="swCell">
      <w:tblPr/>
      <w:tcPr>
        <w:tcBorders>
          <w:top w:val="single" w:sz="4" w:space="0" w:color="FD85C3" w:themeColor="accent6" w:themeTint="99"/>
        </w:tcBorders>
      </w:tcPr>
    </w:tblStylePr>
  </w:style>
  <w:style w:type="table" w:styleId="GridTable4">
    <w:name w:val="Grid Table 4"/>
    <w:basedOn w:val="TableNormal"/>
    <w:uiPriority w:val="49"/>
    <w:rsid w:val="000728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7286C"/>
    <w:pPr>
      <w:spacing w:after="0" w:line="240" w:lineRule="auto"/>
    </w:pPr>
    <w:tblPr>
      <w:tblStyleRowBandSize w:val="1"/>
      <w:tblStyleColBandSize w:val="1"/>
      <w:tblBorders>
        <w:top w:val="single" w:sz="4" w:space="0" w:color="2171FF" w:themeColor="accent1" w:themeTint="99"/>
        <w:left w:val="single" w:sz="4" w:space="0" w:color="2171FF" w:themeColor="accent1" w:themeTint="99"/>
        <w:bottom w:val="single" w:sz="4" w:space="0" w:color="2171FF" w:themeColor="accent1" w:themeTint="99"/>
        <w:right w:val="single" w:sz="4" w:space="0" w:color="2171FF" w:themeColor="accent1" w:themeTint="99"/>
        <w:insideH w:val="single" w:sz="4" w:space="0" w:color="2171FF" w:themeColor="accent1" w:themeTint="99"/>
        <w:insideV w:val="single" w:sz="4" w:space="0" w:color="2171FF" w:themeColor="accent1" w:themeTint="99"/>
      </w:tblBorders>
    </w:tblPr>
    <w:tblStylePr w:type="firstRow">
      <w:rPr>
        <w:b/>
        <w:bCs/>
        <w:color w:val="FFFFFF" w:themeColor="background1"/>
      </w:rPr>
      <w:tblPr/>
      <w:tcPr>
        <w:tcBorders>
          <w:top w:val="single" w:sz="4" w:space="0" w:color="00338D" w:themeColor="accent1"/>
          <w:left w:val="single" w:sz="4" w:space="0" w:color="00338D" w:themeColor="accent1"/>
          <w:bottom w:val="single" w:sz="4" w:space="0" w:color="00338D" w:themeColor="accent1"/>
          <w:right w:val="single" w:sz="4" w:space="0" w:color="00338D" w:themeColor="accent1"/>
          <w:insideH w:val="nil"/>
          <w:insideV w:val="nil"/>
        </w:tcBorders>
        <w:shd w:val="clear" w:color="auto" w:fill="00338D" w:themeFill="accent1"/>
      </w:tcPr>
    </w:tblStylePr>
    <w:tblStylePr w:type="lastRow">
      <w:rPr>
        <w:b/>
        <w:bCs/>
      </w:rPr>
      <w:tblPr/>
      <w:tcPr>
        <w:tcBorders>
          <w:top w:val="double" w:sz="4" w:space="0" w:color="00338D" w:themeColor="accent1"/>
        </w:tcBorders>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GridTable4-Accent2">
    <w:name w:val="Grid Table 4 Accent 2"/>
    <w:basedOn w:val="TableNormal"/>
    <w:uiPriority w:val="49"/>
    <w:rsid w:val="0007286C"/>
    <w:pPr>
      <w:spacing w:after="0" w:line="240" w:lineRule="auto"/>
    </w:pPr>
    <w:tblPr>
      <w:tblStyleRowBandSize w:val="1"/>
      <w:tblStyleColBandSize w:val="1"/>
      <w:tblBorders>
        <w:top w:val="single" w:sz="4" w:space="0" w:color="7791ED" w:themeColor="accent2" w:themeTint="99"/>
        <w:left w:val="single" w:sz="4" w:space="0" w:color="7791ED" w:themeColor="accent2" w:themeTint="99"/>
        <w:bottom w:val="single" w:sz="4" w:space="0" w:color="7791ED" w:themeColor="accent2" w:themeTint="99"/>
        <w:right w:val="single" w:sz="4" w:space="0" w:color="7791ED" w:themeColor="accent2" w:themeTint="99"/>
        <w:insideH w:val="single" w:sz="4" w:space="0" w:color="7791ED" w:themeColor="accent2" w:themeTint="99"/>
        <w:insideV w:val="single" w:sz="4" w:space="0" w:color="7791ED" w:themeColor="accent2" w:themeTint="99"/>
      </w:tblBorders>
    </w:tblPr>
    <w:tblStylePr w:type="firstRow">
      <w:rPr>
        <w:b/>
        <w:bCs/>
        <w:color w:val="FFFFFF" w:themeColor="background1"/>
      </w:rPr>
      <w:tblPr/>
      <w:tcPr>
        <w:tcBorders>
          <w:top w:val="single" w:sz="4" w:space="0" w:color="1E49E2" w:themeColor="accent2"/>
          <w:left w:val="single" w:sz="4" w:space="0" w:color="1E49E2" w:themeColor="accent2"/>
          <w:bottom w:val="single" w:sz="4" w:space="0" w:color="1E49E2" w:themeColor="accent2"/>
          <w:right w:val="single" w:sz="4" w:space="0" w:color="1E49E2" w:themeColor="accent2"/>
          <w:insideH w:val="nil"/>
          <w:insideV w:val="nil"/>
        </w:tcBorders>
        <w:shd w:val="clear" w:color="auto" w:fill="1E49E2" w:themeFill="accent2"/>
      </w:tcPr>
    </w:tblStylePr>
    <w:tblStylePr w:type="lastRow">
      <w:rPr>
        <w:b/>
        <w:bCs/>
      </w:rPr>
      <w:tblPr/>
      <w:tcPr>
        <w:tcBorders>
          <w:top w:val="double" w:sz="4" w:space="0" w:color="1E49E2" w:themeColor="accent2"/>
        </w:tcBorders>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GridTable4-Accent3">
    <w:name w:val="Grid Table 4 Accent 3"/>
    <w:basedOn w:val="TableNormal"/>
    <w:uiPriority w:val="49"/>
    <w:rsid w:val="0007286C"/>
    <w:pPr>
      <w:spacing w:after="0" w:line="240" w:lineRule="auto"/>
    </w:pPr>
    <w:tblPr>
      <w:tblStyleRowBandSize w:val="1"/>
      <w:tblStyleColBandSize w:val="1"/>
      <w:tblBorders>
        <w:top w:val="single" w:sz="4" w:space="0" w:color="2977CD" w:themeColor="accent3" w:themeTint="99"/>
        <w:left w:val="single" w:sz="4" w:space="0" w:color="2977CD" w:themeColor="accent3" w:themeTint="99"/>
        <w:bottom w:val="single" w:sz="4" w:space="0" w:color="2977CD" w:themeColor="accent3" w:themeTint="99"/>
        <w:right w:val="single" w:sz="4" w:space="0" w:color="2977CD" w:themeColor="accent3" w:themeTint="99"/>
        <w:insideH w:val="single" w:sz="4" w:space="0" w:color="2977CD" w:themeColor="accent3" w:themeTint="99"/>
        <w:insideV w:val="single" w:sz="4" w:space="0" w:color="2977CD" w:themeColor="accent3" w:themeTint="99"/>
      </w:tblBorders>
    </w:tblPr>
    <w:tblStylePr w:type="firstRow">
      <w:rPr>
        <w:b/>
        <w:bCs/>
        <w:color w:val="FFFFFF" w:themeColor="background1"/>
      </w:rPr>
      <w:tblPr/>
      <w:tcPr>
        <w:tcBorders>
          <w:top w:val="single" w:sz="4" w:space="0" w:color="0C233C" w:themeColor="accent3"/>
          <w:left w:val="single" w:sz="4" w:space="0" w:color="0C233C" w:themeColor="accent3"/>
          <w:bottom w:val="single" w:sz="4" w:space="0" w:color="0C233C" w:themeColor="accent3"/>
          <w:right w:val="single" w:sz="4" w:space="0" w:color="0C233C" w:themeColor="accent3"/>
          <w:insideH w:val="nil"/>
          <w:insideV w:val="nil"/>
        </w:tcBorders>
        <w:shd w:val="clear" w:color="auto" w:fill="0C233C" w:themeFill="accent3"/>
      </w:tcPr>
    </w:tblStylePr>
    <w:tblStylePr w:type="lastRow">
      <w:rPr>
        <w:b/>
        <w:bCs/>
      </w:rPr>
      <w:tblPr/>
      <w:tcPr>
        <w:tcBorders>
          <w:top w:val="double" w:sz="4" w:space="0" w:color="0C233C" w:themeColor="accent3"/>
        </w:tcBorders>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GridTable4-Accent4">
    <w:name w:val="Grid Table 4 Accent 4"/>
    <w:basedOn w:val="TableNormal"/>
    <w:uiPriority w:val="49"/>
    <w:rsid w:val="0007286C"/>
    <w:pPr>
      <w:spacing w:after="0" w:line="240" w:lineRule="auto"/>
    </w:pPr>
    <w:tblPr>
      <w:tblStyleRowBandSize w:val="1"/>
      <w:tblStyleColBandSize w:val="1"/>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insideV w:val="single" w:sz="4" w:space="0" w:color="60D7FF" w:themeColor="accent4" w:themeTint="99"/>
      </w:tblBorders>
    </w:tblPr>
    <w:tblStylePr w:type="firstRow">
      <w:rPr>
        <w:b/>
        <w:bCs/>
        <w:color w:val="FFFFFF" w:themeColor="background1"/>
      </w:rPr>
      <w:tblPr/>
      <w:tcPr>
        <w:tcBorders>
          <w:top w:val="single" w:sz="4" w:space="0" w:color="00B8F5" w:themeColor="accent4"/>
          <w:left w:val="single" w:sz="4" w:space="0" w:color="00B8F5" w:themeColor="accent4"/>
          <w:bottom w:val="single" w:sz="4" w:space="0" w:color="00B8F5" w:themeColor="accent4"/>
          <w:right w:val="single" w:sz="4" w:space="0" w:color="00B8F5" w:themeColor="accent4"/>
          <w:insideH w:val="nil"/>
          <w:insideV w:val="nil"/>
        </w:tcBorders>
        <w:shd w:val="clear" w:color="auto" w:fill="00B8F5" w:themeFill="accent4"/>
      </w:tcPr>
    </w:tblStylePr>
    <w:tblStylePr w:type="lastRow">
      <w:rPr>
        <w:b/>
        <w:bCs/>
      </w:rPr>
      <w:tblPr/>
      <w:tcPr>
        <w:tcBorders>
          <w:top w:val="double" w:sz="4" w:space="0" w:color="00B8F5" w:themeColor="accent4"/>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GridTable4-Accent5">
    <w:name w:val="Grid Table 4 Accent 5"/>
    <w:basedOn w:val="TableNormal"/>
    <w:uiPriority w:val="49"/>
    <w:rsid w:val="0007286C"/>
    <w:pPr>
      <w:spacing w:after="0" w:line="240" w:lineRule="auto"/>
    </w:pPr>
    <w:tblPr>
      <w:tblStyleRowBandSize w:val="1"/>
      <w:tblStyleColBandSize w:val="1"/>
      <w:tblBorders>
        <w:top w:val="single" w:sz="4" w:space="0" w:color="A970F3" w:themeColor="accent5" w:themeTint="99"/>
        <w:left w:val="single" w:sz="4" w:space="0" w:color="A970F3" w:themeColor="accent5" w:themeTint="99"/>
        <w:bottom w:val="single" w:sz="4" w:space="0" w:color="A970F3" w:themeColor="accent5" w:themeTint="99"/>
        <w:right w:val="single" w:sz="4" w:space="0" w:color="A970F3" w:themeColor="accent5" w:themeTint="99"/>
        <w:insideH w:val="single" w:sz="4" w:space="0" w:color="A970F3" w:themeColor="accent5" w:themeTint="99"/>
        <w:insideV w:val="single" w:sz="4" w:space="0" w:color="A970F3" w:themeColor="accent5" w:themeTint="99"/>
      </w:tblBorders>
    </w:tblPr>
    <w:tblStylePr w:type="firstRow">
      <w:rPr>
        <w:b/>
        <w:bCs/>
        <w:color w:val="FFFFFF" w:themeColor="background1"/>
      </w:rPr>
      <w:tblPr/>
      <w:tcPr>
        <w:tcBorders>
          <w:top w:val="single" w:sz="4" w:space="0" w:color="7213EA" w:themeColor="accent5"/>
          <w:left w:val="single" w:sz="4" w:space="0" w:color="7213EA" w:themeColor="accent5"/>
          <w:bottom w:val="single" w:sz="4" w:space="0" w:color="7213EA" w:themeColor="accent5"/>
          <w:right w:val="single" w:sz="4" w:space="0" w:color="7213EA" w:themeColor="accent5"/>
          <w:insideH w:val="nil"/>
          <w:insideV w:val="nil"/>
        </w:tcBorders>
        <w:shd w:val="clear" w:color="auto" w:fill="7213EA" w:themeFill="accent5"/>
      </w:tcPr>
    </w:tblStylePr>
    <w:tblStylePr w:type="lastRow">
      <w:rPr>
        <w:b/>
        <w:bCs/>
      </w:rPr>
      <w:tblPr/>
      <w:tcPr>
        <w:tcBorders>
          <w:top w:val="double" w:sz="4" w:space="0" w:color="7213EA" w:themeColor="accent5"/>
        </w:tcBorders>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GridTable4-Accent6">
    <w:name w:val="Grid Table 4 Accent 6"/>
    <w:basedOn w:val="TableNormal"/>
    <w:uiPriority w:val="49"/>
    <w:rsid w:val="0007286C"/>
    <w:pPr>
      <w:spacing w:after="0" w:line="240" w:lineRule="auto"/>
    </w:pPr>
    <w:tblPr>
      <w:tblStyleRowBandSize w:val="1"/>
      <w:tblStyleColBandSize w:val="1"/>
      <w:tblBorders>
        <w:top w:val="single" w:sz="4" w:space="0" w:color="FD85C3" w:themeColor="accent6" w:themeTint="99"/>
        <w:left w:val="single" w:sz="4" w:space="0" w:color="FD85C3" w:themeColor="accent6" w:themeTint="99"/>
        <w:bottom w:val="single" w:sz="4" w:space="0" w:color="FD85C3" w:themeColor="accent6" w:themeTint="99"/>
        <w:right w:val="single" w:sz="4" w:space="0" w:color="FD85C3" w:themeColor="accent6" w:themeTint="99"/>
        <w:insideH w:val="single" w:sz="4" w:space="0" w:color="FD85C3" w:themeColor="accent6" w:themeTint="99"/>
        <w:insideV w:val="single" w:sz="4" w:space="0" w:color="FD85C3" w:themeColor="accent6" w:themeTint="99"/>
      </w:tblBorders>
    </w:tblPr>
    <w:tblStylePr w:type="firstRow">
      <w:rPr>
        <w:b/>
        <w:bCs/>
        <w:color w:val="FFFFFF" w:themeColor="background1"/>
      </w:rPr>
      <w:tblPr/>
      <w:tcPr>
        <w:tcBorders>
          <w:top w:val="single" w:sz="4" w:space="0" w:color="FD349C" w:themeColor="accent6"/>
          <w:left w:val="single" w:sz="4" w:space="0" w:color="FD349C" w:themeColor="accent6"/>
          <w:bottom w:val="single" w:sz="4" w:space="0" w:color="FD349C" w:themeColor="accent6"/>
          <w:right w:val="single" w:sz="4" w:space="0" w:color="FD349C" w:themeColor="accent6"/>
          <w:insideH w:val="nil"/>
          <w:insideV w:val="nil"/>
        </w:tcBorders>
        <w:shd w:val="clear" w:color="auto" w:fill="FD349C" w:themeFill="accent6"/>
      </w:tcPr>
    </w:tblStylePr>
    <w:tblStylePr w:type="lastRow">
      <w:rPr>
        <w:b/>
        <w:bCs/>
      </w:rPr>
      <w:tblPr/>
      <w:tcPr>
        <w:tcBorders>
          <w:top w:val="double" w:sz="4" w:space="0" w:color="FD349C" w:themeColor="accent6"/>
        </w:tcBorders>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GridTable5Dark">
    <w:name w:val="Grid Table 5 Dark"/>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C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8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8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8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8D" w:themeFill="accent1"/>
      </w:tcPr>
    </w:tblStylePr>
    <w:tblStylePr w:type="band1Vert">
      <w:tblPr/>
      <w:tcPr>
        <w:shd w:val="clear" w:color="auto" w:fill="6BA0FF" w:themeFill="accent1" w:themeFillTint="66"/>
      </w:tcPr>
    </w:tblStylePr>
    <w:tblStylePr w:type="band1Horz">
      <w:tblPr/>
      <w:tcPr>
        <w:shd w:val="clear" w:color="auto" w:fill="6BA0FF" w:themeFill="accent1" w:themeFillTint="66"/>
      </w:tcPr>
    </w:tblStylePr>
  </w:style>
  <w:style w:type="table" w:styleId="GridTable5Dark-Accent2">
    <w:name w:val="Grid Table 5 Dark Accent 2"/>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A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9E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9E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9E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9E2" w:themeFill="accent2"/>
      </w:tcPr>
    </w:tblStylePr>
    <w:tblStylePr w:type="band1Vert">
      <w:tblPr/>
      <w:tcPr>
        <w:shd w:val="clear" w:color="auto" w:fill="A4B5F3" w:themeFill="accent2" w:themeFillTint="66"/>
      </w:tcPr>
    </w:tblStylePr>
    <w:tblStylePr w:type="band1Horz">
      <w:tblPr/>
      <w:tcPr>
        <w:shd w:val="clear" w:color="auto" w:fill="A4B5F3" w:themeFill="accent2" w:themeFillTint="66"/>
      </w:tcPr>
    </w:tblStylePr>
  </w:style>
  <w:style w:type="table" w:styleId="GridTable5Dark-Accent3">
    <w:name w:val="Grid Table 5 Dark Accent 3"/>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1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23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23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23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233C" w:themeFill="accent3"/>
      </w:tcPr>
    </w:tblStylePr>
    <w:tblStylePr w:type="band1Vert">
      <w:tblPr/>
      <w:tcPr>
        <w:shd w:val="clear" w:color="auto" w:fill="6CA4E1" w:themeFill="accent3" w:themeFillTint="66"/>
      </w:tcPr>
    </w:tblStylePr>
    <w:tblStylePr w:type="band1Horz">
      <w:tblPr/>
      <w:tcPr>
        <w:shd w:val="clear" w:color="auto" w:fill="6CA4E1" w:themeFill="accent3" w:themeFillTint="66"/>
      </w:tcPr>
    </w:tblStylePr>
  </w:style>
  <w:style w:type="table" w:styleId="GridTable5Dark-Accent4">
    <w:name w:val="Grid Table 5 Dark Accent 4"/>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1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8F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8F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8F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8F5" w:themeFill="accent4"/>
      </w:tcPr>
    </w:tblStylePr>
    <w:tblStylePr w:type="band1Vert">
      <w:tblPr/>
      <w:tcPr>
        <w:shd w:val="clear" w:color="auto" w:fill="95E4FF" w:themeFill="accent4" w:themeFillTint="66"/>
      </w:tcPr>
    </w:tblStylePr>
    <w:tblStylePr w:type="band1Horz">
      <w:tblPr/>
      <w:tcPr>
        <w:shd w:val="clear" w:color="auto" w:fill="95E4FF" w:themeFill="accent4" w:themeFillTint="66"/>
      </w:tcPr>
    </w:tblStylePr>
  </w:style>
  <w:style w:type="table" w:styleId="GridTable5Dark-Accent5">
    <w:name w:val="Grid Table 5 Dark Accent 5"/>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F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13E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13E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13E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13EA" w:themeFill="accent5"/>
      </w:tcPr>
    </w:tblStylePr>
    <w:tblStylePr w:type="band1Vert">
      <w:tblPr/>
      <w:tcPr>
        <w:shd w:val="clear" w:color="auto" w:fill="C69FF7" w:themeFill="accent5" w:themeFillTint="66"/>
      </w:tcPr>
    </w:tblStylePr>
    <w:tblStylePr w:type="band1Horz">
      <w:tblPr/>
      <w:tcPr>
        <w:shd w:val="clear" w:color="auto" w:fill="C69FF7" w:themeFill="accent5" w:themeFillTint="66"/>
      </w:tcPr>
    </w:tblStylePr>
  </w:style>
  <w:style w:type="table" w:styleId="GridTable5Dark-Accent6">
    <w:name w:val="Grid Table 5 Dark Accent 6"/>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D6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349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349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349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349C" w:themeFill="accent6"/>
      </w:tcPr>
    </w:tblStylePr>
    <w:tblStylePr w:type="band1Vert">
      <w:tblPr/>
      <w:tcPr>
        <w:shd w:val="clear" w:color="auto" w:fill="FEADD7" w:themeFill="accent6" w:themeFillTint="66"/>
      </w:tcPr>
    </w:tblStylePr>
    <w:tblStylePr w:type="band1Horz">
      <w:tblPr/>
      <w:tcPr>
        <w:shd w:val="clear" w:color="auto" w:fill="FEADD7" w:themeFill="accent6" w:themeFillTint="66"/>
      </w:tcPr>
    </w:tblStylePr>
  </w:style>
  <w:style w:type="table" w:styleId="GridTable6Colourful">
    <w:name w:val="Grid Table 6 Colorful"/>
    <w:basedOn w:val="TableNormal"/>
    <w:uiPriority w:val="51"/>
    <w:rsid w:val="0007286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07286C"/>
    <w:pPr>
      <w:spacing w:after="0" w:line="240" w:lineRule="auto"/>
    </w:pPr>
    <w:rPr>
      <w:color w:val="002669" w:themeColor="accent1" w:themeShade="BF"/>
    </w:rPr>
    <w:tblPr>
      <w:tblStyleRowBandSize w:val="1"/>
      <w:tblStyleColBandSize w:val="1"/>
      <w:tblBorders>
        <w:top w:val="single" w:sz="4" w:space="0" w:color="2171FF" w:themeColor="accent1" w:themeTint="99"/>
        <w:left w:val="single" w:sz="4" w:space="0" w:color="2171FF" w:themeColor="accent1" w:themeTint="99"/>
        <w:bottom w:val="single" w:sz="4" w:space="0" w:color="2171FF" w:themeColor="accent1" w:themeTint="99"/>
        <w:right w:val="single" w:sz="4" w:space="0" w:color="2171FF" w:themeColor="accent1" w:themeTint="99"/>
        <w:insideH w:val="single" w:sz="4" w:space="0" w:color="2171FF" w:themeColor="accent1" w:themeTint="99"/>
        <w:insideV w:val="single" w:sz="4" w:space="0" w:color="2171FF" w:themeColor="accent1" w:themeTint="99"/>
      </w:tblBorders>
    </w:tblPr>
    <w:tblStylePr w:type="firstRow">
      <w:rPr>
        <w:b/>
        <w:bCs/>
      </w:rPr>
      <w:tblPr/>
      <w:tcPr>
        <w:tcBorders>
          <w:bottom w:val="single" w:sz="12" w:space="0" w:color="2171FF" w:themeColor="accent1" w:themeTint="99"/>
        </w:tcBorders>
      </w:tcPr>
    </w:tblStylePr>
    <w:tblStylePr w:type="lastRow">
      <w:rPr>
        <w:b/>
        <w:bCs/>
      </w:rPr>
      <w:tblPr/>
      <w:tcPr>
        <w:tcBorders>
          <w:top w:val="double" w:sz="4" w:space="0" w:color="2171FF" w:themeColor="accent1" w:themeTint="99"/>
        </w:tcBorders>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GridTable6ColourfulAccent2">
    <w:name w:val="Grid Table 6 Colorful Accent 2"/>
    <w:basedOn w:val="TableNormal"/>
    <w:uiPriority w:val="51"/>
    <w:rsid w:val="0007286C"/>
    <w:pPr>
      <w:spacing w:after="0" w:line="240" w:lineRule="auto"/>
    </w:pPr>
    <w:rPr>
      <w:color w:val="1635A9" w:themeColor="accent2" w:themeShade="BF"/>
    </w:rPr>
    <w:tblPr>
      <w:tblStyleRowBandSize w:val="1"/>
      <w:tblStyleColBandSize w:val="1"/>
      <w:tblBorders>
        <w:top w:val="single" w:sz="4" w:space="0" w:color="7791ED" w:themeColor="accent2" w:themeTint="99"/>
        <w:left w:val="single" w:sz="4" w:space="0" w:color="7791ED" w:themeColor="accent2" w:themeTint="99"/>
        <w:bottom w:val="single" w:sz="4" w:space="0" w:color="7791ED" w:themeColor="accent2" w:themeTint="99"/>
        <w:right w:val="single" w:sz="4" w:space="0" w:color="7791ED" w:themeColor="accent2" w:themeTint="99"/>
        <w:insideH w:val="single" w:sz="4" w:space="0" w:color="7791ED" w:themeColor="accent2" w:themeTint="99"/>
        <w:insideV w:val="single" w:sz="4" w:space="0" w:color="7791ED" w:themeColor="accent2" w:themeTint="99"/>
      </w:tblBorders>
    </w:tblPr>
    <w:tblStylePr w:type="firstRow">
      <w:rPr>
        <w:b/>
        <w:bCs/>
      </w:rPr>
      <w:tblPr/>
      <w:tcPr>
        <w:tcBorders>
          <w:bottom w:val="single" w:sz="12" w:space="0" w:color="7791ED" w:themeColor="accent2" w:themeTint="99"/>
        </w:tcBorders>
      </w:tcPr>
    </w:tblStylePr>
    <w:tblStylePr w:type="lastRow">
      <w:rPr>
        <w:b/>
        <w:bCs/>
      </w:rPr>
      <w:tblPr/>
      <w:tcPr>
        <w:tcBorders>
          <w:top w:val="double" w:sz="4" w:space="0" w:color="7791ED" w:themeColor="accent2" w:themeTint="99"/>
        </w:tcBorders>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GridTable6ColourfulAccent3">
    <w:name w:val="Grid Table 6 Colorful Accent 3"/>
    <w:basedOn w:val="TableNormal"/>
    <w:uiPriority w:val="51"/>
    <w:rsid w:val="0007286C"/>
    <w:pPr>
      <w:spacing w:after="0" w:line="240" w:lineRule="auto"/>
    </w:pPr>
    <w:rPr>
      <w:color w:val="091A2C" w:themeColor="accent3" w:themeShade="BF"/>
    </w:rPr>
    <w:tblPr>
      <w:tblStyleRowBandSize w:val="1"/>
      <w:tblStyleColBandSize w:val="1"/>
      <w:tblBorders>
        <w:top w:val="single" w:sz="4" w:space="0" w:color="2977CD" w:themeColor="accent3" w:themeTint="99"/>
        <w:left w:val="single" w:sz="4" w:space="0" w:color="2977CD" w:themeColor="accent3" w:themeTint="99"/>
        <w:bottom w:val="single" w:sz="4" w:space="0" w:color="2977CD" w:themeColor="accent3" w:themeTint="99"/>
        <w:right w:val="single" w:sz="4" w:space="0" w:color="2977CD" w:themeColor="accent3" w:themeTint="99"/>
        <w:insideH w:val="single" w:sz="4" w:space="0" w:color="2977CD" w:themeColor="accent3" w:themeTint="99"/>
        <w:insideV w:val="single" w:sz="4" w:space="0" w:color="2977CD" w:themeColor="accent3" w:themeTint="99"/>
      </w:tblBorders>
    </w:tblPr>
    <w:tblStylePr w:type="firstRow">
      <w:rPr>
        <w:b/>
        <w:bCs/>
      </w:rPr>
      <w:tblPr/>
      <w:tcPr>
        <w:tcBorders>
          <w:bottom w:val="single" w:sz="12" w:space="0" w:color="2977CD" w:themeColor="accent3" w:themeTint="99"/>
        </w:tcBorders>
      </w:tcPr>
    </w:tblStylePr>
    <w:tblStylePr w:type="lastRow">
      <w:rPr>
        <w:b/>
        <w:bCs/>
      </w:rPr>
      <w:tblPr/>
      <w:tcPr>
        <w:tcBorders>
          <w:top w:val="double" w:sz="4" w:space="0" w:color="2977CD" w:themeColor="accent3" w:themeTint="99"/>
        </w:tcBorders>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GridTable6ColourfulAccent4">
    <w:name w:val="Grid Table 6 Colorful Accent 4"/>
    <w:basedOn w:val="TableNormal"/>
    <w:uiPriority w:val="51"/>
    <w:rsid w:val="0007286C"/>
    <w:pPr>
      <w:spacing w:after="0" w:line="240" w:lineRule="auto"/>
    </w:pPr>
    <w:rPr>
      <w:color w:val="0089B7" w:themeColor="accent4" w:themeShade="BF"/>
    </w:rPr>
    <w:tblPr>
      <w:tblStyleRowBandSize w:val="1"/>
      <w:tblStyleColBandSize w:val="1"/>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insideV w:val="single" w:sz="4" w:space="0" w:color="60D7FF" w:themeColor="accent4" w:themeTint="99"/>
      </w:tblBorders>
    </w:tblPr>
    <w:tblStylePr w:type="firstRow">
      <w:rPr>
        <w:b/>
        <w:bCs/>
      </w:rPr>
      <w:tblPr/>
      <w:tcPr>
        <w:tcBorders>
          <w:bottom w:val="single" w:sz="12" w:space="0" w:color="60D7FF" w:themeColor="accent4" w:themeTint="99"/>
        </w:tcBorders>
      </w:tcPr>
    </w:tblStylePr>
    <w:tblStylePr w:type="lastRow">
      <w:rPr>
        <w:b/>
        <w:bCs/>
      </w:rPr>
      <w:tblPr/>
      <w:tcPr>
        <w:tcBorders>
          <w:top w:val="double" w:sz="4" w:space="0" w:color="60D7FF" w:themeColor="accent4" w:themeTint="99"/>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GridTable6ColourfulAccent5">
    <w:name w:val="Grid Table 6 Colorful Accent 5"/>
    <w:basedOn w:val="TableNormal"/>
    <w:uiPriority w:val="51"/>
    <w:rsid w:val="0007286C"/>
    <w:pPr>
      <w:spacing w:after="0" w:line="240" w:lineRule="auto"/>
    </w:pPr>
    <w:rPr>
      <w:color w:val="540EAF" w:themeColor="accent5" w:themeShade="BF"/>
    </w:rPr>
    <w:tblPr>
      <w:tblStyleRowBandSize w:val="1"/>
      <w:tblStyleColBandSize w:val="1"/>
      <w:tblBorders>
        <w:top w:val="single" w:sz="4" w:space="0" w:color="A970F3" w:themeColor="accent5" w:themeTint="99"/>
        <w:left w:val="single" w:sz="4" w:space="0" w:color="A970F3" w:themeColor="accent5" w:themeTint="99"/>
        <w:bottom w:val="single" w:sz="4" w:space="0" w:color="A970F3" w:themeColor="accent5" w:themeTint="99"/>
        <w:right w:val="single" w:sz="4" w:space="0" w:color="A970F3" w:themeColor="accent5" w:themeTint="99"/>
        <w:insideH w:val="single" w:sz="4" w:space="0" w:color="A970F3" w:themeColor="accent5" w:themeTint="99"/>
        <w:insideV w:val="single" w:sz="4" w:space="0" w:color="A970F3" w:themeColor="accent5" w:themeTint="99"/>
      </w:tblBorders>
    </w:tblPr>
    <w:tblStylePr w:type="firstRow">
      <w:rPr>
        <w:b/>
        <w:bCs/>
      </w:rPr>
      <w:tblPr/>
      <w:tcPr>
        <w:tcBorders>
          <w:bottom w:val="single" w:sz="12" w:space="0" w:color="A970F3" w:themeColor="accent5" w:themeTint="99"/>
        </w:tcBorders>
      </w:tcPr>
    </w:tblStylePr>
    <w:tblStylePr w:type="lastRow">
      <w:rPr>
        <w:b/>
        <w:bCs/>
      </w:rPr>
      <w:tblPr/>
      <w:tcPr>
        <w:tcBorders>
          <w:top w:val="double" w:sz="4" w:space="0" w:color="A970F3" w:themeColor="accent5" w:themeTint="99"/>
        </w:tcBorders>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GridTable6ColourfulAccent6">
    <w:name w:val="Grid Table 6 Colorful Accent 6"/>
    <w:basedOn w:val="TableNormal"/>
    <w:uiPriority w:val="51"/>
    <w:rsid w:val="0007286C"/>
    <w:pPr>
      <w:spacing w:after="0" w:line="240" w:lineRule="auto"/>
    </w:pPr>
    <w:rPr>
      <w:color w:val="E20275" w:themeColor="accent6" w:themeShade="BF"/>
    </w:rPr>
    <w:tblPr>
      <w:tblStyleRowBandSize w:val="1"/>
      <w:tblStyleColBandSize w:val="1"/>
      <w:tblBorders>
        <w:top w:val="single" w:sz="4" w:space="0" w:color="FD85C3" w:themeColor="accent6" w:themeTint="99"/>
        <w:left w:val="single" w:sz="4" w:space="0" w:color="FD85C3" w:themeColor="accent6" w:themeTint="99"/>
        <w:bottom w:val="single" w:sz="4" w:space="0" w:color="FD85C3" w:themeColor="accent6" w:themeTint="99"/>
        <w:right w:val="single" w:sz="4" w:space="0" w:color="FD85C3" w:themeColor="accent6" w:themeTint="99"/>
        <w:insideH w:val="single" w:sz="4" w:space="0" w:color="FD85C3" w:themeColor="accent6" w:themeTint="99"/>
        <w:insideV w:val="single" w:sz="4" w:space="0" w:color="FD85C3" w:themeColor="accent6" w:themeTint="99"/>
      </w:tblBorders>
    </w:tblPr>
    <w:tblStylePr w:type="firstRow">
      <w:rPr>
        <w:b/>
        <w:bCs/>
      </w:rPr>
      <w:tblPr/>
      <w:tcPr>
        <w:tcBorders>
          <w:bottom w:val="single" w:sz="12" w:space="0" w:color="FD85C3" w:themeColor="accent6" w:themeTint="99"/>
        </w:tcBorders>
      </w:tcPr>
    </w:tblStylePr>
    <w:tblStylePr w:type="lastRow">
      <w:rPr>
        <w:b/>
        <w:bCs/>
      </w:rPr>
      <w:tblPr/>
      <w:tcPr>
        <w:tcBorders>
          <w:top w:val="double" w:sz="4" w:space="0" w:color="FD85C3" w:themeColor="accent6" w:themeTint="99"/>
        </w:tcBorders>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GridTable7Colourful">
    <w:name w:val="Grid Table 7 Colorful"/>
    <w:basedOn w:val="TableNormal"/>
    <w:uiPriority w:val="52"/>
    <w:rsid w:val="0007286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07286C"/>
    <w:pPr>
      <w:spacing w:after="0" w:line="240" w:lineRule="auto"/>
    </w:pPr>
    <w:rPr>
      <w:color w:val="002669" w:themeColor="accent1" w:themeShade="BF"/>
    </w:rPr>
    <w:tblPr>
      <w:tblStyleRowBandSize w:val="1"/>
      <w:tblStyleColBandSize w:val="1"/>
      <w:tblBorders>
        <w:top w:val="single" w:sz="4" w:space="0" w:color="2171FF" w:themeColor="accent1" w:themeTint="99"/>
        <w:left w:val="single" w:sz="4" w:space="0" w:color="2171FF" w:themeColor="accent1" w:themeTint="99"/>
        <w:bottom w:val="single" w:sz="4" w:space="0" w:color="2171FF" w:themeColor="accent1" w:themeTint="99"/>
        <w:right w:val="single" w:sz="4" w:space="0" w:color="2171FF" w:themeColor="accent1" w:themeTint="99"/>
        <w:insideH w:val="single" w:sz="4" w:space="0" w:color="2171FF" w:themeColor="accent1" w:themeTint="99"/>
        <w:insideV w:val="single" w:sz="4" w:space="0" w:color="2171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CFFF" w:themeFill="accent1" w:themeFillTint="33"/>
      </w:tcPr>
    </w:tblStylePr>
    <w:tblStylePr w:type="band1Horz">
      <w:tblPr/>
      <w:tcPr>
        <w:shd w:val="clear" w:color="auto" w:fill="B5CFFF" w:themeFill="accent1" w:themeFillTint="33"/>
      </w:tcPr>
    </w:tblStylePr>
    <w:tblStylePr w:type="neCell">
      <w:tblPr/>
      <w:tcPr>
        <w:tcBorders>
          <w:bottom w:val="single" w:sz="4" w:space="0" w:color="2171FF" w:themeColor="accent1" w:themeTint="99"/>
        </w:tcBorders>
      </w:tcPr>
    </w:tblStylePr>
    <w:tblStylePr w:type="nwCell">
      <w:tblPr/>
      <w:tcPr>
        <w:tcBorders>
          <w:bottom w:val="single" w:sz="4" w:space="0" w:color="2171FF" w:themeColor="accent1" w:themeTint="99"/>
        </w:tcBorders>
      </w:tcPr>
    </w:tblStylePr>
    <w:tblStylePr w:type="seCell">
      <w:tblPr/>
      <w:tcPr>
        <w:tcBorders>
          <w:top w:val="single" w:sz="4" w:space="0" w:color="2171FF" w:themeColor="accent1" w:themeTint="99"/>
        </w:tcBorders>
      </w:tcPr>
    </w:tblStylePr>
    <w:tblStylePr w:type="swCell">
      <w:tblPr/>
      <w:tcPr>
        <w:tcBorders>
          <w:top w:val="single" w:sz="4" w:space="0" w:color="2171FF" w:themeColor="accent1" w:themeTint="99"/>
        </w:tcBorders>
      </w:tcPr>
    </w:tblStylePr>
  </w:style>
  <w:style w:type="table" w:styleId="GridTable7ColourfulAccent2">
    <w:name w:val="Grid Table 7 Colorful Accent 2"/>
    <w:basedOn w:val="TableNormal"/>
    <w:uiPriority w:val="52"/>
    <w:rsid w:val="0007286C"/>
    <w:pPr>
      <w:spacing w:after="0" w:line="240" w:lineRule="auto"/>
    </w:pPr>
    <w:rPr>
      <w:color w:val="1635A9" w:themeColor="accent2" w:themeShade="BF"/>
    </w:rPr>
    <w:tblPr>
      <w:tblStyleRowBandSize w:val="1"/>
      <w:tblStyleColBandSize w:val="1"/>
      <w:tblBorders>
        <w:top w:val="single" w:sz="4" w:space="0" w:color="7791ED" w:themeColor="accent2" w:themeTint="99"/>
        <w:left w:val="single" w:sz="4" w:space="0" w:color="7791ED" w:themeColor="accent2" w:themeTint="99"/>
        <w:bottom w:val="single" w:sz="4" w:space="0" w:color="7791ED" w:themeColor="accent2" w:themeTint="99"/>
        <w:right w:val="single" w:sz="4" w:space="0" w:color="7791ED" w:themeColor="accent2" w:themeTint="99"/>
        <w:insideH w:val="single" w:sz="4" w:space="0" w:color="7791ED" w:themeColor="accent2" w:themeTint="99"/>
        <w:insideV w:val="single" w:sz="4" w:space="0" w:color="7791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AF9" w:themeFill="accent2" w:themeFillTint="33"/>
      </w:tcPr>
    </w:tblStylePr>
    <w:tblStylePr w:type="band1Horz">
      <w:tblPr/>
      <w:tcPr>
        <w:shd w:val="clear" w:color="auto" w:fill="D1DAF9" w:themeFill="accent2" w:themeFillTint="33"/>
      </w:tcPr>
    </w:tblStylePr>
    <w:tblStylePr w:type="neCell">
      <w:tblPr/>
      <w:tcPr>
        <w:tcBorders>
          <w:bottom w:val="single" w:sz="4" w:space="0" w:color="7791ED" w:themeColor="accent2" w:themeTint="99"/>
        </w:tcBorders>
      </w:tcPr>
    </w:tblStylePr>
    <w:tblStylePr w:type="nwCell">
      <w:tblPr/>
      <w:tcPr>
        <w:tcBorders>
          <w:bottom w:val="single" w:sz="4" w:space="0" w:color="7791ED" w:themeColor="accent2" w:themeTint="99"/>
        </w:tcBorders>
      </w:tcPr>
    </w:tblStylePr>
    <w:tblStylePr w:type="seCell">
      <w:tblPr/>
      <w:tcPr>
        <w:tcBorders>
          <w:top w:val="single" w:sz="4" w:space="0" w:color="7791ED" w:themeColor="accent2" w:themeTint="99"/>
        </w:tcBorders>
      </w:tcPr>
    </w:tblStylePr>
    <w:tblStylePr w:type="swCell">
      <w:tblPr/>
      <w:tcPr>
        <w:tcBorders>
          <w:top w:val="single" w:sz="4" w:space="0" w:color="7791ED" w:themeColor="accent2" w:themeTint="99"/>
        </w:tcBorders>
      </w:tcPr>
    </w:tblStylePr>
  </w:style>
  <w:style w:type="table" w:styleId="GridTable7ColourfulAccent3">
    <w:name w:val="Grid Table 7 Colorful Accent 3"/>
    <w:basedOn w:val="TableNormal"/>
    <w:uiPriority w:val="52"/>
    <w:rsid w:val="0007286C"/>
    <w:pPr>
      <w:spacing w:after="0" w:line="240" w:lineRule="auto"/>
    </w:pPr>
    <w:rPr>
      <w:color w:val="091A2C" w:themeColor="accent3" w:themeShade="BF"/>
    </w:rPr>
    <w:tblPr>
      <w:tblStyleRowBandSize w:val="1"/>
      <w:tblStyleColBandSize w:val="1"/>
      <w:tblBorders>
        <w:top w:val="single" w:sz="4" w:space="0" w:color="2977CD" w:themeColor="accent3" w:themeTint="99"/>
        <w:left w:val="single" w:sz="4" w:space="0" w:color="2977CD" w:themeColor="accent3" w:themeTint="99"/>
        <w:bottom w:val="single" w:sz="4" w:space="0" w:color="2977CD" w:themeColor="accent3" w:themeTint="99"/>
        <w:right w:val="single" w:sz="4" w:space="0" w:color="2977CD" w:themeColor="accent3" w:themeTint="99"/>
        <w:insideH w:val="single" w:sz="4" w:space="0" w:color="2977CD" w:themeColor="accent3" w:themeTint="99"/>
        <w:insideV w:val="single" w:sz="4" w:space="0" w:color="2977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D1F0" w:themeFill="accent3" w:themeFillTint="33"/>
      </w:tcPr>
    </w:tblStylePr>
    <w:tblStylePr w:type="band1Horz">
      <w:tblPr/>
      <w:tcPr>
        <w:shd w:val="clear" w:color="auto" w:fill="B5D1F0" w:themeFill="accent3" w:themeFillTint="33"/>
      </w:tcPr>
    </w:tblStylePr>
    <w:tblStylePr w:type="neCell">
      <w:tblPr/>
      <w:tcPr>
        <w:tcBorders>
          <w:bottom w:val="single" w:sz="4" w:space="0" w:color="2977CD" w:themeColor="accent3" w:themeTint="99"/>
        </w:tcBorders>
      </w:tcPr>
    </w:tblStylePr>
    <w:tblStylePr w:type="nwCell">
      <w:tblPr/>
      <w:tcPr>
        <w:tcBorders>
          <w:bottom w:val="single" w:sz="4" w:space="0" w:color="2977CD" w:themeColor="accent3" w:themeTint="99"/>
        </w:tcBorders>
      </w:tcPr>
    </w:tblStylePr>
    <w:tblStylePr w:type="seCell">
      <w:tblPr/>
      <w:tcPr>
        <w:tcBorders>
          <w:top w:val="single" w:sz="4" w:space="0" w:color="2977CD" w:themeColor="accent3" w:themeTint="99"/>
        </w:tcBorders>
      </w:tcPr>
    </w:tblStylePr>
    <w:tblStylePr w:type="swCell">
      <w:tblPr/>
      <w:tcPr>
        <w:tcBorders>
          <w:top w:val="single" w:sz="4" w:space="0" w:color="2977CD" w:themeColor="accent3" w:themeTint="99"/>
        </w:tcBorders>
      </w:tcPr>
    </w:tblStylePr>
  </w:style>
  <w:style w:type="table" w:styleId="GridTable7ColourfulAccent4">
    <w:name w:val="Grid Table 7 Colorful Accent 4"/>
    <w:basedOn w:val="TableNormal"/>
    <w:uiPriority w:val="52"/>
    <w:rsid w:val="0007286C"/>
    <w:pPr>
      <w:spacing w:after="0" w:line="240" w:lineRule="auto"/>
    </w:pPr>
    <w:rPr>
      <w:color w:val="0089B7" w:themeColor="accent4" w:themeShade="BF"/>
    </w:rPr>
    <w:tblPr>
      <w:tblStyleRowBandSize w:val="1"/>
      <w:tblStyleColBandSize w:val="1"/>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insideV w:val="single" w:sz="4" w:space="0" w:color="60D7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1FF" w:themeFill="accent4" w:themeFillTint="33"/>
      </w:tcPr>
    </w:tblStylePr>
    <w:tblStylePr w:type="band1Horz">
      <w:tblPr/>
      <w:tcPr>
        <w:shd w:val="clear" w:color="auto" w:fill="CAF1FF" w:themeFill="accent4" w:themeFillTint="33"/>
      </w:tcPr>
    </w:tblStylePr>
    <w:tblStylePr w:type="neCell">
      <w:tblPr/>
      <w:tcPr>
        <w:tcBorders>
          <w:bottom w:val="single" w:sz="4" w:space="0" w:color="60D7FF" w:themeColor="accent4" w:themeTint="99"/>
        </w:tcBorders>
      </w:tcPr>
    </w:tblStylePr>
    <w:tblStylePr w:type="nwCell">
      <w:tblPr/>
      <w:tcPr>
        <w:tcBorders>
          <w:bottom w:val="single" w:sz="4" w:space="0" w:color="60D7FF" w:themeColor="accent4" w:themeTint="99"/>
        </w:tcBorders>
      </w:tcPr>
    </w:tblStylePr>
    <w:tblStylePr w:type="seCell">
      <w:tblPr/>
      <w:tcPr>
        <w:tcBorders>
          <w:top w:val="single" w:sz="4" w:space="0" w:color="60D7FF" w:themeColor="accent4" w:themeTint="99"/>
        </w:tcBorders>
      </w:tcPr>
    </w:tblStylePr>
    <w:tblStylePr w:type="swCell">
      <w:tblPr/>
      <w:tcPr>
        <w:tcBorders>
          <w:top w:val="single" w:sz="4" w:space="0" w:color="60D7FF" w:themeColor="accent4" w:themeTint="99"/>
        </w:tcBorders>
      </w:tcPr>
    </w:tblStylePr>
  </w:style>
  <w:style w:type="table" w:styleId="GridTable7ColourfulAccent5">
    <w:name w:val="Grid Table 7 Colorful Accent 5"/>
    <w:basedOn w:val="TableNormal"/>
    <w:uiPriority w:val="52"/>
    <w:rsid w:val="0007286C"/>
    <w:pPr>
      <w:spacing w:after="0" w:line="240" w:lineRule="auto"/>
    </w:pPr>
    <w:rPr>
      <w:color w:val="540EAF" w:themeColor="accent5" w:themeShade="BF"/>
    </w:rPr>
    <w:tblPr>
      <w:tblStyleRowBandSize w:val="1"/>
      <w:tblStyleColBandSize w:val="1"/>
      <w:tblBorders>
        <w:top w:val="single" w:sz="4" w:space="0" w:color="A970F3" w:themeColor="accent5" w:themeTint="99"/>
        <w:left w:val="single" w:sz="4" w:space="0" w:color="A970F3" w:themeColor="accent5" w:themeTint="99"/>
        <w:bottom w:val="single" w:sz="4" w:space="0" w:color="A970F3" w:themeColor="accent5" w:themeTint="99"/>
        <w:right w:val="single" w:sz="4" w:space="0" w:color="A970F3" w:themeColor="accent5" w:themeTint="99"/>
        <w:insideH w:val="single" w:sz="4" w:space="0" w:color="A970F3" w:themeColor="accent5" w:themeTint="99"/>
        <w:insideV w:val="single" w:sz="4" w:space="0" w:color="A970F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CFFB" w:themeFill="accent5" w:themeFillTint="33"/>
      </w:tcPr>
    </w:tblStylePr>
    <w:tblStylePr w:type="band1Horz">
      <w:tblPr/>
      <w:tcPr>
        <w:shd w:val="clear" w:color="auto" w:fill="E2CFFB" w:themeFill="accent5" w:themeFillTint="33"/>
      </w:tcPr>
    </w:tblStylePr>
    <w:tblStylePr w:type="neCell">
      <w:tblPr/>
      <w:tcPr>
        <w:tcBorders>
          <w:bottom w:val="single" w:sz="4" w:space="0" w:color="A970F3" w:themeColor="accent5" w:themeTint="99"/>
        </w:tcBorders>
      </w:tcPr>
    </w:tblStylePr>
    <w:tblStylePr w:type="nwCell">
      <w:tblPr/>
      <w:tcPr>
        <w:tcBorders>
          <w:bottom w:val="single" w:sz="4" w:space="0" w:color="A970F3" w:themeColor="accent5" w:themeTint="99"/>
        </w:tcBorders>
      </w:tcPr>
    </w:tblStylePr>
    <w:tblStylePr w:type="seCell">
      <w:tblPr/>
      <w:tcPr>
        <w:tcBorders>
          <w:top w:val="single" w:sz="4" w:space="0" w:color="A970F3" w:themeColor="accent5" w:themeTint="99"/>
        </w:tcBorders>
      </w:tcPr>
    </w:tblStylePr>
    <w:tblStylePr w:type="swCell">
      <w:tblPr/>
      <w:tcPr>
        <w:tcBorders>
          <w:top w:val="single" w:sz="4" w:space="0" w:color="A970F3" w:themeColor="accent5" w:themeTint="99"/>
        </w:tcBorders>
      </w:tcPr>
    </w:tblStylePr>
  </w:style>
  <w:style w:type="table" w:styleId="GridTable7ColourfulAccent6">
    <w:name w:val="Grid Table 7 Colorful Accent 6"/>
    <w:basedOn w:val="TableNormal"/>
    <w:uiPriority w:val="52"/>
    <w:rsid w:val="0007286C"/>
    <w:pPr>
      <w:spacing w:after="0" w:line="240" w:lineRule="auto"/>
    </w:pPr>
    <w:rPr>
      <w:color w:val="E20275" w:themeColor="accent6" w:themeShade="BF"/>
    </w:rPr>
    <w:tblPr>
      <w:tblStyleRowBandSize w:val="1"/>
      <w:tblStyleColBandSize w:val="1"/>
      <w:tblBorders>
        <w:top w:val="single" w:sz="4" w:space="0" w:color="FD85C3" w:themeColor="accent6" w:themeTint="99"/>
        <w:left w:val="single" w:sz="4" w:space="0" w:color="FD85C3" w:themeColor="accent6" w:themeTint="99"/>
        <w:bottom w:val="single" w:sz="4" w:space="0" w:color="FD85C3" w:themeColor="accent6" w:themeTint="99"/>
        <w:right w:val="single" w:sz="4" w:space="0" w:color="FD85C3" w:themeColor="accent6" w:themeTint="99"/>
        <w:insideH w:val="single" w:sz="4" w:space="0" w:color="FD85C3" w:themeColor="accent6" w:themeTint="99"/>
        <w:insideV w:val="single" w:sz="4" w:space="0" w:color="FD85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D6EB" w:themeFill="accent6" w:themeFillTint="33"/>
      </w:tcPr>
    </w:tblStylePr>
    <w:tblStylePr w:type="band1Horz">
      <w:tblPr/>
      <w:tcPr>
        <w:shd w:val="clear" w:color="auto" w:fill="FED6EB" w:themeFill="accent6" w:themeFillTint="33"/>
      </w:tcPr>
    </w:tblStylePr>
    <w:tblStylePr w:type="neCell">
      <w:tblPr/>
      <w:tcPr>
        <w:tcBorders>
          <w:bottom w:val="single" w:sz="4" w:space="0" w:color="FD85C3" w:themeColor="accent6" w:themeTint="99"/>
        </w:tcBorders>
      </w:tcPr>
    </w:tblStylePr>
    <w:tblStylePr w:type="nwCell">
      <w:tblPr/>
      <w:tcPr>
        <w:tcBorders>
          <w:bottom w:val="single" w:sz="4" w:space="0" w:color="FD85C3" w:themeColor="accent6" w:themeTint="99"/>
        </w:tcBorders>
      </w:tcPr>
    </w:tblStylePr>
    <w:tblStylePr w:type="seCell">
      <w:tblPr/>
      <w:tcPr>
        <w:tcBorders>
          <w:top w:val="single" w:sz="4" w:space="0" w:color="FD85C3" w:themeColor="accent6" w:themeTint="99"/>
        </w:tcBorders>
      </w:tcPr>
    </w:tblStylePr>
    <w:tblStylePr w:type="swCell">
      <w:tblPr/>
      <w:tcPr>
        <w:tcBorders>
          <w:top w:val="single" w:sz="4" w:space="0" w:color="FD85C3" w:themeColor="accent6" w:themeTint="99"/>
        </w:tcBorders>
      </w:tcPr>
    </w:tblStylePr>
  </w:style>
  <w:style w:type="character" w:styleId="HTMLAcronym">
    <w:name w:val="HTML Acronym"/>
    <w:basedOn w:val="DefaultParagraphFont"/>
    <w:uiPriority w:val="99"/>
    <w:semiHidden/>
    <w:unhideWhenUsed/>
    <w:rsid w:val="0007286C"/>
  </w:style>
  <w:style w:type="paragraph" w:styleId="HTMLAddress">
    <w:name w:val="HTML Address"/>
    <w:basedOn w:val="Normal"/>
    <w:link w:val="HTMLAddressChar"/>
    <w:uiPriority w:val="99"/>
    <w:semiHidden/>
    <w:unhideWhenUsed/>
    <w:rsid w:val="0007286C"/>
    <w:pPr>
      <w:spacing w:before="0" w:after="0"/>
    </w:pPr>
    <w:rPr>
      <w:i/>
      <w:iCs/>
      <w:sz w:val="18"/>
    </w:rPr>
  </w:style>
  <w:style w:type="character" w:customStyle="1" w:styleId="HTMLAddressChar">
    <w:name w:val="HTML Address Char"/>
    <w:basedOn w:val="DefaultParagraphFont"/>
    <w:link w:val="HTMLAddress"/>
    <w:uiPriority w:val="99"/>
    <w:semiHidden/>
    <w:rsid w:val="0007286C"/>
    <w:rPr>
      <w:i/>
      <w:iCs/>
      <w:sz w:val="18"/>
    </w:rPr>
  </w:style>
  <w:style w:type="character" w:styleId="HTMLCite">
    <w:name w:val="HTML Cite"/>
    <w:basedOn w:val="DefaultParagraphFont"/>
    <w:uiPriority w:val="99"/>
    <w:semiHidden/>
    <w:unhideWhenUsed/>
    <w:rsid w:val="0007286C"/>
    <w:rPr>
      <w:i/>
      <w:iCs/>
    </w:rPr>
  </w:style>
  <w:style w:type="character" w:styleId="HTMLCode">
    <w:name w:val="HTML Code"/>
    <w:basedOn w:val="DefaultParagraphFont"/>
    <w:uiPriority w:val="99"/>
    <w:semiHidden/>
    <w:unhideWhenUsed/>
    <w:rsid w:val="0007286C"/>
    <w:rPr>
      <w:rFonts w:ascii="Consolas" w:hAnsi="Consolas"/>
      <w:sz w:val="20"/>
      <w:szCs w:val="20"/>
    </w:rPr>
  </w:style>
  <w:style w:type="character" w:styleId="HTMLDefinition">
    <w:name w:val="HTML Definition"/>
    <w:basedOn w:val="DefaultParagraphFont"/>
    <w:uiPriority w:val="99"/>
    <w:semiHidden/>
    <w:unhideWhenUsed/>
    <w:rsid w:val="0007286C"/>
    <w:rPr>
      <w:i/>
      <w:iCs/>
    </w:rPr>
  </w:style>
  <w:style w:type="character" w:styleId="HTMLKeyboard">
    <w:name w:val="HTML Keyboard"/>
    <w:basedOn w:val="DefaultParagraphFont"/>
    <w:uiPriority w:val="99"/>
    <w:semiHidden/>
    <w:unhideWhenUsed/>
    <w:rsid w:val="0007286C"/>
    <w:rPr>
      <w:rFonts w:ascii="Consolas" w:hAnsi="Consolas"/>
      <w:sz w:val="20"/>
      <w:szCs w:val="20"/>
    </w:rPr>
  </w:style>
  <w:style w:type="paragraph" w:styleId="HTMLPreformatted">
    <w:name w:val="HTML Preformatted"/>
    <w:basedOn w:val="Normal"/>
    <w:link w:val="HTMLPreformattedChar"/>
    <w:uiPriority w:val="99"/>
    <w:semiHidden/>
    <w:unhideWhenUsed/>
    <w:rsid w:val="0007286C"/>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07286C"/>
    <w:rPr>
      <w:rFonts w:ascii="Consolas" w:hAnsi="Consolas"/>
      <w:sz w:val="20"/>
      <w:szCs w:val="20"/>
    </w:rPr>
  </w:style>
  <w:style w:type="character" w:styleId="HTMLSample">
    <w:name w:val="HTML Sample"/>
    <w:basedOn w:val="DefaultParagraphFont"/>
    <w:uiPriority w:val="99"/>
    <w:semiHidden/>
    <w:unhideWhenUsed/>
    <w:rsid w:val="0007286C"/>
    <w:rPr>
      <w:rFonts w:ascii="Consolas" w:hAnsi="Consolas"/>
      <w:sz w:val="24"/>
      <w:szCs w:val="24"/>
    </w:rPr>
  </w:style>
  <w:style w:type="character" w:styleId="HTMLTypewriter">
    <w:name w:val="HTML Typewriter"/>
    <w:basedOn w:val="DefaultParagraphFont"/>
    <w:uiPriority w:val="99"/>
    <w:semiHidden/>
    <w:unhideWhenUsed/>
    <w:rsid w:val="0007286C"/>
    <w:rPr>
      <w:rFonts w:ascii="Consolas" w:hAnsi="Consolas"/>
      <w:sz w:val="20"/>
      <w:szCs w:val="20"/>
    </w:rPr>
  </w:style>
  <w:style w:type="character" w:styleId="HTMLVariable">
    <w:name w:val="HTML Variable"/>
    <w:basedOn w:val="DefaultParagraphFont"/>
    <w:uiPriority w:val="99"/>
    <w:semiHidden/>
    <w:unhideWhenUsed/>
    <w:rsid w:val="0007286C"/>
    <w:rPr>
      <w:i/>
      <w:iCs/>
    </w:rPr>
  </w:style>
  <w:style w:type="paragraph" w:styleId="Index1">
    <w:name w:val="index 1"/>
    <w:basedOn w:val="Normal"/>
    <w:next w:val="Normal"/>
    <w:autoRedefine/>
    <w:uiPriority w:val="99"/>
    <w:semiHidden/>
    <w:unhideWhenUsed/>
    <w:rsid w:val="0007286C"/>
    <w:pPr>
      <w:spacing w:before="0" w:after="0"/>
      <w:ind w:left="180" w:hanging="180"/>
    </w:pPr>
    <w:rPr>
      <w:sz w:val="18"/>
    </w:rPr>
  </w:style>
  <w:style w:type="paragraph" w:styleId="Index2">
    <w:name w:val="index 2"/>
    <w:basedOn w:val="Normal"/>
    <w:next w:val="Normal"/>
    <w:autoRedefine/>
    <w:uiPriority w:val="99"/>
    <w:semiHidden/>
    <w:unhideWhenUsed/>
    <w:rsid w:val="0007286C"/>
    <w:pPr>
      <w:spacing w:before="0" w:after="0"/>
      <w:ind w:left="360" w:hanging="180"/>
    </w:pPr>
    <w:rPr>
      <w:sz w:val="18"/>
    </w:rPr>
  </w:style>
  <w:style w:type="paragraph" w:styleId="Index3">
    <w:name w:val="index 3"/>
    <w:basedOn w:val="Normal"/>
    <w:next w:val="Normal"/>
    <w:autoRedefine/>
    <w:uiPriority w:val="99"/>
    <w:semiHidden/>
    <w:unhideWhenUsed/>
    <w:rsid w:val="0007286C"/>
    <w:pPr>
      <w:spacing w:before="0" w:after="0"/>
      <w:ind w:left="540" w:hanging="180"/>
    </w:pPr>
    <w:rPr>
      <w:sz w:val="18"/>
    </w:rPr>
  </w:style>
  <w:style w:type="paragraph" w:styleId="Index4">
    <w:name w:val="index 4"/>
    <w:basedOn w:val="Normal"/>
    <w:next w:val="Normal"/>
    <w:autoRedefine/>
    <w:uiPriority w:val="99"/>
    <w:semiHidden/>
    <w:unhideWhenUsed/>
    <w:rsid w:val="0007286C"/>
    <w:pPr>
      <w:spacing w:before="0" w:after="0"/>
      <w:ind w:left="720" w:hanging="180"/>
    </w:pPr>
    <w:rPr>
      <w:sz w:val="18"/>
    </w:rPr>
  </w:style>
  <w:style w:type="paragraph" w:styleId="Index5">
    <w:name w:val="index 5"/>
    <w:basedOn w:val="Normal"/>
    <w:next w:val="Normal"/>
    <w:autoRedefine/>
    <w:uiPriority w:val="99"/>
    <w:semiHidden/>
    <w:unhideWhenUsed/>
    <w:rsid w:val="0007286C"/>
    <w:pPr>
      <w:spacing w:before="0" w:after="0"/>
      <w:ind w:left="900" w:hanging="180"/>
    </w:pPr>
    <w:rPr>
      <w:sz w:val="18"/>
    </w:rPr>
  </w:style>
  <w:style w:type="paragraph" w:styleId="Index6">
    <w:name w:val="index 6"/>
    <w:basedOn w:val="Normal"/>
    <w:next w:val="Normal"/>
    <w:autoRedefine/>
    <w:uiPriority w:val="99"/>
    <w:semiHidden/>
    <w:unhideWhenUsed/>
    <w:rsid w:val="0007286C"/>
    <w:pPr>
      <w:spacing w:before="0" w:after="0"/>
      <w:ind w:left="1080" w:hanging="180"/>
    </w:pPr>
    <w:rPr>
      <w:sz w:val="18"/>
    </w:rPr>
  </w:style>
  <w:style w:type="paragraph" w:styleId="Index7">
    <w:name w:val="index 7"/>
    <w:basedOn w:val="Normal"/>
    <w:next w:val="Normal"/>
    <w:autoRedefine/>
    <w:uiPriority w:val="99"/>
    <w:semiHidden/>
    <w:unhideWhenUsed/>
    <w:rsid w:val="0007286C"/>
    <w:pPr>
      <w:spacing w:before="0" w:after="0"/>
      <w:ind w:left="1260" w:hanging="180"/>
    </w:pPr>
    <w:rPr>
      <w:sz w:val="18"/>
    </w:rPr>
  </w:style>
  <w:style w:type="paragraph" w:styleId="Index8">
    <w:name w:val="index 8"/>
    <w:basedOn w:val="Normal"/>
    <w:next w:val="Normal"/>
    <w:autoRedefine/>
    <w:uiPriority w:val="99"/>
    <w:semiHidden/>
    <w:unhideWhenUsed/>
    <w:rsid w:val="0007286C"/>
    <w:pPr>
      <w:spacing w:before="0" w:after="0"/>
      <w:ind w:left="1440" w:hanging="180"/>
    </w:pPr>
    <w:rPr>
      <w:sz w:val="18"/>
    </w:rPr>
  </w:style>
  <w:style w:type="paragraph" w:styleId="Index9">
    <w:name w:val="index 9"/>
    <w:basedOn w:val="Normal"/>
    <w:next w:val="Normal"/>
    <w:autoRedefine/>
    <w:uiPriority w:val="99"/>
    <w:semiHidden/>
    <w:unhideWhenUsed/>
    <w:rsid w:val="0007286C"/>
    <w:pPr>
      <w:spacing w:before="0" w:after="0"/>
      <w:ind w:left="1620" w:hanging="180"/>
    </w:pPr>
    <w:rPr>
      <w:sz w:val="18"/>
    </w:rPr>
  </w:style>
  <w:style w:type="paragraph" w:styleId="IndexHeading">
    <w:name w:val="index heading"/>
    <w:basedOn w:val="Normal"/>
    <w:next w:val="Index1"/>
    <w:uiPriority w:val="99"/>
    <w:semiHidden/>
    <w:unhideWhenUsed/>
    <w:rsid w:val="0007286C"/>
    <w:pPr>
      <w:spacing w:before="0" w:after="160" w:line="259" w:lineRule="auto"/>
    </w:pPr>
    <w:rPr>
      <w:rFonts w:asciiTheme="majorHAnsi" w:eastAsiaTheme="majorEastAsia" w:hAnsiTheme="majorHAnsi" w:cstheme="majorBidi"/>
      <w:b/>
      <w:bCs/>
      <w:sz w:val="18"/>
    </w:rPr>
  </w:style>
  <w:style w:type="character" w:styleId="IntenseEmphasis">
    <w:name w:val="Intense Emphasis"/>
    <w:basedOn w:val="DefaultParagraphFont"/>
    <w:uiPriority w:val="21"/>
    <w:rsid w:val="0007286C"/>
    <w:rPr>
      <w:i/>
      <w:iCs/>
      <w:color w:val="00338D" w:themeColor="accent1"/>
    </w:rPr>
  </w:style>
  <w:style w:type="paragraph" w:styleId="IntenseQuote">
    <w:name w:val="Intense Quote"/>
    <w:basedOn w:val="Normal"/>
    <w:next w:val="Normal"/>
    <w:link w:val="IntenseQuoteChar"/>
    <w:uiPriority w:val="30"/>
    <w:rsid w:val="0007286C"/>
    <w:pPr>
      <w:pBdr>
        <w:top w:val="single" w:sz="4" w:space="10" w:color="00338D" w:themeColor="accent1"/>
        <w:bottom w:val="single" w:sz="4" w:space="10" w:color="00338D" w:themeColor="accent1"/>
      </w:pBdr>
      <w:spacing w:before="360" w:after="360" w:line="259" w:lineRule="auto"/>
      <w:ind w:left="864" w:right="864"/>
      <w:jc w:val="center"/>
    </w:pPr>
    <w:rPr>
      <w:i/>
      <w:iCs/>
      <w:color w:val="00338D" w:themeColor="accent1"/>
      <w:sz w:val="18"/>
    </w:rPr>
  </w:style>
  <w:style w:type="character" w:customStyle="1" w:styleId="IntenseQuoteChar">
    <w:name w:val="Intense Quote Char"/>
    <w:basedOn w:val="DefaultParagraphFont"/>
    <w:link w:val="IntenseQuote"/>
    <w:uiPriority w:val="30"/>
    <w:rsid w:val="0007286C"/>
    <w:rPr>
      <w:i/>
      <w:iCs/>
      <w:color w:val="00338D" w:themeColor="accent1"/>
      <w:sz w:val="18"/>
    </w:rPr>
  </w:style>
  <w:style w:type="character" w:styleId="IntenseReference">
    <w:name w:val="Intense Reference"/>
    <w:basedOn w:val="DefaultParagraphFont"/>
    <w:uiPriority w:val="32"/>
    <w:rsid w:val="0007286C"/>
    <w:rPr>
      <w:b/>
      <w:bCs/>
      <w:smallCaps/>
      <w:color w:val="00338D" w:themeColor="accent1"/>
      <w:spacing w:val="5"/>
    </w:rPr>
  </w:style>
  <w:style w:type="table" w:styleId="LightGrid">
    <w:name w:val="Light Grid"/>
    <w:basedOn w:val="TableNormal"/>
    <w:uiPriority w:val="62"/>
    <w:semiHidden/>
    <w:unhideWhenUsed/>
    <w:rsid w:val="000728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LineNumber">
    <w:name w:val="line number"/>
    <w:basedOn w:val="DefaultParagraphFont"/>
    <w:uiPriority w:val="99"/>
    <w:semiHidden/>
    <w:unhideWhenUsed/>
    <w:rsid w:val="0007286C"/>
  </w:style>
  <w:style w:type="paragraph" w:styleId="List">
    <w:name w:val="List"/>
    <w:basedOn w:val="Normal"/>
    <w:uiPriority w:val="99"/>
    <w:semiHidden/>
    <w:unhideWhenUsed/>
    <w:rsid w:val="0007286C"/>
    <w:pPr>
      <w:spacing w:before="0" w:after="160" w:line="259" w:lineRule="auto"/>
      <w:ind w:left="283" w:hanging="283"/>
      <w:contextualSpacing/>
    </w:pPr>
    <w:rPr>
      <w:sz w:val="18"/>
    </w:rPr>
  </w:style>
  <w:style w:type="paragraph" w:styleId="List2">
    <w:name w:val="List 2"/>
    <w:basedOn w:val="Normal"/>
    <w:uiPriority w:val="99"/>
    <w:semiHidden/>
    <w:unhideWhenUsed/>
    <w:rsid w:val="0007286C"/>
    <w:pPr>
      <w:spacing w:before="0" w:after="160" w:line="259" w:lineRule="auto"/>
      <w:ind w:left="566" w:hanging="283"/>
      <w:contextualSpacing/>
    </w:pPr>
    <w:rPr>
      <w:sz w:val="18"/>
    </w:rPr>
  </w:style>
  <w:style w:type="paragraph" w:styleId="List3">
    <w:name w:val="List 3"/>
    <w:basedOn w:val="Normal"/>
    <w:uiPriority w:val="99"/>
    <w:semiHidden/>
    <w:unhideWhenUsed/>
    <w:rsid w:val="0007286C"/>
    <w:pPr>
      <w:spacing w:before="0" w:after="160" w:line="259" w:lineRule="auto"/>
      <w:ind w:left="849" w:hanging="283"/>
      <w:contextualSpacing/>
    </w:pPr>
    <w:rPr>
      <w:sz w:val="18"/>
    </w:rPr>
  </w:style>
  <w:style w:type="paragraph" w:styleId="List4">
    <w:name w:val="List 4"/>
    <w:basedOn w:val="Normal"/>
    <w:uiPriority w:val="99"/>
    <w:semiHidden/>
    <w:unhideWhenUsed/>
    <w:rsid w:val="0007286C"/>
    <w:pPr>
      <w:spacing w:before="0" w:after="160" w:line="259" w:lineRule="auto"/>
      <w:ind w:left="1132" w:hanging="283"/>
      <w:contextualSpacing/>
    </w:pPr>
    <w:rPr>
      <w:sz w:val="18"/>
    </w:rPr>
  </w:style>
  <w:style w:type="paragraph" w:styleId="List5">
    <w:name w:val="List 5"/>
    <w:basedOn w:val="Normal"/>
    <w:uiPriority w:val="99"/>
    <w:semiHidden/>
    <w:unhideWhenUsed/>
    <w:rsid w:val="0007286C"/>
    <w:pPr>
      <w:spacing w:before="0" w:after="160" w:line="259" w:lineRule="auto"/>
      <w:ind w:left="1415" w:hanging="283"/>
      <w:contextualSpacing/>
    </w:pPr>
    <w:rPr>
      <w:sz w:val="18"/>
    </w:rPr>
  </w:style>
  <w:style w:type="paragraph" w:styleId="ListContinue">
    <w:name w:val="List Continue"/>
    <w:basedOn w:val="Normal"/>
    <w:uiPriority w:val="99"/>
    <w:semiHidden/>
    <w:unhideWhenUsed/>
    <w:rsid w:val="0007286C"/>
    <w:pPr>
      <w:spacing w:before="0" w:line="259" w:lineRule="auto"/>
      <w:ind w:left="283"/>
      <w:contextualSpacing/>
    </w:pPr>
    <w:rPr>
      <w:sz w:val="18"/>
    </w:rPr>
  </w:style>
  <w:style w:type="paragraph" w:styleId="ListContinue2">
    <w:name w:val="List Continue 2"/>
    <w:basedOn w:val="Normal"/>
    <w:uiPriority w:val="99"/>
    <w:semiHidden/>
    <w:unhideWhenUsed/>
    <w:rsid w:val="0007286C"/>
    <w:pPr>
      <w:spacing w:before="0" w:line="259" w:lineRule="auto"/>
      <w:ind w:left="566"/>
      <w:contextualSpacing/>
    </w:pPr>
    <w:rPr>
      <w:sz w:val="18"/>
    </w:rPr>
  </w:style>
  <w:style w:type="paragraph" w:styleId="ListContinue3">
    <w:name w:val="List Continue 3"/>
    <w:basedOn w:val="Normal"/>
    <w:uiPriority w:val="99"/>
    <w:semiHidden/>
    <w:unhideWhenUsed/>
    <w:rsid w:val="0007286C"/>
    <w:pPr>
      <w:spacing w:before="0" w:line="259" w:lineRule="auto"/>
      <w:ind w:left="849"/>
      <w:contextualSpacing/>
    </w:pPr>
    <w:rPr>
      <w:sz w:val="18"/>
    </w:rPr>
  </w:style>
  <w:style w:type="paragraph" w:styleId="ListContinue4">
    <w:name w:val="List Continue 4"/>
    <w:basedOn w:val="Normal"/>
    <w:uiPriority w:val="99"/>
    <w:semiHidden/>
    <w:unhideWhenUsed/>
    <w:rsid w:val="0007286C"/>
    <w:pPr>
      <w:spacing w:before="0" w:line="259" w:lineRule="auto"/>
      <w:ind w:left="1132"/>
      <w:contextualSpacing/>
    </w:pPr>
    <w:rPr>
      <w:sz w:val="18"/>
    </w:rPr>
  </w:style>
  <w:style w:type="paragraph" w:styleId="ListContinue5">
    <w:name w:val="List Continue 5"/>
    <w:basedOn w:val="Normal"/>
    <w:uiPriority w:val="99"/>
    <w:semiHidden/>
    <w:unhideWhenUsed/>
    <w:rsid w:val="0007286C"/>
    <w:pPr>
      <w:spacing w:before="0" w:line="259" w:lineRule="auto"/>
      <w:ind w:left="1415"/>
      <w:contextualSpacing/>
    </w:pPr>
    <w:rPr>
      <w:sz w:val="18"/>
    </w:rPr>
  </w:style>
  <w:style w:type="paragraph" w:styleId="ListNumber3">
    <w:name w:val="List Number 3"/>
    <w:basedOn w:val="Normal"/>
    <w:uiPriority w:val="9"/>
    <w:unhideWhenUsed/>
    <w:rsid w:val="0007286C"/>
    <w:pPr>
      <w:numPr>
        <w:numId w:val="25"/>
      </w:numPr>
      <w:spacing w:before="0" w:after="160" w:line="259" w:lineRule="auto"/>
      <w:contextualSpacing/>
    </w:pPr>
    <w:rPr>
      <w:sz w:val="18"/>
    </w:rPr>
  </w:style>
  <w:style w:type="paragraph" w:styleId="ListNumber4">
    <w:name w:val="List Number 4"/>
    <w:basedOn w:val="Normal"/>
    <w:uiPriority w:val="99"/>
    <w:semiHidden/>
    <w:unhideWhenUsed/>
    <w:rsid w:val="0007286C"/>
    <w:pPr>
      <w:numPr>
        <w:numId w:val="26"/>
      </w:numPr>
      <w:spacing w:before="0" w:after="160" w:line="259" w:lineRule="auto"/>
      <w:contextualSpacing/>
    </w:pPr>
    <w:rPr>
      <w:sz w:val="18"/>
    </w:rPr>
  </w:style>
  <w:style w:type="paragraph" w:styleId="ListNumber5">
    <w:name w:val="List Number 5"/>
    <w:basedOn w:val="Normal"/>
    <w:uiPriority w:val="99"/>
    <w:semiHidden/>
    <w:unhideWhenUsed/>
    <w:rsid w:val="0007286C"/>
    <w:pPr>
      <w:numPr>
        <w:numId w:val="27"/>
      </w:numPr>
      <w:spacing w:before="0" w:after="160" w:line="259" w:lineRule="auto"/>
      <w:contextualSpacing/>
    </w:pPr>
    <w:rPr>
      <w:sz w:val="18"/>
    </w:rPr>
  </w:style>
  <w:style w:type="table" w:styleId="ListTable1Light">
    <w:name w:val="List Table 1 Light"/>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2171FF" w:themeColor="accent1" w:themeTint="99"/>
        </w:tcBorders>
      </w:tcPr>
    </w:tblStylePr>
    <w:tblStylePr w:type="lastRow">
      <w:rPr>
        <w:b/>
        <w:bCs/>
      </w:rPr>
      <w:tblPr/>
      <w:tcPr>
        <w:tcBorders>
          <w:top w:val="single" w:sz="4" w:space="0" w:color="2171FF" w:themeColor="accent1" w:themeTint="99"/>
        </w:tcBorders>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ListTable1Light-Accent2">
    <w:name w:val="List Table 1 Light Accent 2"/>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7791ED" w:themeColor="accent2" w:themeTint="99"/>
        </w:tcBorders>
      </w:tcPr>
    </w:tblStylePr>
    <w:tblStylePr w:type="lastRow">
      <w:rPr>
        <w:b/>
        <w:bCs/>
      </w:rPr>
      <w:tblPr/>
      <w:tcPr>
        <w:tcBorders>
          <w:top w:val="single" w:sz="4" w:space="0" w:color="7791ED" w:themeColor="accent2" w:themeTint="99"/>
        </w:tcBorders>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ListTable1Light-Accent3">
    <w:name w:val="List Table 1 Light Accent 3"/>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2977CD" w:themeColor="accent3" w:themeTint="99"/>
        </w:tcBorders>
      </w:tcPr>
    </w:tblStylePr>
    <w:tblStylePr w:type="lastRow">
      <w:rPr>
        <w:b/>
        <w:bCs/>
      </w:rPr>
      <w:tblPr/>
      <w:tcPr>
        <w:tcBorders>
          <w:top w:val="single" w:sz="4" w:space="0" w:color="2977CD" w:themeColor="accent3" w:themeTint="99"/>
        </w:tcBorders>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ListTable1Light-Accent4">
    <w:name w:val="List Table 1 Light Accent 4"/>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60D7FF" w:themeColor="accent4" w:themeTint="99"/>
        </w:tcBorders>
      </w:tcPr>
    </w:tblStylePr>
    <w:tblStylePr w:type="lastRow">
      <w:rPr>
        <w:b/>
        <w:bCs/>
      </w:rPr>
      <w:tblPr/>
      <w:tcPr>
        <w:tcBorders>
          <w:top w:val="single" w:sz="4" w:space="0" w:color="60D7FF" w:themeColor="accent4" w:themeTint="99"/>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ListTable1Light-Accent5">
    <w:name w:val="List Table 1 Light Accent 5"/>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A970F3" w:themeColor="accent5" w:themeTint="99"/>
        </w:tcBorders>
      </w:tcPr>
    </w:tblStylePr>
    <w:tblStylePr w:type="lastRow">
      <w:rPr>
        <w:b/>
        <w:bCs/>
      </w:rPr>
      <w:tblPr/>
      <w:tcPr>
        <w:tcBorders>
          <w:top w:val="single" w:sz="4" w:space="0" w:color="A970F3" w:themeColor="accent5" w:themeTint="99"/>
        </w:tcBorders>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ListTable1Light-Accent6">
    <w:name w:val="List Table 1 Light Accent 6"/>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FD85C3" w:themeColor="accent6" w:themeTint="99"/>
        </w:tcBorders>
      </w:tcPr>
    </w:tblStylePr>
    <w:tblStylePr w:type="lastRow">
      <w:rPr>
        <w:b/>
        <w:bCs/>
      </w:rPr>
      <w:tblPr/>
      <w:tcPr>
        <w:tcBorders>
          <w:top w:val="single" w:sz="4" w:space="0" w:color="FD85C3" w:themeColor="accent6" w:themeTint="99"/>
        </w:tcBorders>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ListTable2">
    <w:name w:val="List Table 2"/>
    <w:basedOn w:val="TableNormal"/>
    <w:uiPriority w:val="47"/>
    <w:rsid w:val="0007286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7286C"/>
    <w:pPr>
      <w:spacing w:after="0" w:line="240" w:lineRule="auto"/>
    </w:pPr>
    <w:tblPr>
      <w:tblStyleRowBandSize w:val="1"/>
      <w:tblStyleColBandSize w:val="1"/>
      <w:tblBorders>
        <w:top w:val="single" w:sz="4" w:space="0" w:color="2171FF" w:themeColor="accent1" w:themeTint="99"/>
        <w:bottom w:val="single" w:sz="4" w:space="0" w:color="2171FF" w:themeColor="accent1" w:themeTint="99"/>
        <w:insideH w:val="single" w:sz="4" w:space="0" w:color="2171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ListTable2-Accent2">
    <w:name w:val="List Table 2 Accent 2"/>
    <w:basedOn w:val="TableNormal"/>
    <w:uiPriority w:val="47"/>
    <w:rsid w:val="0007286C"/>
    <w:pPr>
      <w:spacing w:after="0" w:line="240" w:lineRule="auto"/>
    </w:pPr>
    <w:tblPr>
      <w:tblStyleRowBandSize w:val="1"/>
      <w:tblStyleColBandSize w:val="1"/>
      <w:tblBorders>
        <w:top w:val="single" w:sz="4" w:space="0" w:color="7791ED" w:themeColor="accent2" w:themeTint="99"/>
        <w:bottom w:val="single" w:sz="4" w:space="0" w:color="7791ED" w:themeColor="accent2" w:themeTint="99"/>
        <w:insideH w:val="single" w:sz="4" w:space="0" w:color="7791E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ListTable2-Accent3">
    <w:name w:val="List Table 2 Accent 3"/>
    <w:basedOn w:val="TableNormal"/>
    <w:uiPriority w:val="47"/>
    <w:rsid w:val="0007286C"/>
    <w:pPr>
      <w:spacing w:after="0" w:line="240" w:lineRule="auto"/>
    </w:pPr>
    <w:tblPr>
      <w:tblStyleRowBandSize w:val="1"/>
      <w:tblStyleColBandSize w:val="1"/>
      <w:tblBorders>
        <w:top w:val="single" w:sz="4" w:space="0" w:color="2977CD" w:themeColor="accent3" w:themeTint="99"/>
        <w:bottom w:val="single" w:sz="4" w:space="0" w:color="2977CD" w:themeColor="accent3" w:themeTint="99"/>
        <w:insideH w:val="single" w:sz="4" w:space="0" w:color="2977C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ListTable2-Accent4">
    <w:name w:val="List Table 2 Accent 4"/>
    <w:basedOn w:val="TableNormal"/>
    <w:uiPriority w:val="47"/>
    <w:rsid w:val="0007286C"/>
    <w:pPr>
      <w:spacing w:after="0" w:line="240" w:lineRule="auto"/>
    </w:pPr>
    <w:tblPr>
      <w:tblStyleRowBandSize w:val="1"/>
      <w:tblStyleColBandSize w:val="1"/>
      <w:tblBorders>
        <w:top w:val="single" w:sz="4" w:space="0" w:color="60D7FF" w:themeColor="accent4" w:themeTint="99"/>
        <w:bottom w:val="single" w:sz="4" w:space="0" w:color="60D7FF" w:themeColor="accent4" w:themeTint="99"/>
        <w:insideH w:val="single" w:sz="4" w:space="0" w:color="60D7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ListTable2-Accent5">
    <w:name w:val="List Table 2 Accent 5"/>
    <w:basedOn w:val="TableNormal"/>
    <w:uiPriority w:val="47"/>
    <w:rsid w:val="0007286C"/>
    <w:pPr>
      <w:spacing w:after="0" w:line="240" w:lineRule="auto"/>
    </w:pPr>
    <w:tblPr>
      <w:tblStyleRowBandSize w:val="1"/>
      <w:tblStyleColBandSize w:val="1"/>
      <w:tblBorders>
        <w:top w:val="single" w:sz="4" w:space="0" w:color="A970F3" w:themeColor="accent5" w:themeTint="99"/>
        <w:bottom w:val="single" w:sz="4" w:space="0" w:color="A970F3" w:themeColor="accent5" w:themeTint="99"/>
        <w:insideH w:val="single" w:sz="4" w:space="0" w:color="A970F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ListTable2-Accent6">
    <w:name w:val="List Table 2 Accent 6"/>
    <w:basedOn w:val="TableNormal"/>
    <w:uiPriority w:val="47"/>
    <w:rsid w:val="0007286C"/>
    <w:pPr>
      <w:spacing w:after="0" w:line="240" w:lineRule="auto"/>
    </w:pPr>
    <w:tblPr>
      <w:tblStyleRowBandSize w:val="1"/>
      <w:tblStyleColBandSize w:val="1"/>
      <w:tblBorders>
        <w:top w:val="single" w:sz="4" w:space="0" w:color="FD85C3" w:themeColor="accent6" w:themeTint="99"/>
        <w:bottom w:val="single" w:sz="4" w:space="0" w:color="FD85C3" w:themeColor="accent6" w:themeTint="99"/>
        <w:insideH w:val="single" w:sz="4" w:space="0" w:color="FD85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ListTable3">
    <w:name w:val="List Table 3"/>
    <w:basedOn w:val="TableNormal"/>
    <w:uiPriority w:val="48"/>
    <w:rsid w:val="0007286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48"/>
    <w:rsid w:val="0007286C"/>
    <w:pPr>
      <w:spacing w:after="0" w:line="240" w:lineRule="auto"/>
    </w:pPr>
    <w:tblPr>
      <w:tblStyleRowBandSize w:val="1"/>
      <w:tblStyleColBandSize w:val="1"/>
      <w:tblBorders>
        <w:top w:val="single" w:sz="4" w:space="0" w:color="1E49E2" w:themeColor="accent2"/>
        <w:left w:val="single" w:sz="4" w:space="0" w:color="1E49E2" w:themeColor="accent2"/>
        <w:bottom w:val="single" w:sz="4" w:space="0" w:color="1E49E2" w:themeColor="accent2"/>
        <w:right w:val="single" w:sz="4" w:space="0" w:color="1E49E2" w:themeColor="accent2"/>
      </w:tblBorders>
    </w:tblPr>
    <w:tblStylePr w:type="firstRow">
      <w:rPr>
        <w:b/>
        <w:bCs/>
        <w:color w:val="FFFFFF" w:themeColor="background1"/>
      </w:rPr>
      <w:tblPr/>
      <w:tcPr>
        <w:shd w:val="clear" w:color="auto" w:fill="1E49E2" w:themeFill="accent2"/>
      </w:tcPr>
    </w:tblStylePr>
    <w:tblStylePr w:type="lastRow">
      <w:rPr>
        <w:b/>
        <w:bCs/>
      </w:rPr>
      <w:tblPr/>
      <w:tcPr>
        <w:tcBorders>
          <w:top w:val="double" w:sz="4" w:space="0" w:color="1E49E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9E2" w:themeColor="accent2"/>
          <w:right w:val="single" w:sz="4" w:space="0" w:color="1E49E2" w:themeColor="accent2"/>
        </w:tcBorders>
      </w:tcPr>
    </w:tblStylePr>
    <w:tblStylePr w:type="band1Horz">
      <w:tblPr/>
      <w:tcPr>
        <w:tcBorders>
          <w:top w:val="single" w:sz="4" w:space="0" w:color="1E49E2" w:themeColor="accent2"/>
          <w:bottom w:val="single" w:sz="4" w:space="0" w:color="1E49E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9E2" w:themeColor="accent2"/>
          <w:left w:val="nil"/>
        </w:tcBorders>
      </w:tcPr>
    </w:tblStylePr>
    <w:tblStylePr w:type="swCell">
      <w:tblPr/>
      <w:tcPr>
        <w:tcBorders>
          <w:top w:val="double" w:sz="4" w:space="0" w:color="1E49E2" w:themeColor="accent2"/>
          <w:right w:val="nil"/>
        </w:tcBorders>
      </w:tcPr>
    </w:tblStylePr>
  </w:style>
  <w:style w:type="table" w:styleId="ListTable3-Accent3">
    <w:name w:val="List Table 3 Accent 3"/>
    <w:basedOn w:val="TableNormal"/>
    <w:uiPriority w:val="48"/>
    <w:rsid w:val="0007286C"/>
    <w:pPr>
      <w:spacing w:after="0" w:line="240" w:lineRule="auto"/>
    </w:pPr>
    <w:tblPr>
      <w:tblStyleRowBandSize w:val="1"/>
      <w:tblStyleColBandSize w:val="1"/>
      <w:tblBorders>
        <w:top w:val="single" w:sz="4" w:space="0" w:color="0C233C" w:themeColor="accent3"/>
        <w:left w:val="single" w:sz="4" w:space="0" w:color="0C233C" w:themeColor="accent3"/>
        <w:bottom w:val="single" w:sz="4" w:space="0" w:color="0C233C" w:themeColor="accent3"/>
        <w:right w:val="single" w:sz="4" w:space="0" w:color="0C233C" w:themeColor="accent3"/>
      </w:tblBorders>
    </w:tblPr>
    <w:tblStylePr w:type="firstRow">
      <w:rPr>
        <w:b/>
        <w:bCs/>
        <w:color w:val="FFFFFF" w:themeColor="background1"/>
      </w:rPr>
      <w:tblPr/>
      <w:tcPr>
        <w:shd w:val="clear" w:color="auto" w:fill="0C233C" w:themeFill="accent3"/>
      </w:tcPr>
    </w:tblStylePr>
    <w:tblStylePr w:type="lastRow">
      <w:rPr>
        <w:b/>
        <w:bCs/>
      </w:rPr>
      <w:tblPr/>
      <w:tcPr>
        <w:tcBorders>
          <w:top w:val="double" w:sz="4" w:space="0" w:color="0C233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233C" w:themeColor="accent3"/>
          <w:right w:val="single" w:sz="4" w:space="0" w:color="0C233C" w:themeColor="accent3"/>
        </w:tcBorders>
      </w:tcPr>
    </w:tblStylePr>
    <w:tblStylePr w:type="band1Horz">
      <w:tblPr/>
      <w:tcPr>
        <w:tcBorders>
          <w:top w:val="single" w:sz="4" w:space="0" w:color="0C233C" w:themeColor="accent3"/>
          <w:bottom w:val="single" w:sz="4" w:space="0" w:color="0C233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233C" w:themeColor="accent3"/>
          <w:left w:val="nil"/>
        </w:tcBorders>
      </w:tcPr>
    </w:tblStylePr>
    <w:tblStylePr w:type="swCell">
      <w:tblPr/>
      <w:tcPr>
        <w:tcBorders>
          <w:top w:val="double" w:sz="4" w:space="0" w:color="0C233C" w:themeColor="accent3"/>
          <w:right w:val="nil"/>
        </w:tcBorders>
      </w:tcPr>
    </w:tblStylePr>
  </w:style>
  <w:style w:type="table" w:styleId="ListTable3-Accent4">
    <w:name w:val="List Table 3 Accent 4"/>
    <w:basedOn w:val="TableNormal"/>
    <w:uiPriority w:val="48"/>
    <w:rsid w:val="0007286C"/>
    <w:pPr>
      <w:spacing w:after="0" w:line="240" w:lineRule="auto"/>
    </w:pPr>
    <w:tblPr>
      <w:tblStyleRowBandSize w:val="1"/>
      <w:tblStyleColBandSize w:val="1"/>
      <w:tblBorders>
        <w:top w:val="single" w:sz="4" w:space="0" w:color="00B8F5" w:themeColor="accent4"/>
        <w:left w:val="single" w:sz="4" w:space="0" w:color="00B8F5" w:themeColor="accent4"/>
        <w:bottom w:val="single" w:sz="4" w:space="0" w:color="00B8F5" w:themeColor="accent4"/>
        <w:right w:val="single" w:sz="4" w:space="0" w:color="00B8F5" w:themeColor="accent4"/>
      </w:tblBorders>
    </w:tblPr>
    <w:tblStylePr w:type="firstRow">
      <w:rPr>
        <w:b/>
        <w:bCs/>
        <w:color w:val="FFFFFF" w:themeColor="background1"/>
      </w:rPr>
      <w:tblPr/>
      <w:tcPr>
        <w:shd w:val="clear" w:color="auto" w:fill="00B8F5" w:themeFill="accent4"/>
      </w:tcPr>
    </w:tblStylePr>
    <w:tblStylePr w:type="lastRow">
      <w:rPr>
        <w:b/>
        <w:bCs/>
      </w:rPr>
      <w:tblPr/>
      <w:tcPr>
        <w:tcBorders>
          <w:top w:val="double" w:sz="4" w:space="0" w:color="00B8F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8F5" w:themeColor="accent4"/>
          <w:right w:val="single" w:sz="4" w:space="0" w:color="00B8F5" w:themeColor="accent4"/>
        </w:tcBorders>
      </w:tcPr>
    </w:tblStylePr>
    <w:tblStylePr w:type="band1Horz">
      <w:tblPr/>
      <w:tcPr>
        <w:tcBorders>
          <w:top w:val="single" w:sz="4" w:space="0" w:color="00B8F5" w:themeColor="accent4"/>
          <w:bottom w:val="single" w:sz="4" w:space="0" w:color="00B8F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8F5" w:themeColor="accent4"/>
          <w:left w:val="nil"/>
        </w:tcBorders>
      </w:tcPr>
    </w:tblStylePr>
    <w:tblStylePr w:type="swCell">
      <w:tblPr/>
      <w:tcPr>
        <w:tcBorders>
          <w:top w:val="double" w:sz="4" w:space="0" w:color="00B8F5" w:themeColor="accent4"/>
          <w:right w:val="nil"/>
        </w:tcBorders>
      </w:tcPr>
    </w:tblStylePr>
  </w:style>
  <w:style w:type="table" w:styleId="ListTable3-Accent5">
    <w:name w:val="List Table 3 Accent 5"/>
    <w:basedOn w:val="TableNormal"/>
    <w:uiPriority w:val="48"/>
    <w:rsid w:val="0007286C"/>
    <w:pPr>
      <w:spacing w:after="0" w:line="240" w:lineRule="auto"/>
    </w:pPr>
    <w:tblPr>
      <w:tblStyleRowBandSize w:val="1"/>
      <w:tblStyleColBandSize w:val="1"/>
      <w:tblBorders>
        <w:top w:val="single" w:sz="4" w:space="0" w:color="7213EA" w:themeColor="accent5"/>
        <w:left w:val="single" w:sz="4" w:space="0" w:color="7213EA" w:themeColor="accent5"/>
        <w:bottom w:val="single" w:sz="4" w:space="0" w:color="7213EA" w:themeColor="accent5"/>
        <w:right w:val="single" w:sz="4" w:space="0" w:color="7213EA" w:themeColor="accent5"/>
      </w:tblBorders>
    </w:tblPr>
    <w:tblStylePr w:type="firstRow">
      <w:rPr>
        <w:b/>
        <w:bCs/>
        <w:color w:val="FFFFFF" w:themeColor="background1"/>
      </w:rPr>
      <w:tblPr/>
      <w:tcPr>
        <w:shd w:val="clear" w:color="auto" w:fill="7213EA" w:themeFill="accent5"/>
      </w:tcPr>
    </w:tblStylePr>
    <w:tblStylePr w:type="lastRow">
      <w:rPr>
        <w:b/>
        <w:bCs/>
      </w:rPr>
      <w:tblPr/>
      <w:tcPr>
        <w:tcBorders>
          <w:top w:val="double" w:sz="4" w:space="0" w:color="7213E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13EA" w:themeColor="accent5"/>
          <w:right w:val="single" w:sz="4" w:space="0" w:color="7213EA" w:themeColor="accent5"/>
        </w:tcBorders>
      </w:tcPr>
    </w:tblStylePr>
    <w:tblStylePr w:type="band1Horz">
      <w:tblPr/>
      <w:tcPr>
        <w:tcBorders>
          <w:top w:val="single" w:sz="4" w:space="0" w:color="7213EA" w:themeColor="accent5"/>
          <w:bottom w:val="single" w:sz="4" w:space="0" w:color="7213E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13EA" w:themeColor="accent5"/>
          <w:left w:val="nil"/>
        </w:tcBorders>
      </w:tcPr>
    </w:tblStylePr>
    <w:tblStylePr w:type="swCell">
      <w:tblPr/>
      <w:tcPr>
        <w:tcBorders>
          <w:top w:val="double" w:sz="4" w:space="0" w:color="7213EA" w:themeColor="accent5"/>
          <w:right w:val="nil"/>
        </w:tcBorders>
      </w:tcPr>
    </w:tblStylePr>
  </w:style>
  <w:style w:type="table" w:styleId="ListTable3-Accent6">
    <w:name w:val="List Table 3 Accent 6"/>
    <w:basedOn w:val="TableNormal"/>
    <w:uiPriority w:val="48"/>
    <w:rsid w:val="0007286C"/>
    <w:pPr>
      <w:spacing w:after="0" w:line="240" w:lineRule="auto"/>
    </w:pPr>
    <w:tblPr>
      <w:tblStyleRowBandSize w:val="1"/>
      <w:tblStyleColBandSize w:val="1"/>
      <w:tblBorders>
        <w:top w:val="single" w:sz="4" w:space="0" w:color="FD349C" w:themeColor="accent6"/>
        <w:left w:val="single" w:sz="4" w:space="0" w:color="FD349C" w:themeColor="accent6"/>
        <w:bottom w:val="single" w:sz="4" w:space="0" w:color="FD349C" w:themeColor="accent6"/>
        <w:right w:val="single" w:sz="4" w:space="0" w:color="FD349C" w:themeColor="accent6"/>
      </w:tblBorders>
    </w:tblPr>
    <w:tblStylePr w:type="firstRow">
      <w:rPr>
        <w:b/>
        <w:bCs/>
        <w:color w:val="FFFFFF" w:themeColor="background1"/>
      </w:rPr>
      <w:tblPr/>
      <w:tcPr>
        <w:shd w:val="clear" w:color="auto" w:fill="FD349C" w:themeFill="accent6"/>
      </w:tcPr>
    </w:tblStylePr>
    <w:tblStylePr w:type="lastRow">
      <w:rPr>
        <w:b/>
        <w:bCs/>
      </w:rPr>
      <w:tblPr/>
      <w:tcPr>
        <w:tcBorders>
          <w:top w:val="double" w:sz="4" w:space="0" w:color="FD349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349C" w:themeColor="accent6"/>
          <w:right w:val="single" w:sz="4" w:space="0" w:color="FD349C" w:themeColor="accent6"/>
        </w:tcBorders>
      </w:tcPr>
    </w:tblStylePr>
    <w:tblStylePr w:type="band1Horz">
      <w:tblPr/>
      <w:tcPr>
        <w:tcBorders>
          <w:top w:val="single" w:sz="4" w:space="0" w:color="FD349C" w:themeColor="accent6"/>
          <w:bottom w:val="single" w:sz="4" w:space="0" w:color="FD349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349C" w:themeColor="accent6"/>
          <w:left w:val="nil"/>
        </w:tcBorders>
      </w:tcPr>
    </w:tblStylePr>
    <w:tblStylePr w:type="swCell">
      <w:tblPr/>
      <w:tcPr>
        <w:tcBorders>
          <w:top w:val="double" w:sz="4" w:space="0" w:color="FD349C" w:themeColor="accent6"/>
          <w:right w:val="nil"/>
        </w:tcBorders>
      </w:tcPr>
    </w:tblStylePr>
  </w:style>
  <w:style w:type="table" w:styleId="ListTable4">
    <w:name w:val="List Table 4"/>
    <w:basedOn w:val="TableNormal"/>
    <w:uiPriority w:val="49"/>
    <w:rsid w:val="000728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7286C"/>
    <w:pPr>
      <w:spacing w:after="0" w:line="240" w:lineRule="auto"/>
    </w:pPr>
    <w:tblPr>
      <w:tblStyleRowBandSize w:val="1"/>
      <w:tblStyleColBandSize w:val="1"/>
      <w:tblBorders>
        <w:top w:val="single" w:sz="4" w:space="0" w:color="2171FF" w:themeColor="accent1" w:themeTint="99"/>
        <w:left w:val="single" w:sz="4" w:space="0" w:color="2171FF" w:themeColor="accent1" w:themeTint="99"/>
        <w:bottom w:val="single" w:sz="4" w:space="0" w:color="2171FF" w:themeColor="accent1" w:themeTint="99"/>
        <w:right w:val="single" w:sz="4" w:space="0" w:color="2171FF" w:themeColor="accent1" w:themeTint="99"/>
        <w:insideH w:val="single" w:sz="4" w:space="0" w:color="2171FF" w:themeColor="accent1" w:themeTint="99"/>
      </w:tblBorders>
    </w:tblPr>
    <w:tblStylePr w:type="firstRow">
      <w:rPr>
        <w:b/>
        <w:bCs/>
        <w:color w:val="FFFFFF" w:themeColor="background1"/>
      </w:rPr>
      <w:tblPr/>
      <w:tcPr>
        <w:tcBorders>
          <w:top w:val="single" w:sz="4" w:space="0" w:color="00338D" w:themeColor="accent1"/>
          <w:left w:val="single" w:sz="4" w:space="0" w:color="00338D" w:themeColor="accent1"/>
          <w:bottom w:val="single" w:sz="4" w:space="0" w:color="00338D" w:themeColor="accent1"/>
          <w:right w:val="single" w:sz="4" w:space="0" w:color="00338D" w:themeColor="accent1"/>
          <w:insideH w:val="nil"/>
        </w:tcBorders>
        <w:shd w:val="clear" w:color="auto" w:fill="00338D" w:themeFill="accent1"/>
      </w:tcPr>
    </w:tblStylePr>
    <w:tblStylePr w:type="lastRow">
      <w:rPr>
        <w:b/>
        <w:bCs/>
      </w:rPr>
      <w:tblPr/>
      <w:tcPr>
        <w:tcBorders>
          <w:top w:val="double" w:sz="4" w:space="0" w:color="2171FF" w:themeColor="accent1" w:themeTint="99"/>
        </w:tcBorders>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ListTable4-Accent2">
    <w:name w:val="List Table 4 Accent 2"/>
    <w:basedOn w:val="TableNormal"/>
    <w:uiPriority w:val="49"/>
    <w:rsid w:val="0007286C"/>
    <w:pPr>
      <w:spacing w:after="0" w:line="240" w:lineRule="auto"/>
    </w:pPr>
    <w:tblPr>
      <w:tblStyleRowBandSize w:val="1"/>
      <w:tblStyleColBandSize w:val="1"/>
      <w:tblBorders>
        <w:top w:val="single" w:sz="4" w:space="0" w:color="7791ED" w:themeColor="accent2" w:themeTint="99"/>
        <w:left w:val="single" w:sz="4" w:space="0" w:color="7791ED" w:themeColor="accent2" w:themeTint="99"/>
        <w:bottom w:val="single" w:sz="4" w:space="0" w:color="7791ED" w:themeColor="accent2" w:themeTint="99"/>
        <w:right w:val="single" w:sz="4" w:space="0" w:color="7791ED" w:themeColor="accent2" w:themeTint="99"/>
        <w:insideH w:val="single" w:sz="4" w:space="0" w:color="7791ED" w:themeColor="accent2" w:themeTint="99"/>
      </w:tblBorders>
    </w:tblPr>
    <w:tblStylePr w:type="firstRow">
      <w:rPr>
        <w:b/>
        <w:bCs/>
        <w:color w:val="FFFFFF" w:themeColor="background1"/>
      </w:rPr>
      <w:tblPr/>
      <w:tcPr>
        <w:tcBorders>
          <w:top w:val="single" w:sz="4" w:space="0" w:color="1E49E2" w:themeColor="accent2"/>
          <w:left w:val="single" w:sz="4" w:space="0" w:color="1E49E2" w:themeColor="accent2"/>
          <w:bottom w:val="single" w:sz="4" w:space="0" w:color="1E49E2" w:themeColor="accent2"/>
          <w:right w:val="single" w:sz="4" w:space="0" w:color="1E49E2" w:themeColor="accent2"/>
          <w:insideH w:val="nil"/>
        </w:tcBorders>
        <w:shd w:val="clear" w:color="auto" w:fill="1E49E2" w:themeFill="accent2"/>
      </w:tcPr>
    </w:tblStylePr>
    <w:tblStylePr w:type="lastRow">
      <w:rPr>
        <w:b/>
        <w:bCs/>
      </w:rPr>
      <w:tblPr/>
      <w:tcPr>
        <w:tcBorders>
          <w:top w:val="double" w:sz="4" w:space="0" w:color="7791ED" w:themeColor="accent2" w:themeTint="99"/>
        </w:tcBorders>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ListTable4-Accent3">
    <w:name w:val="List Table 4 Accent 3"/>
    <w:basedOn w:val="TableNormal"/>
    <w:uiPriority w:val="49"/>
    <w:rsid w:val="0007286C"/>
    <w:pPr>
      <w:spacing w:after="0" w:line="240" w:lineRule="auto"/>
    </w:pPr>
    <w:tblPr>
      <w:tblStyleRowBandSize w:val="1"/>
      <w:tblStyleColBandSize w:val="1"/>
      <w:tblBorders>
        <w:top w:val="single" w:sz="4" w:space="0" w:color="2977CD" w:themeColor="accent3" w:themeTint="99"/>
        <w:left w:val="single" w:sz="4" w:space="0" w:color="2977CD" w:themeColor="accent3" w:themeTint="99"/>
        <w:bottom w:val="single" w:sz="4" w:space="0" w:color="2977CD" w:themeColor="accent3" w:themeTint="99"/>
        <w:right w:val="single" w:sz="4" w:space="0" w:color="2977CD" w:themeColor="accent3" w:themeTint="99"/>
        <w:insideH w:val="single" w:sz="4" w:space="0" w:color="2977CD" w:themeColor="accent3" w:themeTint="99"/>
      </w:tblBorders>
    </w:tblPr>
    <w:tblStylePr w:type="firstRow">
      <w:rPr>
        <w:b/>
        <w:bCs/>
        <w:color w:val="FFFFFF" w:themeColor="background1"/>
      </w:rPr>
      <w:tblPr/>
      <w:tcPr>
        <w:tcBorders>
          <w:top w:val="single" w:sz="4" w:space="0" w:color="0C233C" w:themeColor="accent3"/>
          <w:left w:val="single" w:sz="4" w:space="0" w:color="0C233C" w:themeColor="accent3"/>
          <w:bottom w:val="single" w:sz="4" w:space="0" w:color="0C233C" w:themeColor="accent3"/>
          <w:right w:val="single" w:sz="4" w:space="0" w:color="0C233C" w:themeColor="accent3"/>
          <w:insideH w:val="nil"/>
        </w:tcBorders>
        <w:shd w:val="clear" w:color="auto" w:fill="0C233C" w:themeFill="accent3"/>
      </w:tcPr>
    </w:tblStylePr>
    <w:tblStylePr w:type="lastRow">
      <w:rPr>
        <w:b/>
        <w:bCs/>
      </w:rPr>
      <w:tblPr/>
      <w:tcPr>
        <w:tcBorders>
          <w:top w:val="double" w:sz="4" w:space="0" w:color="2977CD" w:themeColor="accent3" w:themeTint="99"/>
        </w:tcBorders>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ListTable4-Accent4">
    <w:name w:val="List Table 4 Accent 4"/>
    <w:basedOn w:val="TableNormal"/>
    <w:uiPriority w:val="49"/>
    <w:rsid w:val="0007286C"/>
    <w:pPr>
      <w:spacing w:after="0" w:line="240" w:lineRule="auto"/>
    </w:pPr>
    <w:tblPr>
      <w:tblStyleRowBandSize w:val="1"/>
      <w:tblStyleColBandSize w:val="1"/>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tblBorders>
    </w:tblPr>
    <w:tblStylePr w:type="firstRow">
      <w:rPr>
        <w:b/>
        <w:bCs/>
        <w:color w:val="FFFFFF" w:themeColor="background1"/>
      </w:rPr>
      <w:tblPr/>
      <w:tcPr>
        <w:tcBorders>
          <w:top w:val="single" w:sz="4" w:space="0" w:color="00B8F5" w:themeColor="accent4"/>
          <w:left w:val="single" w:sz="4" w:space="0" w:color="00B8F5" w:themeColor="accent4"/>
          <w:bottom w:val="single" w:sz="4" w:space="0" w:color="00B8F5" w:themeColor="accent4"/>
          <w:right w:val="single" w:sz="4" w:space="0" w:color="00B8F5" w:themeColor="accent4"/>
          <w:insideH w:val="nil"/>
        </w:tcBorders>
        <w:shd w:val="clear" w:color="auto" w:fill="00B8F5" w:themeFill="accent4"/>
      </w:tcPr>
    </w:tblStylePr>
    <w:tblStylePr w:type="lastRow">
      <w:rPr>
        <w:b/>
        <w:bCs/>
      </w:rPr>
      <w:tblPr/>
      <w:tcPr>
        <w:tcBorders>
          <w:top w:val="double" w:sz="4" w:space="0" w:color="60D7FF" w:themeColor="accent4" w:themeTint="99"/>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ListTable4-Accent5">
    <w:name w:val="List Table 4 Accent 5"/>
    <w:basedOn w:val="TableNormal"/>
    <w:uiPriority w:val="49"/>
    <w:rsid w:val="0007286C"/>
    <w:pPr>
      <w:spacing w:after="0" w:line="240" w:lineRule="auto"/>
    </w:pPr>
    <w:tblPr>
      <w:tblStyleRowBandSize w:val="1"/>
      <w:tblStyleColBandSize w:val="1"/>
      <w:tblBorders>
        <w:top w:val="single" w:sz="4" w:space="0" w:color="A970F3" w:themeColor="accent5" w:themeTint="99"/>
        <w:left w:val="single" w:sz="4" w:space="0" w:color="A970F3" w:themeColor="accent5" w:themeTint="99"/>
        <w:bottom w:val="single" w:sz="4" w:space="0" w:color="A970F3" w:themeColor="accent5" w:themeTint="99"/>
        <w:right w:val="single" w:sz="4" w:space="0" w:color="A970F3" w:themeColor="accent5" w:themeTint="99"/>
        <w:insideH w:val="single" w:sz="4" w:space="0" w:color="A970F3" w:themeColor="accent5" w:themeTint="99"/>
      </w:tblBorders>
    </w:tblPr>
    <w:tblStylePr w:type="firstRow">
      <w:rPr>
        <w:b/>
        <w:bCs/>
        <w:color w:val="FFFFFF" w:themeColor="background1"/>
      </w:rPr>
      <w:tblPr/>
      <w:tcPr>
        <w:tcBorders>
          <w:top w:val="single" w:sz="4" w:space="0" w:color="7213EA" w:themeColor="accent5"/>
          <w:left w:val="single" w:sz="4" w:space="0" w:color="7213EA" w:themeColor="accent5"/>
          <w:bottom w:val="single" w:sz="4" w:space="0" w:color="7213EA" w:themeColor="accent5"/>
          <w:right w:val="single" w:sz="4" w:space="0" w:color="7213EA" w:themeColor="accent5"/>
          <w:insideH w:val="nil"/>
        </w:tcBorders>
        <w:shd w:val="clear" w:color="auto" w:fill="7213EA" w:themeFill="accent5"/>
      </w:tcPr>
    </w:tblStylePr>
    <w:tblStylePr w:type="lastRow">
      <w:rPr>
        <w:b/>
        <w:bCs/>
      </w:rPr>
      <w:tblPr/>
      <w:tcPr>
        <w:tcBorders>
          <w:top w:val="double" w:sz="4" w:space="0" w:color="A970F3" w:themeColor="accent5" w:themeTint="99"/>
        </w:tcBorders>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ListTable4-Accent6">
    <w:name w:val="List Table 4 Accent 6"/>
    <w:basedOn w:val="TableNormal"/>
    <w:uiPriority w:val="49"/>
    <w:rsid w:val="0007286C"/>
    <w:pPr>
      <w:spacing w:after="0" w:line="240" w:lineRule="auto"/>
    </w:pPr>
    <w:tblPr>
      <w:tblStyleRowBandSize w:val="1"/>
      <w:tblStyleColBandSize w:val="1"/>
      <w:tblBorders>
        <w:top w:val="single" w:sz="4" w:space="0" w:color="FD85C3" w:themeColor="accent6" w:themeTint="99"/>
        <w:left w:val="single" w:sz="4" w:space="0" w:color="FD85C3" w:themeColor="accent6" w:themeTint="99"/>
        <w:bottom w:val="single" w:sz="4" w:space="0" w:color="FD85C3" w:themeColor="accent6" w:themeTint="99"/>
        <w:right w:val="single" w:sz="4" w:space="0" w:color="FD85C3" w:themeColor="accent6" w:themeTint="99"/>
        <w:insideH w:val="single" w:sz="4" w:space="0" w:color="FD85C3" w:themeColor="accent6" w:themeTint="99"/>
      </w:tblBorders>
    </w:tblPr>
    <w:tblStylePr w:type="firstRow">
      <w:rPr>
        <w:b/>
        <w:bCs/>
        <w:color w:val="FFFFFF" w:themeColor="background1"/>
      </w:rPr>
      <w:tblPr/>
      <w:tcPr>
        <w:tcBorders>
          <w:top w:val="single" w:sz="4" w:space="0" w:color="FD349C" w:themeColor="accent6"/>
          <w:left w:val="single" w:sz="4" w:space="0" w:color="FD349C" w:themeColor="accent6"/>
          <w:bottom w:val="single" w:sz="4" w:space="0" w:color="FD349C" w:themeColor="accent6"/>
          <w:right w:val="single" w:sz="4" w:space="0" w:color="FD349C" w:themeColor="accent6"/>
          <w:insideH w:val="nil"/>
        </w:tcBorders>
        <w:shd w:val="clear" w:color="auto" w:fill="FD349C" w:themeFill="accent6"/>
      </w:tcPr>
    </w:tblStylePr>
    <w:tblStylePr w:type="lastRow">
      <w:rPr>
        <w:b/>
        <w:bCs/>
      </w:rPr>
      <w:tblPr/>
      <w:tcPr>
        <w:tcBorders>
          <w:top w:val="double" w:sz="4" w:space="0" w:color="FD85C3" w:themeColor="accent6" w:themeTint="99"/>
        </w:tcBorders>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ListTable5Dark">
    <w:name w:val="List Table 5 Dark"/>
    <w:basedOn w:val="TableNormal"/>
    <w:uiPriority w:val="50"/>
    <w:rsid w:val="0007286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7286C"/>
    <w:pPr>
      <w:spacing w:after="0" w:line="240" w:lineRule="auto"/>
    </w:pPr>
    <w:rPr>
      <w:color w:val="FFFFFF" w:themeColor="background1"/>
    </w:rPr>
    <w:tblPr>
      <w:tblStyleRowBandSize w:val="1"/>
      <w:tblStyleColBandSize w:val="1"/>
      <w:tblBorders>
        <w:top w:val="single" w:sz="24" w:space="0" w:color="00338D" w:themeColor="accent1"/>
        <w:left w:val="single" w:sz="24" w:space="0" w:color="00338D" w:themeColor="accent1"/>
        <w:bottom w:val="single" w:sz="24" w:space="0" w:color="00338D" w:themeColor="accent1"/>
        <w:right w:val="single" w:sz="24" w:space="0" w:color="00338D" w:themeColor="accent1"/>
      </w:tblBorders>
    </w:tblPr>
    <w:tcPr>
      <w:shd w:val="clear" w:color="auto" w:fill="00338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7286C"/>
    <w:pPr>
      <w:spacing w:after="0" w:line="240" w:lineRule="auto"/>
    </w:pPr>
    <w:rPr>
      <w:color w:val="FFFFFF" w:themeColor="background1"/>
    </w:rPr>
    <w:tblPr>
      <w:tblStyleRowBandSize w:val="1"/>
      <w:tblStyleColBandSize w:val="1"/>
      <w:tblBorders>
        <w:top w:val="single" w:sz="24" w:space="0" w:color="1E49E2" w:themeColor="accent2"/>
        <w:left w:val="single" w:sz="24" w:space="0" w:color="1E49E2" w:themeColor="accent2"/>
        <w:bottom w:val="single" w:sz="24" w:space="0" w:color="1E49E2" w:themeColor="accent2"/>
        <w:right w:val="single" w:sz="24" w:space="0" w:color="1E49E2" w:themeColor="accent2"/>
      </w:tblBorders>
    </w:tblPr>
    <w:tcPr>
      <w:shd w:val="clear" w:color="auto" w:fill="1E49E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7286C"/>
    <w:pPr>
      <w:spacing w:after="0" w:line="240" w:lineRule="auto"/>
    </w:pPr>
    <w:rPr>
      <w:color w:val="FFFFFF" w:themeColor="background1"/>
    </w:rPr>
    <w:tblPr>
      <w:tblStyleRowBandSize w:val="1"/>
      <w:tblStyleColBandSize w:val="1"/>
      <w:tblBorders>
        <w:top w:val="single" w:sz="24" w:space="0" w:color="0C233C" w:themeColor="accent3"/>
        <w:left w:val="single" w:sz="24" w:space="0" w:color="0C233C" w:themeColor="accent3"/>
        <w:bottom w:val="single" w:sz="24" w:space="0" w:color="0C233C" w:themeColor="accent3"/>
        <w:right w:val="single" w:sz="24" w:space="0" w:color="0C233C" w:themeColor="accent3"/>
      </w:tblBorders>
    </w:tblPr>
    <w:tcPr>
      <w:shd w:val="clear" w:color="auto" w:fill="0C233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7286C"/>
    <w:pPr>
      <w:spacing w:after="0" w:line="240" w:lineRule="auto"/>
    </w:pPr>
    <w:rPr>
      <w:color w:val="FFFFFF" w:themeColor="background1"/>
    </w:rPr>
    <w:tblPr>
      <w:tblStyleRowBandSize w:val="1"/>
      <w:tblStyleColBandSize w:val="1"/>
      <w:tblBorders>
        <w:top w:val="single" w:sz="24" w:space="0" w:color="00B8F5" w:themeColor="accent4"/>
        <w:left w:val="single" w:sz="24" w:space="0" w:color="00B8F5" w:themeColor="accent4"/>
        <w:bottom w:val="single" w:sz="24" w:space="0" w:color="00B8F5" w:themeColor="accent4"/>
        <w:right w:val="single" w:sz="24" w:space="0" w:color="00B8F5" w:themeColor="accent4"/>
      </w:tblBorders>
    </w:tblPr>
    <w:tcPr>
      <w:shd w:val="clear" w:color="auto" w:fill="00B8F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7286C"/>
    <w:pPr>
      <w:spacing w:after="0" w:line="240" w:lineRule="auto"/>
    </w:pPr>
    <w:rPr>
      <w:color w:val="FFFFFF" w:themeColor="background1"/>
    </w:rPr>
    <w:tblPr>
      <w:tblStyleRowBandSize w:val="1"/>
      <w:tblStyleColBandSize w:val="1"/>
      <w:tblBorders>
        <w:top w:val="single" w:sz="24" w:space="0" w:color="7213EA" w:themeColor="accent5"/>
        <w:left w:val="single" w:sz="24" w:space="0" w:color="7213EA" w:themeColor="accent5"/>
        <w:bottom w:val="single" w:sz="24" w:space="0" w:color="7213EA" w:themeColor="accent5"/>
        <w:right w:val="single" w:sz="24" w:space="0" w:color="7213EA" w:themeColor="accent5"/>
      </w:tblBorders>
    </w:tblPr>
    <w:tcPr>
      <w:shd w:val="clear" w:color="auto" w:fill="7213E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7286C"/>
    <w:pPr>
      <w:spacing w:after="0" w:line="240" w:lineRule="auto"/>
    </w:pPr>
    <w:rPr>
      <w:color w:val="FFFFFF" w:themeColor="background1"/>
    </w:rPr>
    <w:tblPr>
      <w:tblStyleRowBandSize w:val="1"/>
      <w:tblStyleColBandSize w:val="1"/>
      <w:tblBorders>
        <w:top w:val="single" w:sz="24" w:space="0" w:color="FD349C" w:themeColor="accent6"/>
        <w:left w:val="single" w:sz="24" w:space="0" w:color="FD349C" w:themeColor="accent6"/>
        <w:bottom w:val="single" w:sz="24" w:space="0" w:color="FD349C" w:themeColor="accent6"/>
        <w:right w:val="single" w:sz="24" w:space="0" w:color="FD349C" w:themeColor="accent6"/>
      </w:tblBorders>
    </w:tblPr>
    <w:tcPr>
      <w:shd w:val="clear" w:color="auto" w:fill="FD349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07286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07286C"/>
    <w:pPr>
      <w:spacing w:after="0" w:line="240" w:lineRule="auto"/>
    </w:pPr>
    <w:rPr>
      <w:color w:val="002669" w:themeColor="accent1" w:themeShade="BF"/>
    </w:rPr>
    <w:tblPr>
      <w:tblStyleRowBandSize w:val="1"/>
      <w:tblStyleColBandSize w:val="1"/>
      <w:tblBorders>
        <w:top w:val="single" w:sz="4" w:space="0" w:color="00338D" w:themeColor="accent1"/>
        <w:bottom w:val="single" w:sz="4" w:space="0" w:color="00338D" w:themeColor="accent1"/>
      </w:tblBorders>
    </w:tblPr>
    <w:tblStylePr w:type="firstRow">
      <w:rPr>
        <w:b/>
        <w:bCs/>
      </w:rPr>
      <w:tblPr/>
      <w:tcPr>
        <w:tcBorders>
          <w:bottom w:val="single" w:sz="4" w:space="0" w:color="00338D" w:themeColor="accent1"/>
        </w:tcBorders>
      </w:tcPr>
    </w:tblStylePr>
    <w:tblStylePr w:type="lastRow">
      <w:rPr>
        <w:b/>
        <w:bCs/>
      </w:rPr>
      <w:tblPr/>
      <w:tcPr>
        <w:tcBorders>
          <w:top w:val="double" w:sz="4" w:space="0" w:color="00338D" w:themeColor="accent1"/>
        </w:tcBorders>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ListTable6ColourfulAccent2">
    <w:name w:val="List Table 6 Colorful Accent 2"/>
    <w:basedOn w:val="TableNormal"/>
    <w:uiPriority w:val="51"/>
    <w:rsid w:val="0007286C"/>
    <w:pPr>
      <w:spacing w:after="0" w:line="240" w:lineRule="auto"/>
    </w:pPr>
    <w:rPr>
      <w:color w:val="1635A9" w:themeColor="accent2" w:themeShade="BF"/>
    </w:rPr>
    <w:tblPr>
      <w:tblStyleRowBandSize w:val="1"/>
      <w:tblStyleColBandSize w:val="1"/>
      <w:tblBorders>
        <w:top w:val="single" w:sz="4" w:space="0" w:color="1E49E2" w:themeColor="accent2"/>
        <w:bottom w:val="single" w:sz="4" w:space="0" w:color="1E49E2" w:themeColor="accent2"/>
      </w:tblBorders>
    </w:tblPr>
    <w:tblStylePr w:type="firstRow">
      <w:rPr>
        <w:b/>
        <w:bCs/>
      </w:rPr>
      <w:tblPr/>
      <w:tcPr>
        <w:tcBorders>
          <w:bottom w:val="single" w:sz="4" w:space="0" w:color="1E49E2" w:themeColor="accent2"/>
        </w:tcBorders>
      </w:tcPr>
    </w:tblStylePr>
    <w:tblStylePr w:type="lastRow">
      <w:rPr>
        <w:b/>
        <w:bCs/>
      </w:rPr>
      <w:tblPr/>
      <w:tcPr>
        <w:tcBorders>
          <w:top w:val="double" w:sz="4" w:space="0" w:color="1E49E2" w:themeColor="accent2"/>
        </w:tcBorders>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ListTable6ColourfulAccent3">
    <w:name w:val="List Table 6 Colorful Accent 3"/>
    <w:basedOn w:val="TableNormal"/>
    <w:uiPriority w:val="51"/>
    <w:rsid w:val="0007286C"/>
    <w:pPr>
      <w:spacing w:after="0" w:line="240" w:lineRule="auto"/>
    </w:pPr>
    <w:rPr>
      <w:color w:val="091A2C" w:themeColor="accent3" w:themeShade="BF"/>
    </w:rPr>
    <w:tblPr>
      <w:tblStyleRowBandSize w:val="1"/>
      <w:tblStyleColBandSize w:val="1"/>
      <w:tblBorders>
        <w:top w:val="single" w:sz="4" w:space="0" w:color="0C233C" w:themeColor="accent3"/>
        <w:bottom w:val="single" w:sz="4" w:space="0" w:color="0C233C" w:themeColor="accent3"/>
      </w:tblBorders>
    </w:tblPr>
    <w:tblStylePr w:type="firstRow">
      <w:rPr>
        <w:b/>
        <w:bCs/>
      </w:rPr>
      <w:tblPr/>
      <w:tcPr>
        <w:tcBorders>
          <w:bottom w:val="single" w:sz="4" w:space="0" w:color="0C233C" w:themeColor="accent3"/>
        </w:tcBorders>
      </w:tcPr>
    </w:tblStylePr>
    <w:tblStylePr w:type="lastRow">
      <w:rPr>
        <w:b/>
        <w:bCs/>
      </w:rPr>
      <w:tblPr/>
      <w:tcPr>
        <w:tcBorders>
          <w:top w:val="double" w:sz="4" w:space="0" w:color="0C233C" w:themeColor="accent3"/>
        </w:tcBorders>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ListTable6ColourfulAccent4">
    <w:name w:val="List Table 6 Colorful Accent 4"/>
    <w:basedOn w:val="TableNormal"/>
    <w:uiPriority w:val="51"/>
    <w:rsid w:val="0007286C"/>
    <w:pPr>
      <w:spacing w:after="0" w:line="240" w:lineRule="auto"/>
    </w:pPr>
    <w:rPr>
      <w:color w:val="0089B7" w:themeColor="accent4" w:themeShade="BF"/>
    </w:rPr>
    <w:tblPr>
      <w:tblStyleRowBandSize w:val="1"/>
      <w:tblStyleColBandSize w:val="1"/>
      <w:tblBorders>
        <w:top w:val="single" w:sz="4" w:space="0" w:color="00B8F5" w:themeColor="accent4"/>
        <w:bottom w:val="single" w:sz="4" w:space="0" w:color="00B8F5" w:themeColor="accent4"/>
      </w:tblBorders>
    </w:tblPr>
    <w:tblStylePr w:type="firstRow">
      <w:rPr>
        <w:b/>
        <w:bCs/>
      </w:rPr>
      <w:tblPr/>
      <w:tcPr>
        <w:tcBorders>
          <w:bottom w:val="single" w:sz="4" w:space="0" w:color="00B8F5" w:themeColor="accent4"/>
        </w:tcBorders>
      </w:tcPr>
    </w:tblStylePr>
    <w:tblStylePr w:type="lastRow">
      <w:rPr>
        <w:b/>
        <w:bCs/>
      </w:rPr>
      <w:tblPr/>
      <w:tcPr>
        <w:tcBorders>
          <w:top w:val="double" w:sz="4" w:space="0" w:color="00B8F5" w:themeColor="accent4"/>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ListTable6ColourfulAccent5">
    <w:name w:val="List Table 6 Colorful Accent 5"/>
    <w:basedOn w:val="TableNormal"/>
    <w:uiPriority w:val="51"/>
    <w:rsid w:val="0007286C"/>
    <w:pPr>
      <w:spacing w:after="0" w:line="240" w:lineRule="auto"/>
    </w:pPr>
    <w:rPr>
      <w:color w:val="540EAF" w:themeColor="accent5" w:themeShade="BF"/>
    </w:rPr>
    <w:tblPr>
      <w:tblStyleRowBandSize w:val="1"/>
      <w:tblStyleColBandSize w:val="1"/>
      <w:tblBorders>
        <w:top w:val="single" w:sz="4" w:space="0" w:color="7213EA" w:themeColor="accent5"/>
        <w:bottom w:val="single" w:sz="4" w:space="0" w:color="7213EA" w:themeColor="accent5"/>
      </w:tblBorders>
    </w:tblPr>
    <w:tblStylePr w:type="firstRow">
      <w:rPr>
        <w:b/>
        <w:bCs/>
      </w:rPr>
      <w:tblPr/>
      <w:tcPr>
        <w:tcBorders>
          <w:bottom w:val="single" w:sz="4" w:space="0" w:color="7213EA" w:themeColor="accent5"/>
        </w:tcBorders>
      </w:tcPr>
    </w:tblStylePr>
    <w:tblStylePr w:type="lastRow">
      <w:rPr>
        <w:b/>
        <w:bCs/>
      </w:rPr>
      <w:tblPr/>
      <w:tcPr>
        <w:tcBorders>
          <w:top w:val="double" w:sz="4" w:space="0" w:color="7213EA" w:themeColor="accent5"/>
        </w:tcBorders>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ListTable6ColourfulAccent6">
    <w:name w:val="List Table 6 Colorful Accent 6"/>
    <w:basedOn w:val="TableNormal"/>
    <w:uiPriority w:val="51"/>
    <w:rsid w:val="0007286C"/>
    <w:pPr>
      <w:spacing w:after="0" w:line="240" w:lineRule="auto"/>
    </w:pPr>
    <w:rPr>
      <w:color w:val="E20275" w:themeColor="accent6" w:themeShade="BF"/>
    </w:rPr>
    <w:tblPr>
      <w:tblStyleRowBandSize w:val="1"/>
      <w:tblStyleColBandSize w:val="1"/>
      <w:tblBorders>
        <w:top w:val="single" w:sz="4" w:space="0" w:color="FD349C" w:themeColor="accent6"/>
        <w:bottom w:val="single" w:sz="4" w:space="0" w:color="FD349C" w:themeColor="accent6"/>
      </w:tblBorders>
    </w:tblPr>
    <w:tblStylePr w:type="firstRow">
      <w:rPr>
        <w:b/>
        <w:bCs/>
      </w:rPr>
      <w:tblPr/>
      <w:tcPr>
        <w:tcBorders>
          <w:bottom w:val="single" w:sz="4" w:space="0" w:color="FD349C" w:themeColor="accent6"/>
        </w:tcBorders>
      </w:tcPr>
    </w:tblStylePr>
    <w:tblStylePr w:type="lastRow">
      <w:rPr>
        <w:b/>
        <w:bCs/>
      </w:rPr>
      <w:tblPr/>
      <w:tcPr>
        <w:tcBorders>
          <w:top w:val="double" w:sz="4" w:space="0" w:color="FD349C" w:themeColor="accent6"/>
        </w:tcBorders>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ListTable7Colourful">
    <w:name w:val="List Table 7 Colorful"/>
    <w:basedOn w:val="TableNormal"/>
    <w:uiPriority w:val="52"/>
    <w:rsid w:val="0007286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07286C"/>
    <w:pPr>
      <w:spacing w:after="0" w:line="240" w:lineRule="auto"/>
    </w:pPr>
    <w:rPr>
      <w:color w:val="00266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38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38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38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38D" w:themeColor="accent1"/>
        </w:tcBorders>
        <w:shd w:val="clear" w:color="auto" w:fill="FFFFFF" w:themeFill="background1"/>
      </w:tcPr>
    </w:tblStylePr>
    <w:tblStylePr w:type="band1Vert">
      <w:tblPr/>
      <w:tcPr>
        <w:shd w:val="clear" w:color="auto" w:fill="B5CFFF" w:themeFill="accent1" w:themeFillTint="33"/>
      </w:tcPr>
    </w:tblStylePr>
    <w:tblStylePr w:type="band1Horz">
      <w:tblPr/>
      <w:tcPr>
        <w:shd w:val="clear" w:color="auto" w:fill="B5CF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07286C"/>
    <w:pPr>
      <w:spacing w:after="0" w:line="240" w:lineRule="auto"/>
    </w:pPr>
    <w:rPr>
      <w:color w:val="1635A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9E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9E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9E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9E2" w:themeColor="accent2"/>
        </w:tcBorders>
        <w:shd w:val="clear" w:color="auto" w:fill="FFFFFF" w:themeFill="background1"/>
      </w:tcPr>
    </w:tblStylePr>
    <w:tblStylePr w:type="band1Vert">
      <w:tblPr/>
      <w:tcPr>
        <w:shd w:val="clear" w:color="auto" w:fill="D1DAF9" w:themeFill="accent2" w:themeFillTint="33"/>
      </w:tcPr>
    </w:tblStylePr>
    <w:tblStylePr w:type="band1Horz">
      <w:tblPr/>
      <w:tcPr>
        <w:shd w:val="clear" w:color="auto" w:fill="D1DA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07286C"/>
    <w:pPr>
      <w:spacing w:after="0" w:line="240" w:lineRule="auto"/>
    </w:pPr>
    <w:rPr>
      <w:color w:val="091A2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233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233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233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233C" w:themeColor="accent3"/>
        </w:tcBorders>
        <w:shd w:val="clear" w:color="auto" w:fill="FFFFFF" w:themeFill="background1"/>
      </w:tcPr>
    </w:tblStylePr>
    <w:tblStylePr w:type="band1Vert">
      <w:tblPr/>
      <w:tcPr>
        <w:shd w:val="clear" w:color="auto" w:fill="B5D1F0" w:themeFill="accent3" w:themeFillTint="33"/>
      </w:tcPr>
    </w:tblStylePr>
    <w:tblStylePr w:type="band1Horz">
      <w:tblPr/>
      <w:tcPr>
        <w:shd w:val="clear" w:color="auto" w:fill="B5D1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07286C"/>
    <w:pPr>
      <w:spacing w:after="0" w:line="240" w:lineRule="auto"/>
    </w:pPr>
    <w:rPr>
      <w:color w:val="0089B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8F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8F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8F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8F5" w:themeColor="accent4"/>
        </w:tcBorders>
        <w:shd w:val="clear" w:color="auto" w:fill="FFFFFF" w:themeFill="background1"/>
      </w:tcPr>
    </w:tblStylePr>
    <w:tblStylePr w:type="band1Vert">
      <w:tblPr/>
      <w:tcPr>
        <w:shd w:val="clear" w:color="auto" w:fill="CAF1FF" w:themeFill="accent4" w:themeFillTint="33"/>
      </w:tcPr>
    </w:tblStylePr>
    <w:tblStylePr w:type="band1Horz">
      <w:tblPr/>
      <w:tcPr>
        <w:shd w:val="clear" w:color="auto" w:fill="CAF1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07286C"/>
    <w:pPr>
      <w:spacing w:after="0" w:line="240" w:lineRule="auto"/>
    </w:pPr>
    <w:rPr>
      <w:color w:val="540EA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13E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13E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13E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13EA" w:themeColor="accent5"/>
        </w:tcBorders>
        <w:shd w:val="clear" w:color="auto" w:fill="FFFFFF" w:themeFill="background1"/>
      </w:tcPr>
    </w:tblStylePr>
    <w:tblStylePr w:type="band1Vert">
      <w:tblPr/>
      <w:tcPr>
        <w:shd w:val="clear" w:color="auto" w:fill="E2CFFB" w:themeFill="accent5" w:themeFillTint="33"/>
      </w:tcPr>
    </w:tblStylePr>
    <w:tblStylePr w:type="band1Horz">
      <w:tblPr/>
      <w:tcPr>
        <w:shd w:val="clear" w:color="auto" w:fill="E2CFF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07286C"/>
    <w:pPr>
      <w:spacing w:after="0" w:line="240" w:lineRule="auto"/>
    </w:pPr>
    <w:rPr>
      <w:color w:val="E202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349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349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349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349C" w:themeColor="accent6"/>
        </w:tcBorders>
        <w:shd w:val="clear" w:color="auto" w:fill="FFFFFF" w:themeFill="background1"/>
      </w:tcPr>
    </w:tblStylePr>
    <w:tblStylePr w:type="band1Vert">
      <w:tblPr/>
      <w:tcPr>
        <w:shd w:val="clear" w:color="auto" w:fill="FED6EB" w:themeFill="accent6" w:themeFillTint="33"/>
      </w:tcPr>
    </w:tblStylePr>
    <w:tblStylePr w:type="band1Horz">
      <w:tblPr/>
      <w:tcPr>
        <w:shd w:val="clear" w:color="auto" w:fill="FED6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728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7286C"/>
    <w:rPr>
      <w:rFonts w:ascii="Consolas" w:hAnsi="Consolas"/>
      <w:sz w:val="20"/>
      <w:szCs w:val="20"/>
    </w:rPr>
  </w:style>
  <w:style w:type="table" w:styleId="MediumGrid1">
    <w:name w:val="Medium Grid 1"/>
    <w:basedOn w:val="TableNormal"/>
    <w:uiPriority w:val="67"/>
    <w:semiHidden/>
    <w:unhideWhenUsed/>
    <w:rsid w:val="000728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7286C"/>
    <w:pPr>
      <w:spacing w:after="0" w:line="240" w:lineRule="auto"/>
    </w:pPr>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styleId="MediumGrid1-Accent2">
    <w:name w:val="Medium Grid 1 Accent 2"/>
    <w:basedOn w:val="TableNormal"/>
    <w:uiPriority w:val="67"/>
    <w:semiHidden/>
    <w:unhideWhenUsed/>
    <w:rsid w:val="0007286C"/>
    <w:pPr>
      <w:spacing w:after="0" w:line="240" w:lineRule="auto"/>
    </w:pPr>
    <w:tblPr>
      <w:tblStyleRowBandSize w:val="1"/>
      <w:tblStyleColBandSize w:val="1"/>
      <w:tblBorders>
        <w:top w:val="single" w:sz="8" w:space="0" w:color="5676E9" w:themeColor="accent2" w:themeTint="BF"/>
        <w:left w:val="single" w:sz="8" w:space="0" w:color="5676E9" w:themeColor="accent2" w:themeTint="BF"/>
        <w:bottom w:val="single" w:sz="8" w:space="0" w:color="5676E9" w:themeColor="accent2" w:themeTint="BF"/>
        <w:right w:val="single" w:sz="8" w:space="0" w:color="5676E9" w:themeColor="accent2" w:themeTint="BF"/>
        <w:insideH w:val="single" w:sz="8" w:space="0" w:color="5676E9" w:themeColor="accent2" w:themeTint="BF"/>
        <w:insideV w:val="single" w:sz="8" w:space="0" w:color="5676E9" w:themeColor="accent2" w:themeTint="BF"/>
      </w:tblBorders>
    </w:tblPr>
    <w:tcPr>
      <w:shd w:val="clear" w:color="auto" w:fill="C7D1F7" w:themeFill="accent2" w:themeFillTint="3F"/>
    </w:tcPr>
    <w:tblStylePr w:type="firstRow">
      <w:rPr>
        <w:b/>
        <w:bCs/>
      </w:rPr>
    </w:tblStylePr>
    <w:tblStylePr w:type="lastRow">
      <w:rPr>
        <w:b/>
        <w:bCs/>
      </w:rPr>
      <w:tblPr/>
      <w:tcPr>
        <w:tcBorders>
          <w:top w:val="single" w:sz="18" w:space="0" w:color="5676E9" w:themeColor="accent2" w:themeTint="BF"/>
        </w:tcBorders>
      </w:tcPr>
    </w:tblStylePr>
    <w:tblStylePr w:type="firstCol">
      <w:rPr>
        <w:b/>
        <w:bCs/>
      </w:rPr>
    </w:tblStylePr>
    <w:tblStylePr w:type="lastCol">
      <w:rPr>
        <w:b/>
        <w:bCs/>
      </w:rPr>
    </w:tblStylePr>
    <w:tblStylePr w:type="band1Vert">
      <w:tblPr/>
      <w:tcPr>
        <w:shd w:val="clear" w:color="auto" w:fill="8EA3F0" w:themeFill="accent2" w:themeFillTint="7F"/>
      </w:tcPr>
    </w:tblStylePr>
    <w:tblStylePr w:type="band1Horz">
      <w:tblPr/>
      <w:tcPr>
        <w:shd w:val="clear" w:color="auto" w:fill="8EA3F0" w:themeFill="accent2" w:themeFillTint="7F"/>
      </w:tcPr>
    </w:tblStylePr>
  </w:style>
  <w:style w:type="table" w:styleId="MediumGrid1-Accent3">
    <w:name w:val="Medium Grid 1 Accent 3"/>
    <w:basedOn w:val="TableNormal"/>
    <w:uiPriority w:val="67"/>
    <w:semiHidden/>
    <w:unhideWhenUsed/>
    <w:rsid w:val="0007286C"/>
    <w:pPr>
      <w:spacing w:after="0" w:line="240" w:lineRule="auto"/>
    </w:pPr>
    <w:tblPr>
      <w:tblStyleRowBandSize w:val="1"/>
      <w:tblStyleColBandSize w:val="1"/>
      <w:tblBorders>
        <w:top w:val="single" w:sz="8" w:space="0" w:color="1E5897" w:themeColor="accent3" w:themeTint="BF"/>
        <w:left w:val="single" w:sz="8" w:space="0" w:color="1E5897" w:themeColor="accent3" w:themeTint="BF"/>
        <w:bottom w:val="single" w:sz="8" w:space="0" w:color="1E5897" w:themeColor="accent3" w:themeTint="BF"/>
        <w:right w:val="single" w:sz="8" w:space="0" w:color="1E5897" w:themeColor="accent3" w:themeTint="BF"/>
        <w:insideH w:val="single" w:sz="8" w:space="0" w:color="1E5897" w:themeColor="accent3" w:themeTint="BF"/>
        <w:insideV w:val="single" w:sz="8" w:space="0" w:color="1E5897" w:themeColor="accent3" w:themeTint="BF"/>
      </w:tblBorders>
    </w:tblPr>
    <w:tcPr>
      <w:shd w:val="clear" w:color="auto" w:fill="A4C7ED" w:themeFill="accent3" w:themeFillTint="3F"/>
    </w:tcPr>
    <w:tblStylePr w:type="firstRow">
      <w:rPr>
        <w:b/>
        <w:bCs/>
      </w:rPr>
    </w:tblStylePr>
    <w:tblStylePr w:type="lastRow">
      <w:rPr>
        <w:b/>
        <w:bCs/>
      </w:rPr>
      <w:tblPr/>
      <w:tcPr>
        <w:tcBorders>
          <w:top w:val="single" w:sz="18" w:space="0" w:color="1E5897" w:themeColor="accent3" w:themeTint="BF"/>
        </w:tcBorders>
      </w:tcPr>
    </w:tblStylePr>
    <w:tblStylePr w:type="firstCol">
      <w:rPr>
        <w:b/>
        <w:bCs/>
      </w:rPr>
    </w:tblStylePr>
    <w:tblStylePr w:type="lastCol">
      <w:rPr>
        <w:b/>
        <w:bCs/>
      </w:rPr>
    </w:tblStylePr>
    <w:tblStylePr w:type="band1Vert">
      <w:tblPr/>
      <w:tcPr>
        <w:shd w:val="clear" w:color="auto" w:fill="498EDA" w:themeFill="accent3" w:themeFillTint="7F"/>
      </w:tcPr>
    </w:tblStylePr>
    <w:tblStylePr w:type="band1Horz">
      <w:tblPr/>
      <w:tcPr>
        <w:shd w:val="clear" w:color="auto" w:fill="498EDA" w:themeFill="accent3" w:themeFillTint="7F"/>
      </w:tcPr>
    </w:tblStylePr>
  </w:style>
  <w:style w:type="table" w:styleId="MediumGrid1-Accent4">
    <w:name w:val="Medium Grid 1 Accent 4"/>
    <w:basedOn w:val="TableNormal"/>
    <w:uiPriority w:val="67"/>
    <w:semiHidden/>
    <w:unhideWhenUsed/>
    <w:rsid w:val="0007286C"/>
    <w:pPr>
      <w:spacing w:after="0" w:line="240" w:lineRule="auto"/>
    </w:pPr>
    <w:tblPr>
      <w:tblStyleRowBandSize w:val="1"/>
      <w:tblStyleColBandSize w:val="1"/>
      <w:tblBorders>
        <w:top w:val="single" w:sz="8" w:space="0" w:color="38CDFF" w:themeColor="accent4" w:themeTint="BF"/>
        <w:left w:val="single" w:sz="8" w:space="0" w:color="38CDFF" w:themeColor="accent4" w:themeTint="BF"/>
        <w:bottom w:val="single" w:sz="8" w:space="0" w:color="38CDFF" w:themeColor="accent4" w:themeTint="BF"/>
        <w:right w:val="single" w:sz="8" w:space="0" w:color="38CDFF" w:themeColor="accent4" w:themeTint="BF"/>
        <w:insideH w:val="single" w:sz="8" w:space="0" w:color="38CDFF" w:themeColor="accent4" w:themeTint="BF"/>
        <w:insideV w:val="single" w:sz="8" w:space="0" w:color="38CDFF" w:themeColor="accent4" w:themeTint="BF"/>
      </w:tblBorders>
    </w:tblPr>
    <w:tcPr>
      <w:shd w:val="clear" w:color="auto" w:fill="BDEEFF" w:themeFill="accent4" w:themeFillTint="3F"/>
    </w:tcPr>
    <w:tblStylePr w:type="firstRow">
      <w:rPr>
        <w:b/>
        <w:bCs/>
      </w:rPr>
    </w:tblStylePr>
    <w:tblStylePr w:type="lastRow">
      <w:rPr>
        <w:b/>
        <w:bCs/>
      </w:rPr>
      <w:tblPr/>
      <w:tcPr>
        <w:tcBorders>
          <w:top w:val="single" w:sz="18" w:space="0" w:color="38CDFF" w:themeColor="accent4" w:themeTint="BF"/>
        </w:tcBorders>
      </w:tcPr>
    </w:tblStylePr>
    <w:tblStylePr w:type="firstCol">
      <w:rPr>
        <w:b/>
        <w:bCs/>
      </w:rPr>
    </w:tblStylePr>
    <w:tblStylePr w:type="lastCol">
      <w:rPr>
        <w:b/>
        <w:bCs/>
      </w:rPr>
    </w:tblStylePr>
    <w:tblStylePr w:type="band1Vert">
      <w:tblPr/>
      <w:tcPr>
        <w:shd w:val="clear" w:color="auto" w:fill="7BDDFF" w:themeFill="accent4" w:themeFillTint="7F"/>
      </w:tcPr>
    </w:tblStylePr>
    <w:tblStylePr w:type="band1Horz">
      <w:tblPr/>
      <w:tcPr>
        <w:shd w:val="clear" w:color="auto" w:fill="7BDDFF" w:themeFill="accent4" w:themeFillTint="7F"/>
      </w:tcPr>
    </w:tblStylePr>
  </w:style>
  <w:style w:type="table" w:styleId="MediumGrid1-Accent5">
    <w:name w:val="Medium Grid 1 Accent 5"/>
    <w:basedOn w:val="TableNormal"/>
    <w:uiPriority w:val="67"/>
    <w:semiHidden/>
    <w:unhideWhenUsed/>
    <w:rsid w:val="0007286C"/>
    <w:pPr>
      <w:spacing w:after="0" w:line="240" w:lineRule="auto"/>
    </w:pPr>
    <w:tblPr>
      <w:tblStyleRowBandSize w:val="1"/>
      <w:tblStyleColBandSize w:val="1"/>
      <w:tblBorders>
        <w:top w:val="single" w:sz="8" w:space="0" w:color="944CF0" w:themeColor="accent5" w:themeTint="BF"/>
        <w:left w:val="single" w:sz="8" w:space="0" w:color="944CF0" w:themeColor="accent5" w:themeTint="BF"/>
        <w:bottom w:val="single" w:sz="8" w:space="0" w:color="944CF0" w:themeColor="accent5" w:themeTint="BF"/>
        <w:right w:val="single" w:sz="8" w:space="0" w:color="944CF0" w:themeColor="accent5" w:themeTint="BF"/>
        <w:insideH w:val="single" w:sz="8" w:space="0" w:color="944CF0" w:themeColor="accent5" w:themeTint="BF"/>
        <w:insideV w:val="single" w:sz="8" w:space="0" w:color="944CF0" w:themeColor="accent5" w:themeTint="BF"/>
      </w:tblBorders>
    </w:tblPr>
    <w:tcPr>
      <w:shd w:val="clear" w:color="auto" w:fill="DBC4FA" w:themeFill="accent5" w:themeFillTint="3F"/>
    </w:tcPr>
    <w:tblStylePr w:type="firstRow">
      <w:rPr>
        <w:b/>
        <w:bCs/>
      </w:rPr>
    </w:tblStylePr>
    <w:tblStylePr w:type="lastRow">
      <w:rPr>
        <w:b/>
        <w:bCs/>
      </w:rPr>
      <w:tblPr/>
      <w:tcPr>
        <w:tcBorders>
          <w:top w:val="single" w:sz="18" w:space="0" w:color="944CF0" w:themeColor="accent5" w:themeTint="BF"/>
        </w:tcBorders>
      </w:tcPr>
    </w:tblStylePr>
    <w:tblStylePr w:type="firstCol">
      <w:rPr>
        <w:b/>
        <w:bCs/>
      </w:rPr>
    </w:tblStylePr>
    <w:tblStylePr w:type="lastCol">
      <w:rPr>
        <w:b/>
        <w:bCs/>
      </w:rPr>
    </w:tblStylePr>
    <w:tblStylePr w:type="band1Vert">
      <w:tblPr/>
      <w:tcPr>
        <w:shd w:val="clear" w:color="auto" w:fill="B888F5" w:themeFill="accent5" w:themeFillTint="7F"/>
      </w:tcPr>
    </w:tblStylePr>
    <w:tblStylePr w:type="band1Horz">
      <w:tblPr/>
      <w:tcPr>
        <w:shd w:val="clear" w:color="auto" w:fill="B888F5" w:themeFill="accent5" w:themeFillTint="7F"/>
      </w:tcPr>
    </w:tblStylePr>
  </w:style>
  <w:style w:type="table" w:styleId="MediumGrid1-Accent6">
    <w:name w:val="Medium Grid 1 Accent 6"/>
    <w:basedOn w:val="TableNormal"/>
    <w:uiPriority w:val="67"/>
    <w:semiHidden/>
    <w:unhideWhenUsed/>
    <w:rsid w:val="0007286C"/>
    <w:pPr>
      <w:spacing w:after="0" w:line="240" w:lineRule="auto"/>
    </w:pPr>
    <w:tblPr>
      <w:tblStyleRowBandSize w:val="1"/>
      <w:tblStyleColBandSize w:val="1"/>
      <w:tblBorders>
        <w:top w:val="single" w:sz="8" w:space="0" w:color="FD66B4" w:themeColor="accent6" w:themeTint="BF"/>
        <w:left w:val="single" w:sz="8" w:space="0" w:color="FD66B4" w:themeColor="accent6" w:themeTint="BF"/>
        <w:bottom w:val="single" w:sz="8" w:space="0" w:color="FD66B4" w:themeColor="accent6" w:themeTint="BF"/>
        <w:right w:val="single" w:sz="8" w:space="0" w:color="FD66B4" w:themeColor="accent6" w:themeTint="BF"/>
        <w:insideH w:val="single" w:sz="8" w:space="0" w:color="FD66B4" w:themeColor="accent6" w:themeTint="BF"/>
        <w:insideV w:val="single" w:sz="8" w:space="0" w:color="FD66B4" w:themeColor="accent6" w:themeTint="BF"/>
      </w:tblBorders>
    </w:tblPr>
    <w:tcPr>
      <w:shd w:val="clear" w:color="auto" w:fill="FECCE6" w:themeFill="accent6" w:themeFillTint="3F"/>
    </w:tcPr>
    <w:tblStylePr w:type="firstRow">
      <w:rPr>
        <w:b/>
        <w:bCs/>
      </w:rPr>
    </w:tblStylePr>
    <w:tblStylePr w:type="lastRow">
      <w:rPr>
        <w:b/>
        <w:bCs/>
      </w:rPr>
      <w:tblPr/>
      <w:tcPr>
        <w:tcBorders>
          <w:top w:val="single" w:sz="18" w:space="0" w:color="FD66B4" w:themeColor="accent6" w:themeTint="BF"/>
        </w:tcBorders>
      </w:tcPr>
    </w:tblStylePr>
    <w:tblStylePr w:type="firstCol">
      <w:rPr>
        <w:b/>
        <w:bCs/>
      </w:rPr>
    </w:tblStylePr>
    <w:tblStylePr w:type="lastCol">
      <w:rPr>
        <w:b/>
        <w:bCs/>
      </w:rPr>
    </w:tblStylePr>
    <w:tblStylePr w:type="band1Vert">
      <w:tblPr/>
      <w:tcPr>
        <w:shd w:val="clear" w:color="auto" w:fill="FE99CD" w:themeFill="accent6" w:themeFillTint="7F"/>
      </w:tcPr>
    </w:tblStylePr>
    <w:tblStylePr w:type="band1Horz">
      <w:tblPr/>
      <w:tcPr>
        <w:shd w:val="clear" w:color="auto" w:fill="FE99CD" w:themeFill="accent6" w:themeFillTint="7F"/>
      </w:tcPr>
    </w:tblStylePr>
  </w:style>
  <w:style w:type="table" w:styleId="MediumGrid2">
    <w:name w:val="Medium Grid 2"/>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insideH w:val="single" w:sz="8" w:space="0" w:color="00338D" w:themeColor="accent1"/>
        <w:insideV w:val="single" w:sz="8" w:space="0" w:color="00338D" w:themeColor="accent1"/>
      </w:tblBorders>
    </w:tblPr>
    <w:tcPr>
      <w:shd w:val="clear" w:color="auto" w:fill="A3C4FF" w:themeFill="accent1" w:themeFillTint="3F"/>
    </w:tcPr>
    <w:tblStylePr w:type="firstRow">
      <w:rPr>
        <w:b/>
        <w:bCs/>
        <w:color w:val="000000" w:themeColor="text1"/>
      </w:rPr>
      <w:tblPr/>
      <w:tcPr>
        <w:shd w:val="clear" w:color="auto" w:fill="DAE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5CFFF" w:themeFill="accent1" w:themeFillTint="33"/>
      </w:tcPr>
    </w:tblStylePr>
    <w:tblStylePr w:type="band1Vert">
      <w:tblPr/>
      <w:tcPr>
        <w:shd w:val="clear" w:color="auto" w:fill="4789FF" w:themeFill="accent1" w:themeFillTint="7F"/>
      </w:tcPr>
    </w:tblStylePr>
    <w:tblStylePr w:type="band1Horz">
      <w:tblPr/>
      <w:tcPr>
        <w:tcBorders>
          <w:insideH w:val="single" w:sz="6" w:space="0" w:color="00338D" w:themeColor="accent1"/>
          <w:insideV w:val="single" w:sz="6" w:space="0" w:color="00338D" w:themeColor="accent1"/>
        </w:tcBorders>
        <w:shd w:val="clear" w:color="auto" w:fill="478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E49E2" w:themeColor="accent2"/>
        <w:left w:val="single" w:sz="8" w:space="0" w:color="1E49E2" w:themeColor="accent2"/>
        <w:bottom w:val="single" w:sz="8" w:space="0" w:color="1E49E2" w:themeColor="accent2"/>
        <w:right w:val="single" w:sz="8" w:space="0" w:color="1E49E2" w:themeColor="accent2"/>
        <w:insideH w:val="single" w:sz="8" w:space="0" w:color="1E49E2" w:themeColor="accent2"/>
        <w:insideV w:val="single" w:sz="8" w:space="0" w:color="1E49E2" w:themeColor="accent2"/>
      </w:tblBorders>
    </w:tblPr>
    <w:tcPr>
      <w:shd w:val="clear" w:color="auto" w:fill="C7D1F7" w:themeFill="accent2" w:themeFillTint="3F"/>
    </w:tcPr>
    <w:tblStylePr w:type="firstRow">
      <w:rPr>
        <w:b/>
        <w:bCs/>
        <w:color w:val="000000" w:themeColor="text1"/>
      </w:rPr>
      <w:tblPr/>
      <w:tcPr>
        <w:shd w:val="clear" w:color="auto" w:fill="E8ED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AF9" w:themeFill="accent2" w:themeFillTint="33"/>
      </w:tcPr>
    </w:tblStylePr>
    <w:tblStylePr w:type="band1Vert">
      <w:tblPr/>
      <w:tcPr>
        <w:shd w:val="clear" w:color="auto" w:fill="8EA3F0" w:themeFill="accent2" w:themeFillTint="7F"/>
      </w:tcPr>
    </w:tblStylePr>
    <w:tblStylePr w:type="band1Horz">
      <w:tblPr/>
      <w:tcPr>
        <w:tcBorders>
          <w:insideH w:val="single" w:sz="6" w:space="0" w:color="1E49E2" w:themeColor="accent2"/>
          <w:insideV w:val="single" w:sz="6" w:space="0" w:color="1E49E2" w:themeColor="accent2"/>
        </w:tcBorders>
        <w:shd w:val="clear" w:color="auto" w:fill="8EA3F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233C" w:themeColor="accent3"/>
        <w:left w:val="single" w:sz="8" w:space="0" w:color="0C233C" w:themeColor="accent3"/>
        <w:bottom w:val="single" w:sz="8" w:space="0" w:color="0C233C" w:themeColor="accent3"/>
        <w:right w:val="single" w:sz="8" w:space="0" w:color="0C233C" w:themeColor="accent3"/>
        <w:insideH w:val="single" w:sz="8" w:space="0" w:color="0C233C" w:themeColor="accent3"/>
        <w:insideV w:val="single" w:sz="8" w:space="0" w:color="0C233C" w:themeColor="accent3"/>
      </w:tblBorders>
    </w:tblPr>
    <w:tcPr>
      <w:shd w:val="clear" w:color="auto" w:fill="A4C7ED" w:themeFill="accent3" w:themeFillTint="3F"/>
    </w:tcPr>
    <w:tblStylePr w:type="firstRow">
      <w:rPr>
        <w:b/>
        <w:bCs/>
        <w:color w:val="000000" w:themeColor="text1"/>
      </w:rPr>
      <w:tblPr/>
      <w:tcPr>
        <w:shd w:val="clear" w:color="auto" w:fill="DBE8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5D1F0" w:themeFill="accent3" w:themeFillTint="33"/>
      </w:tcPr>
    </w:tblStylePr>
    <w:tblStylePr w:type="band1Vert">
      <w:tblPr/>
      <w:tcPr>
        <w:shd w:val="clear" w:color="auto" w:fill="498EDA" w:themeFill="accent3" w:themeFillTint="7F"/>
      </w:tcPr>
    </w:tblStylePr>
    <w:tblStylePr w:type="band1Horz">
      <w:tblPr/>
      <w:tcPr>
        <w:tcBorders>
          <w:insideH w:val="single" w:sz="6" w:space="0" w:color="0C233C" w:themeColor="accent3"/>
          <w:insideV w:val="single" w:sz="6" w:space="0" w:color="0C233C" w:themeColor="accent3"/>
        </w:tcBorders>
        <w:shd w:val="clear" w:color="auto" w:fill="498ED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8F5" w:themeColor="accent4"/>
        <w:left w:val="single" w:sz="8" w:space="0" w:color="00B8F5" w:themeColor="accent4"/>
        <w:bottom w:val="single" w:sz="8" w:space="0" w:color="00B8F5" w:themeColor="accent4"/>
        <w:right w:val="single" w:sz="8" w:space="0" w:color="00B8F5" w:themeColor="accent4"/>
        <w:insideH w:val="single" w:sz="8" w:space="0" w:color="00B8F5" w:themeColor="accent4"/>
        <w:insideV w:val="single" w:sz="8" w:space="0" w:color="00B8F5" w:themeColor="accent4"/>
      </w:tblBorders>
    </w:tblPr>
    <w:tcPr>
      <w:shd w:val="clear" w:color="auto" w:fill="BDEEFF" w:themeFill="accent4" w:themeFillTint="3F"/>
    </w:tcPr>
    <w:tblStylePr w:type="firstRow">
      <w:rPr>
        <w:b/>
        <w:bCs/>
        <w:color w:val="000000" w:themeColor="text1"/>
      </w:rPr>
      <w:tblPr/>
      <w:tcPr>
        <w:shd w:val="clear" w:color="auto" w:fill="E5F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1FF" w:themeFill="accent4" w:themeFillTint="33"/>
      </w:tcPr>
    </w:tblStylePr>
    <w:tblStylePr w:type="band1Vert">
      <w:tblPr/>
      <w:tcPr>
        <w:shd w:val="clear" w:color="auto" w:fill="7BDDFF" w:themeFill="accent4" w:themeFillTint="7F"/>
      </w:tcPr>
    </w:tblStylePr>
    <w:tblStylePr w:type="band1Horz">
      <w:tblPr/>
      <w:tcPr>
        <w:tcBorders>
          <w:insideH w:val="single" w:sz="6" w:space="0" w:color="00B8F5" w:themeColor="accent4"/>
          <w:insideV w:val="single" w:sz="6" w:space="0" w:color="00B8F5" w:themeColor="accent4"/>
        </w:tcBorders>
        <w:shd w:val="clear" w:color="auto" w:fill="7BDD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13EA" w:themeColor="accent5"/>
        <w:left w:val="single" w:sz="8" w:space="0" w:color="7213EA" w:themeColor="accent5"/>
        <w:bottom w:val="single" w:sz="8" w:space="0" w:color="7213EA" w:themeColor="accent5"/>
        <w:right w:val="single" w:sz="8" w:space="0" w:color="7213EA" w:themeColor="accent5"/>
        <w:insideH w:val="single" w:sz="8" w:space="0" w:color="7213EA" w:themeColor="accent5"/>
        <w:insideV w:val="single" w:sz="8" w:space="0" w:color="7213EA" w:themeColor="accent5"/>
      </w:tblBorders>
    </w:tblPr>
    <w:tcPr>
      <w:shd w:val="clear" w:color="auto" w:fill="DBC4FA" w:themeFill="accent5" w:themeFillTint="3F"/>
    </w:tcPr>
    <w:tblStylePr w:type="firstRow">
      <w:rPr>
        <w:b/>
        <w:bCs/>
        <w:color w:val="000000" w:themeColor="text1"/>
      </w:rPr>
      <w:tblPr/>
      <w:tcPr>
        <w:shd w:val="clear" w:color="auto" w:fill="F1E7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CFFB" w:themeFill="accent5" w:themeFillTint="33"/>
      </w:tcPr>
    </w:tblStylePr>
    <w:tblStylePr w:type="band1Vert">
      <w:tblPr/>
      <w:tcPr>
        <w:shd w:val="clear" w:color="auto" w:fill="B888F5" w:themeFill="accent5" w:themeFillTint="7F"/>
      </w:tcPr>
    </w:tblStylePr>
    <w:tblStylePr w:type="band1Horz">
      <w:tblPr/>
      <w:tcPr>
        <w:tcBorders>
          <w:insideH w:val="single" w:sz="6" w:space="0" w:color="7213EA" w:themeColor="accent5"/>
          <w:insideV w:val="single" w:sz="6" w:space="0" w:color="7213EA" w:themeColor="accent5"/>
        </w:tcBorders>
        <w:shd w:val="clear" w:color="auto" w:fill="B888F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349C" w:themeColor="accent6"/>
        <w:left w:val="single" w:sz="8" w:space="0" w:color="FD349C" w:themeColor="accent6"/>
        <w:bottom w:val="single" w:sz="8" w:space="0" w:color="FD349C" w:themeColor="accent6"/>
        <w:right w:val="single" w:sz="8" w:space="0" w:color="FD349C" w:themeColor="accent6"/>
        <w:insideH w:val="single" w:sz="8" w:space="0" w:color="FD349C" w:themeColor="accent6"/>
        <w:insideV w:val="single" w:sz="8" w:space="0" w:color="FD349C" w:themeColor="accent6"/>
      </w:tblBorders>
    </w:tblPr>
    <w:tcPr>
      <w:shd w:val="clear" w:color="auto" w:fill="FECCE6" w:themeFill="accent6" w:themeFillTint="3F"/>
    </w:tcPr>
    <w:tblStylePr w:type="firstRow">
      <w:rPr>
        <w:b/>
        <w:bCs/>
        <w:color w:val="000000" w:themeColor="text1"/>
      </w:rPr>
      <w:tblPr/>
      <w:tcPr>
        <w:shd w:val="clear" w:color="auto" w:fill="FEEA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D6EB" w:themeFill="accent6" w:themeFillTint="33"/>
      </w:tcPr>
    </w:tblStylePr>
    <w:tblStylePr w:type="band1Vert">
      <w:tblPr/>
      <w:tcPr>
        <w:shd w:val="clear" w:color="auto" w:fill="FE99CD" w:themeFill="accent6" w:themeFillTint="7F"/>
      </w:tcPr>
    </w:tblStylePr>
    <w:tblStylePr w:type="band1Horz">
      <w:tblPr/>
      <w:tcPr>
        <w:tcBorders>
          <w:insideH w:val="single" w:sz="6" w:space="0" w:color="FD349C" w:themeColor="accent6"/>
          <w:insideV w:val="single" w:sz="6" w:space="0" w:color="FD349C" w:themeColor="accent6"/>
        </w:tcBorders>
        <w:shd w:val="clear" w:color="auto" w:fill="FE99C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8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8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8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8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78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789FF" w:themeFill="accent1" w:themeFillTint="7F"/>
      </w:tcPr>
    </w:tblStylePr>
  </w:style>
  <w:style w:type="table" w:styleId="MediumGrid3-Accent2">
    <w:name w:val="Medium Grid 3 Accent 2"/>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D1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9E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9E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9E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9E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A3F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A3F0" w:themeFill="accent2" w:themeFillTint="7F"/>
      </w:tcPr>
    </w:tblStylePr>
  </w:style>
  <w:style w:type="table" w:styleId="MediumGrid3-Accent3">
    <w:name w:val="Medium Grid 3 Accent 3"/>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C7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23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23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23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23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ED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8EDA" w:themeFill="accent3" w:themeFillTint="7F"/>
      </w:tcPr>
    </w:tblStylePr>
  </w:style>
  <w:style w:type="table" w:styleId="MediumGrid3-Accent4">
    <w:name w:val="Medium Grid 3 Accent 4"/>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E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8F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8F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8F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8F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D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DFF" w:themeFill="accent4" w:themeFillTint="7F"/>
      </w:tcPr>
    </w:tblStylePr>
  </w:style>
  <w:style w:type="table" w:styleId="MediumGrid3-Accent5">
    <w:name w:val="Medium Grid 3 Accent 5"/>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C4F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13E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13E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13E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13E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88F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88F5" w:themeFill="accent5" w:themeFillTint="7F"/>
      </w:tcPr>
    </w:tblStylePr>
  </w:style>
  <w:style w:type="table" w:styleId="MediumGrid3-Accent6">
    <w:name w:val="Medium Grid 3 Accent 6"/>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CC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349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349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349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349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9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99CD" w:themeFill="accent6" w:themeFillTint="7F"/>
      </w:tcPr>
    </w:tblStylePr>
  </w:style>
  <w:style w:type="table" w:styleId="MediumList1">
    <w:name w:val="Medium List 1"/>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C233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00338D" w:themeColor="accent1"/>
        <w:bottom w:val="single" w:sz="8" w:space="0" w:color="00338D" w:themeColor="accent1"/>
      </w:tblBorders>
    </w:tblPr>
    <w:tblStylePr w:type="firstRow">
      <w:rPr>
        <w:rFonts w:asciiTheme="majorHAnsi" w:eastAsiaTheme="majorEastAsia" w:hAnsiTheme="majorHAnsi" w:cstheme="majorBidi"/>
      </w:rPr>
      <w:tblPr/>
      <w:tcPr>
        <w:tcBorders>
          <w:top w:val="nil"/>
          <w:bottom w:val="single" w:sz="8" w:space="0" w:color="00338D" w:themeColor="accent1"/>
        </w:tcBorders>
      </w:tcPr>
    </w:tblStylePr>
    <w:tblStylePr w:type="lastRow">
      <w:rPr>
        <w:b/>
        <w:bCs/>
        <w:color w:val="0C233C" w:themeColor="text2"/>
      </w:rPr>
      <w:tblPr/>
      <w:tcPr>
        <w:tcBorders>
          <w:top w:val="single" w:sz="8" w:space="0" w:color="00338D" w:themeColor="accent1"/>
          <w:bottom w:val="single" w:sz="8" w:space="0" w:color="00338D" w:themeColor="accent1"/>
        </w:tcBorders>
      </w:tcPr>
    </w:tblStylePr>
    <w:tblStylePr w:type="firstCol">
      <w:rPr>
        <w:b/>
        <w:bCs/>
      </w:rPr>
    </w:tblStylePr>
    <w:tblStylePr w:type="lastCol">
      <w:rPr>
        <w:b/>
        <w:bCs/>
      </w:rPr>
      <w:tblPr/>
      <w:tcPr>
        <w:tcBorders>
          <w:top w:val="single" w:sz="8" w:space="0" w:color="00338D" w:themeColor="accent1"/>
          <w:bottom w:val="single" w:sz="8" w:space="0" w:color="00338D" w:themeColor="accent1"/>
        </w:tcBorders>
      </w:tcPr>
    </w:tblStylePr>
    <w:tblStylePr w:type="band1Vert">
      <w:tblPr/>
      <w:tcPr>
        <w:shd w:val="clear" w:color="auto" w:fill="A3C4FF" w:themeFill="accent1" w:themeFillTint="3F"/>
      </w:tcPr>
    </w:tblStylePr>
    <w:tblStylePr w:type="band1Horz">
      <w:tblPr/>
      <w:tcPr>
        <w:shd w:val="clear" w:color="auto" w:fill="A3C4FF" w:themeFill="accent1" w:themeFillTint="3F"/>
      </w:tcPr>
    </w:tblStylePr>
  </w:style>
  <w:style w:type="table" w:styleId="MediumList1-Accent2">
    <w:name w:val="Medium List 1 Accent 2"/>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1E49E2" w:themeColor="accent2"/>
        <w:bottom w:val="single" w:sz="8" w:space="0" w:color="1E49E2" w:themeColor="accent2"/>
      </w:tblBorders>
    </w:tblPr>
    <w:tblStylePr w:type="firstRow">
      <w:rPr>
        <w:rFonts w:asciiTheme="majorHAnsi" w:eastAsiaTheme="majorEastAsia" w:hAnsiTheme="majorHAnsi" w:cstheme="majorBidi"/>
      </w:rPr>
      <w:tblPr/>
      <w:tcPr>
        <w:tcBorders>
          <w:top w:val="nil"/>
          <w:bottom w:val="single" w:sz="8" w:space="0" w:color="1E49E2" w:themeColor="accent2"/>
        </w:tcBorders>
      </w:tcPr>
    </w:tblStylePr>
    <w:tblStylePr w:type="lastRow">
      <w:rPr>
        <w:b/>
        <w:bCs/>
        <w:color w:val="0C233C" w:themeColor="text2"/>
      </w:rPr>
      <w:tblPr/>
      <w:tcPr>
        <w:tcBorders>
          <w:top w:val="single" w:sz="8" w:space="0" w:color="1E49E2" w:themeColor="accent2"/>
          <w:bottom w:val="single" w:sz="8" w:space="0" w:color="1E49E2" w:themeColor="accent2"/>
        </w:tcBorders>
      </w:tcPr>
    </w:tblStylePr>
    <w:tblStylePr w:type="firstCol">
      <w:rPr>
        <w:b/>
        <w:bCs/>
      </w:rPr>
    </w:tblStylePr>
    <w:tblStylePr w:type="lastCol">
      <w:rPr>
        <w:b/>
        <w:bCs/>
      </w:rPr>
      <w:tblPr/>
      <w:tcPr>
        <w:tcBorders>
          <w:top w:val="single" w:sz="8" w:space="0" w:color="1E49E2" w:themeColor="accent2"/>
          <w:bottom w:val="single" w:sz="8" w:space="0" w:color="1E49E2" w:themeColor="accent2"/>
        </w:tcBorders>
      </w:tcPr>
    </w:tblStylePr>
    <w:tblStylePr w:type="band1Vert">
      <w:tblPr/>
      <w:tcPr>
        <w:shd w:val="clear" w:color="auto" w:fill="C7D1F7" w:themeFill="accent2" w:themeFillTint="3F"/>
      </w:tcPr>
    </w:tblStylePr>
    <w:tblStylePr w:type="band1Horz">
      <w:tblPr/>
      <w:tcPr>
        <w:shd w:val="clear" w:color="auto" w:fill="C7D1F7" w:themeFill="accent2" w:themeFillTint="3F"/>
      </w:tcPr>
    </w:tblStylePr>
  </w:style>
  <w:style w:type="table" w:styleId="MediumList1-Accent3">
    <w:name w:val="Medium List 1 Accent 3"/>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0C233C" w:themeColor="accent3"/>
        <w:bottom w:val="single" w:sz="8" w:space="0" w:color="0C233C" w:themeColor="accent3"/>
      </w:tblBorders>
    </w:tblPr>
    <w:tblStylePr w:type="firstRow">
      <w:rPr>
        <w:rFonts w:asciiTheme="majorHAnsi" w:eastAsiaTheme="majorEastAsia" w:hAnsiTheme="majorHAnsi" w:cstheme="majorBidi"/>
      </w:rPr>
      <w:tblPr/>
      <w:tcPr>
        <w:tcBorders>
          <w:top w:val="nil"/>
          <w:bottom w:val="single" w:sz="8" w:space="0" w:color="0C233C" w:themeColor="accent3"/>
        </w:tcBorders>
      </w:tcPr>
    </w:tblStylePr>
    <w:tblStylePr w:type="lastRow">
      <w:rPr>
        <w:b/>
        <w:bCs/>
        <w:color w:val="0C233C" w:themeColor="text2"/>
      </w:rPr>
      <w:tblPr/>
      <w:tcPr>
        <w:tcBorders>
          <w:top w:val="single" w:sz="8" w:space="0" w:color="0C233C" w:themeColor="accent3"/>
          <w:bottom w:val="single" w:sz="8" w:space="0" w:color="0C233C" w:themeColor="accent3"/>
        </w:tcBorders>
      </w:tcPr>
    </w:tblStylePr>
    <w:tblStylePr w:type="firstCol">
      <w:rPr>
        <w:b/>
        <w:bCs/>
      </w:rPr>
    </w:tblStylePr>
    <w:tblStylePr w:type="lastCol">
      <w:rPr>
        <w:b/>
        <w:bCs/>
      </w:rPr>
      <w:tblPr/>
      <w:tcPr>
        <w:tcBorders>
          <w:top w:val="single" w:sz="8" w:space="0" w:color="0C233C" w:themeColor="accent3"/>
          <w:bottom w:val="single" w:sz="8" w:space="0" w:color="0C233C" w:themeColor="accent3"/>
        </w:tcBorders>
      </w:tcPr>
    </w:tblStylePr>
    <w:tblStylePr w:type="band1Vert">
      <w:tblPr/>
      <w:tcPr>
        <w:shd w:val="clear" w:color="auto" w:fill="A4C7ED" w:themeFill="accent3" w:themeFillTint="3F"/>
      </w:tcPr>
    </w:tblStylePr>
    <w:tblStylePr w:type="band1Horz">
      <w:tblPr/>
      <w:tcPr>
        <w:shd w:val="clear" w:color="auto" w:fill="A4C7ED" w:themeFill="accent3" w:themeFillTint="3F"/>
      </w:tcPr>
    </w:tblStylePr>
  </w:style>
  <w:style w:type="table" w:styleId="MediumList1-Accent4">
    <w:name w:val="Medium List 1 Accent 4"/>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00B8F5" w:themeColor="accent4"/>
        <w:bottom w:val="single" w:sz="8" w:space="0" w:color="00B8F5" w:themeColor="accent4"/>
      </w:tblBorders>
    </w:tblPr>
    <w:tblStylePr w:type="firstRow">
      <w:rPr>
        <w:rFonts w:asciiTheme="majorHAnsi" w:eastAsiaTheme="majorEastAsia" w:hAnsiTheme="majorHAnsi" w:cstheme="majorBidi"/>
      </w:rPr>
      <w:tblPr/>
      <w:tcPr>
        <w:tcBorders>
          <w:top w:val="nil"/>
          <w:bottom w:val="single" w:sz="8" w:space="0" w:color="00B8F5" w:themeColor="accent4"/>
        </w:tcBorders>
      </w:tcPr>
    </w:tblStylePr>
    <w:tblStylePr w:type="lastRow">
      <w:rPr>
        <w:b/>
        <w:bCs/>
        <w:color w:val="0C233C" w:themeColor="text2"/>
      </w:rPr>
      <w:tblPr/>
      <w:tcPr>
        <w:tcBorders>
          <w:top w:val="single" w:sz="8" w:space="0" w:color="00B8F5" w:themeColor="accent4"/>
          <w:bottom w:val="single" w:sz="8" w:space="0" w:color="00B8F5" w:themeColor="accent4"/>
        </w:tcBorders>
      </w:tcPr>
    </w:tblStylePr>
    <w:tblStylePr w:type="firstCol">
      <w:rPr>
        <w:b/>
        <w:bCs/>
      </w:rPr>
    </w:tblStylePr>
    <w:tblStylePr w:type="lastCol">
      <w:rPr>
        <w:b/>
        <w:bCs/>
      </w:rPr>
      <w:tblPr/>
      <w:tcPr>
        <w:tcBorders>
          <w:top w:val="single" w:sz="8" w:space="0" w:color="00B8F5" w:themeColor="accent4"/>
          <w:bottom w:val="single" w:sz="8" w:space="0" w:color="00B8F5" w:themeColor="accent4"/>
        </w:tcBorders>
      </w:tcPr>
    </w:tblStylePr>
    <w:tblStylePr w:type="band1Vert">
      <w:tblPr/>
      <w:tcPr>
        <w:shd w:val="clear" w:color="auto" w:fill="BDEEFF" w:themeFill="accent4" w:themeFillTint="3F"/>
      </w:tcPr>
    </w:tblStylePr>
    <w:tblStylePr w:type="band1Horz">
      <w:tblPr/>
      <w:tcPr>
        <w:shd w:val="clear" w:color="auto" w:fill="BDEEFF" w:themeFill="accent4" w:themeFillTint="3F"/>
      </w:tcPr>
    </w:tblStylePr>
  </w:style>
  <w:style w:type="table" w:styleId="MediumList1-Accent5">
    <w:name w:val="Medium List 1 Accent 5"/>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7213EA" w:themeColor="accent5"/>
        <w:bottom w:val="single" w:sz="8" w:space="0" w:color="7213EA" w:themeColor="accent5"/>
      </w:tblBorders>
    </w:tblPr>
    <w:tblStylePr w:type="firstRow">
      <w:rPr>
        <w:rFonts w:asciiTheme="majorHAnsi" w:eastAsiaTheme="majorEastAsia" w:hAnsiTheme="majorHAnsi" w:cstheme="majorBidi"/>
      </w:rPr>
      <w:tblPr/>
      <w:tcPr>
        <w:tcBorders>
          <w:top w:val="nil"/>
          <w:bottom w:val="single" w:sz="8" w:space="0" w:color="7213EA" w:themeColor="accent5"/>
        </w:tcBorders>
      </w:tcPr>
    </w:tblStylePr>
    <w:tblStylePr w:type="lastRow">
      <w:rPr>
        <w:b/>
        <w:bCs/>
        <w:color w:val="0C233C" w:themeColor="text2"/>
      </w:rPr>
      <w:tblPr/>
      <w:tcPr>
        <w:tcBorders>
          <w:top w:val="single" w:sz="8" w:space="0" w:color="7213EA" w:themeColor="accent5"/>
          <w:bottom w:val="single" w:sz="8" w:space="0" w:color="7213EA" w:themeColor="accent5"/>
        </w:tcBorders>
      </w:tcPr>
    </w:tblStylePr>
    <w:tblStylePr w:type="firstCol">
      <w:rPr>
        <w:b/>
        <w:bCs/>
      </w:rPr>
    </w:tblStylePr>
    <w:tblStylePr w:type="lastCol">
      <w:rPr>
        <w:b/>
        <w:bCs/>
      </w:rPr>
      <w:tblPr/>
      <w:tcPr>
        <w:tcBorders>
          <w:top w:val="single" w:sz="8" w:space="0" w:color="7213EA" w:themeColor="accent5"/>
          <w:bottom w:val="single" w:sz="8" w:space="0" w:color="7213EA" w:themeColor="accent5"/>
        </w:tcBorders>
      </w:tcPr>
    </w:tblStylePr>
    <w:tblStylePr w:type="band1Vert">
      <w:tblPr/>
      <w:tcPr>
        <w:shd w:val="clear" w:color="auto" w:fill="DBC4FA" w:themeFill="accent5" w:themeFillTint="3F"/>
      </w:tcPr>
    </w:tblStylePr>
    <w:tblStylePr w:type="band1Horz">
      <w:tblPr/>
      <w:tcPr>
        <w:shd w:val="clear" w:color="auto" w:fill="DBC4FA" w:themeFill="accent5" w:themeFillTint="3F"/>
      </w:tcPr>
    </w:tblStylePr>
  </w:style>
  <w:style w:type="table" w:styleId="MediumList1-Accent6">
    <w:name w:val="Medium List 1 Accent 6"/>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FD349C" w:themeColor="accent6"/>
        <w:bottom w:val="single" w:sz="8" w:space="0" w:color="FD349C" w:themeColor="accent6"/>
      </w:tblBorders>
    </w:tblPr>
    <w:tblStylePr w:type="firstRow">
      <w:rPr>
        <w:rFonts w:asciiTheme="majorHAnsi" w:eastAsiaTheme="majorEastAsia" w:hAnsiTheme="majorHAnsi" w:cstheme="majorBidi"/>
      </w:rPr>
      <w:tblPr/>
      <w:tcPr>
        <w:tcBorders>
          <w:top w:val="nil"/>
          <w:bottom w:val="single" w:sz="8" w:space="0" w:color="FD349C" w:themeColor="accent6"/>
        </w:tcBorders>
      </w:tcPr>
    </w:tblStylePr>
    <w:tblStylePr w:type="lastRow">
      <w:rPr>
        <w:b/>
        <w:bCs/>
        <w:color w:val="0C233C" w:themeColor="text2"/>
      </w:rPr>
      <w:tblPr/>
      <w:tcPr>
        <w:tcBorders>
          <w:top w:val="single" w:sz="8" w:space="0" w:color="FD349C" w:themeColor="accent6"/>
          <w:bottom w:val="single" w:sz="8" w:space="0" w:color="FD349C" w:themeColor="accent6"/>
        </w:tcBorders>
      </w:tcPr>
    </w:tblStylePr>
    <w:tblStylePr w:type="firstCol">
      <w:rPr>
        <w:b/>
        <w:bCs/>
      </w:rPr>
    </w:tblStylePr>
    <w:tblStylePr w:type="lastCol">
      <w:rPr>
        <w:b/>
        <w:bCs/>
      </w:rPr>
      <w:tblPr/>
      <w:tcPr>
        <w:tcBorders>
          <w:top w:val="single" w:sz="8" w:space="0" w:color="FD349C" w:themeColor="accent6"/>
          <w:bottom w:val="single" w:sz="8" w:space="0" w:color="FD349C" w:themeColor="accent6"/>
        </w:tcBorders>
      </w:tcPr>
    </w:tblStylePr>
    <w:tblStylePr w:type="band1Vert">
      <w:tblPr/>
      <w:tcPr>
        <w:shd w:val="clear" w:color="auto" w:fill="FECCE6" w:themeFill="accent6" w:themeFillTint="3F"/>
      </w:tcPr>
    </w:tblStylePr>
    <w:tblStylePr w:type="band1Horz">
      <w:tblPr/>
      <w:tcPr>
        <w:shd w:val="clear" w:color="auto" w:fill="FECCE6" w:themeFill="accent6" w:themeFillTint="3F"/>
      </w:tcPr>
    </w:tblStylePr>
  </w:style>
  <w:style w:type="table" w:styleId="MediumList2">
    <w:name w:val="Medium List 2"/>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tblBorders>
    </w:tblPr>
    <w:tblStylePr w:type="firstRow">
      <w:rPr>
        <w:sz w:val="24"/>
        <w:szCs w:val="24"/>
      </w:rPr>
      <w:tblPr/>
      <w:tcPr>
        <w:tcBorders>
          <w:top w:val="nil"/>
          <w:left w:val="nil"/>
          <w:bottom w:val="single" w:sz="24" w:space="0" w:color="00338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8D" w:themeColor="accent1"/>
          <w:insideH w:val="nil"/>
          <w:insideV w:val="nil"/>
        </w:tcBorders>
        <w:shd w:val="clear" w:color="auto" w:fill="FFFFFF" w:themeFill="background1"/>
      </w:tcPr>
    </w:tblStylePr>
    <w:tblStylePr w:type="lastCol">
      <w:tblPr/>
      <w:tcPr>
        <w:tcBorders>
          <w:top w:val="nil"/>
          <w:left w:val="single" w:sz="8" w:space="0" w:color="00338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4FF" w:themeFill="accent1" w:themeFillTint="3F"/>
      </w:tcPr>
    </w:tblStylePr>
    <w:tblStylePr w:type="band1Horz">
      <w:tblPr/>
      <w:tcPr>
        <w:tcBorders>
          <w:top w:val="nil"/>
          <w:bottom w:val="nil"/>
          <w:insideH w:val="nil"/>
          <w:insideV w:val="nil"/>
        </w:tcBorders>
        <w:shd w:val="clear" w:color="auto" w:fill="A3C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E49E2" w:themeColor="accent2"/>
        <w:left w:val="single" w:sz="8" w:space="0" w:color="1E49E2" w:themeColor="accent2"/>
        <w:bottom w:val="single" w:sz="8" w:space="0" w:color="1E49E2" w:themeColor="accent2"/>
        <w:right w:val="single" w:sz="8" w:space="0" w:color="1E49E2" w:themeColor="accent2"/>
      </w:tblBorders>
    </w:tblPr>
    <w:tblStylePr w:type="firstRow">
      <w:rPr>
        <w:sz w:val="24"/>
        <w:szCs w:val="24"/>
      </w:rPr>
      <w:tblPr/>
      <w:tcPr>
        <w:tcBorders>
          <w:top w:val="nil"/>
          <w:left w:val="nil"/>
          <w:bottom w:val="single" w:sz="24" w:space="0" w:color="1E49E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9E2" w:themeColor="accent2"/>
          <w:insideH w:val="nil"/>
          <w:insideV w:val="nil"/>
        </w:tcBorders>
        <w:shd w:val="clear" w:color="auto" w:fill="FFFFFF" w:themeFill="background1"/>
      </w:tcPr>
    </w:tblStylePr>
    <w:tblStylePr w:type="lastCol">
      <w:tblPr/>
      <w:tcPr>
        <w:tcBorders>
          <w:top w:val="nil"/>
          <w:left w:val="single" w:sz="8" w:space="0" w:color="1E49E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1F7" w:themeFill="accent2" w:themeFillTint="3F"/>
      </w:tcPr>
    </w:tblStylePr>
    <w:tblStylePr w:type="band1Horz">
      <w:tblPr/>
      <w:tcPr>
        <w:tcBorders>
          <w:top w:val="nil"/>
          <w:bottom w:val="nil"/>
          <w:insideH w:val="nil"/>
          <w:insideV w:val="nil"/>
        </w:tcBorders>
        <w:shd w:val="clear" w:color="auto" w:fill="C7D1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233C" w:themeColor="accent3"/>
        <w:left w:val="single" w:sz="8" w:space="0" w:color="0C233C" w:themeColor="accent3"/>
        <w:bottom w:val="single" w:sz="8" w:space="0" w:color="0C233C" w:themeColor="accent3"/>
        <w:right w:val="single" w:sz="8" w:space="0" w:color="0C233C" w:themeColor="accent3"/>
      </w:tblBorders>
    </w:tblPr>
    <w:tblStylePr w:type="firstRow">
      <w:rPr>
        <w:sz w:val="24"/>
        <w:szCs w:val="24"/>
      </w:rPr>
      <w:tblPr/>
      <w:tcPr>
        <w:tcBorders>
          <w:top w:val="nil"/>
          <w:left w:val="nil"/>
          <w:bottom w:val="single" w:sz="24" w:space="0" w:color="0C233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233C" w:themeColor="accent3"/>
          <w:insideH w:val="nil"/>
          <w:insideV w:val="nil"/>
        </w:tcBorders>
        <w:shd w:val="clear" w:color="auto" w:fill="FFFFFF" w:themeFill="background1"/>
      </w:tcPr>
    </w:tblStylePr>
    <w:tblStylePr w:type="lastCol">
      <w:tblPr/>
      <w:tcPr>
        <w:tcBorders>
          <w:top w:val="nil"/>
          <w:left w:val="single" w:sz="8" w:space="0" w:color="0C23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7ED" w:themeFill="accent3" w:themeFillTint="3F"/>
      </w:tcPr>
    </w:tblStylePr>
    <w:tblStylePr w:type="band1Horz">
      <w:tblPr/>
      <w:tcPr>
        <w:tcBorders>
          <w:top w:val="nil"/>
          <w:bottom w:val="nil"/>
          <w:insideH w:val="nil"/>
          <w:insideV w:val="nil"/>
        </w:tcBorders>
        <w:shd w:val="clear" w:color="auto" w:fill="A4C7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8F5" w:themeColor="accent4"/>
        <w:left w:val="single" w:sz="8" w:space="0" w:color="00B8F5" w:themeColor="accent4"/>
        <w:bottom w:val="single" w:sz="8" w:space="0" w:color="00B8F5" w:themeColor="accent4"/>
        <w:right w:val="single" w:sz="8" w:space="0" w:color="00B8F5" w:themeColor="accent4"/>
      </w:tblBorders>
    </w:tblPr>
    <w:tblStylePr w:type="firstRow">
      <w:rPr>
        <w:sz w:val="24"/>
        <w:szCs w:val="24"/>
      </w:rPr>
      <w:tblPr/>
      <w:tcPr>
        <w:tcBorders>
          <w:top w:val="nil"/>
          <w:left w:val="nil"/>
          <w:bottom w:val="single" w:sz="24" w:space="0" w:color="00B8F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8F5" w:themeColor="accent4"/>
          <w:insideH w:val="nil"/>
          <w:insideV w:val="nil"/>
        </w:tcBorders>
        <w:shd w:val="clear" w:color="auto" w:fill="FFFFFF" w:themeFill="background1"/>
      </w:tcPr>
    </w:tblStylePr>
    <w:tblStylePr w:type="lastCol">
      <w:tblPr/>
      <w:tcPr>
        <w:tcBorders>
          <w:top w:val="nil"/>
          <w:left w:val="single" w:sz="8" w:space="0" w:color="00B8F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EFF" w:themeFill="accent4" w:themeFillTint="3F"/>
      </w:tcPr>
    </w:tblStylePr>
    <w:tblStylePr w:type="band1Horz">
      <w:tblPr/>
      <w:tcPr>
        <w:tcBorders>
          <w:top w:val="nil"/>
          <w:bottom w:val="nil"/>
          <w:insideH w:val="nil"/>
          <w:insideV w:val="nil"/>
        </w:tcBorders>
        <w:shd w:val="clear" w:color="auto" w:fill="BDEE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13EA" w:themeColor="accent5"/>
        <w:left w:val="single" w:sz="8" w:space="0" w:color="7213EA" w:themeColor="accent5"/>
        <w:bottom w:val="single" w:sz="8" w:space="0" w:color="7213EA" w:themeColor="accent5"/>
        <w:right w:val="single" w:sz="8" w:space="0" w:color="7213EA" w:themeColor="accent5"/>
      </w:tblBorders>
    </w:tblPr>
    <w:tblStylePr w:type="firstRow">
      <w:rPr>
        <w:sz w:val="24"/>
        <w:szCs w:val="24"/>
      </w:rPr>
      <w:tblPr/>
      <w:tcPr>
        <w:tcBorders>
          <w:top w:val="nil"/>
          <w:left w:val="nil"/>
          <w:bottom w:val="single" w:sz="24" w:space="0" w:color="7213E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13EA" w:themeColor="accent5"/>
          <w:insideH w:val="nil"/>
          <w:insideV w:val="nil"/>
        </w:tcBorders>
        <w:shd w:val="clear" w:color="auto" w:fill="FFFFFF" w:themeFill="background1"/>
      </w:tcPr>
    </w:tblStylePr>
    <w:tblStylePr w:type="lastCol">
      <w:tblPr/>
      <w:tcPr>
        <w:tcBorders>
          <w:top w:val="nil"/>
          <w:left w:val="single" w:sz="8" w:space="0" w:color="7213E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C4FA" w:themeFill="accent5" w:themeFillTint="3F"/>
      </w:tcPr>
    </w:tblStylePr>
    <w:tblStylePr w:type="band1Horz">
      <w:tblPr/>
      <w:tcPr>
        <w:tcBorders>
          <w:top w:val="nil"/>
          <w:bottom w:val="nil"/>
          <w:insideH w:val="nil"/>
          <w:insideV w:val="nil"/>
        </w:tcBorders>
        <w:shd w:val="clear" w:color="auto" w:fill="DBC4F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349C" w:themeColor="accent6"/>
        <w:left w:val="single" w:sz="8" w:space="0" w:color="FD349C" w:themeColor="accent6"/>
        <w:bottom w:val="single" w:sz="8" w:space="0" w:color="FD349C" w:themeColor="accent6"/>
        <w:right w:val="single" w:sz="8" w:space="0" w:color="FD349C" w:themeColor="accent6"/>
      </w:tblBorders>
    </w:tblPr>
    <w:tblStylePr w:type="firstRow">
      <w:rPr>
        <w:sz w:val="24"/>
        <w:szCs w:val="24"/>
      </w:rPr>
      <w:tblPr/>
      <w:tcPr>
        <w:tcBorders>
          <w:top w:val="nil"/>
          <w:left w:val="nil"/>
          <w:bottom w:val="single" w:sz="24" w:space="0" w:color="FD349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349C" w:themeColor="accent6"/>
          <w:insideH w:val="nil"/>
          <w:insideV w:val="nil"/>
        </w:tcBorders>
        <w:shd w:val="clear" w:color="auto" w:fill="FFFFFF" w:themeFill="background1"/>
      </w:tcPr>
    </w:tblStylePr>
    <w:tblStylePr w:type="lastCol">
      <w:tblPr/>
      <w:tcPr>
        <w:tcBorders>
          <w:top w:val="nil"/>
          <w:left w:val="single" w:sz="8" w:space="0" w:color="FD349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CCE6" w:themeFill="accent6" w:themeFillTint="3F"/>
      </w:tcPr>
    </w:tblStylePr>
    <w:tblStylePr w:type="band1Horz">
      <w:tblPr/>
      <w:tcPr>
        <w:tcBorders>
          <w:top w:val="nil"/>
          <w:bottom w:val="nil"/>
          <w:insideH w:val="nil"/>
          <w:insideV w:val="nil"/>
        </w:tcBorders>
        <w:shd w:val="clear" w:color="auto" w:fill="FECC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728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7286C"/>
    <w:pPr>
      <w:spacing w:after="0" w:line="240" w:lineRule="auto"/>
    </w:pPr>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tblBorders>
    </w:tblPr>
    <w:tblStylePr w:type="firstRow">
      <w:pPr>
        <w:spacing w:before="0" w:after="0" w:line="240" w:lineRule="auto"/>
      </w:pPr>
      <w:rPr>
        <w:b/>
        <w:bCs/>
        <w:color w:val="FFFFFF" w:themeColor="background1"/>
      </w:rPr>
      <w:tblPr/>
      <w:tcPr>
        <w:tc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shd w:val="clear" w:color="auto" w:fill="00338D" w:themeFill="accent1"/>
      </w:tcPr>
    </w:tblStylePr>
    <w:tblStylePr w:type="lastRow">
      <w:pPr>
        <w:spacing w:before="0" w:after="0" w:line="240" w:lineRule="auto"/>
      </w:pPr>
      <w:rPr>
        <w:b/>
        <w:bCs/>
      </w:rPr>
      <w:tblPr/>
      <w:tcPr>
        <w:tcBorders>
          <w:top w:val="double" w:sz="6"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4FF" w:themeFill="accent1" w:themeFillTint="3F"/>
      </w:tcPr>
    </w:tblStylePr>
    <w:tblStylePr w:type="band1Horz">
      <w:tblPr/>
      <w:tcPr>
        <w:tcBorders>
          <w:insideH w:val="nil"/>
          <w:insideV w:val="nil"/>
        </w:tcBorders>
        <w:shd w:val="clear" w:color="auto" w:fill="A3C4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7286C"/>
    <w:pPr>
      <w:spacing w:after="0" w:line="240" w:lineRule="auto"/>
    </w:pPr>
    <w:tblPr>
      <w:tblStyleRowBandSize w:val="1"/>
      <w:tblStyleColBandSize w:val="1"/>
      <w:tblBorders>
        <w:top w:val="single" w:sz="8" w:space="0" w:color="5676E9" w:themeColor="accent2" w:themeTint="BF"/>
        <w:left w:val="single" w:sz="8" w:space="0" w:color="5676E9" w:themeColor="accent2" w:themeTint="BF"/>
        <w:bottom w:val="single" w:sz="8" w:space="0" w:color="5676E9" w:themeColor="accent2" w:themeTint="BF"/>
        <w:right w:val="single" w:sz="8" w:space="0" w:color="5676E9" w:themeColor="accent2" w:themeTint="BF"/>
        <w:insideH w:val="single" w:sz="8" w:space="0" w:color="5676E9" w:themeColor="accent2" w:themeTint="BF"/>
      </w:tblBorders>
    </w:tblPr>
    <w:tblStylePr w:type="firstRow">
      <w:pPr>
        <w:spacing w:before="0" w:after="0" w:line="240" w:lineRule="auto"/>
      </w:pPr>
      <w:rPr>
        <w:b/>
        <w:bCs/>
        <w:color w:val="FFFFFF" w:themeColor="background1"/>
      </w:rPr>
      <w:tblPr/>
      <w:tcPr>
        <w:tcBorders>
          <w:top w:val="single" w:sz="8" w:space="0" w:color="5676E9" w:themeColor="accent2" w:themeTint="BF"/>
          <w:left w:val="single" w:sz="8" w:space="0" w:color="5676E9" w:themeColor="accent2" w:themeTint="BF"/>
          <w:bottom w:val="single" w:sz="8" w:space="0" w:color="5676E9" w:themeColor="accent2" w:themeTint="BF"/>
          <w:right w:val="single" w:sz="8" w:space="0" w:color="5676E9" w:themeColor="accent2" w:themeTint="BF"/>
          <w:insideH w:val="nil"/>
          <w:insideV w:val="nil"/>
        </w:tcBorders>
        <w:shd w:val="clear" w:color="auto" w:fill="1E49E2" w:themeFill="accent2"/>
      </w:tcPr>
    </w:tblStylePr>
    <w:tblStylePr w:type="lastRow">
      <w:pPr>
        <w:spacing w:before="0" w:after="0" w:line="240" w:lineRule="auto"/>
      </w:pPr>
      <w:rPr>
        <w:b/>
        <w:bCs/>
      </w:rPr>
      <w:tblPr/>
      <w:tcPr>
        <w:tcBorders>
          <w:top w:val="double" w:sz="6" w:space="0" w:color="5676E9" w:themeColor="accent2" w:themeTint="BF"/>
          <w:left w:val="single" w:sz="8" w:space="0" w:color="5676E9" w:themeColor="accent2" w:themeTint="BF"/>
          <w:bottom w:val="single" w:sz="8" w:space="0" w:color="5676E9" w:themeColor="accent2" w:themeTint="BF"/>
          <w:right w:val="single" w:sz="8" w:space="0" w:color="5676E9" w:themeColor="accent2" w:themeTint="BF"/>
          <w:insideH w:val="nil"/>
          <w:insideV w:val="nil"/>
        </w:tcBorders>
      </w:tcPr>
    </w:tblStylePr>
    <w:tblStylePr w:type="firstCol">
      <w:rPr>
        <w:b/>
        <w:bCs/>
      </w:rPr>
    </w:tblStylePr>
    <w:tblStylePr w:type="lastCol">
      <w:rPr>
        <w:b/>
        <w:bCs/>
      </w:rPr>
    </w:tblStylePr>
    <w:tblStylePr w:type="band1Vert">
      <w:tblPr/>
      <w:tcPr>
        <w:shd w:val="clear" w:color="auto" w:fill="C7D1F7" w:themeFill="accent2" w:themeFillTint="3F"/>
      </w:tcPr>
    </w:tblStylePr>
    <w:tblStylePr w:type="band1Horz">
      <w:tblPr/>
      <w:tcPr>
        <w:tcBorders>
          <w:insideH w:val="nil"/>
          <w:insideV w:val="nil"/>
        </w:tcBorders>
        <w:shd w:val="clear" w:color="auto" w:fill="C7D1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7286C"/>
    <w:pPr>
      <w:spacing w:after="0" w:line="240" w:lineRule="auto"/>
    </w:pPr>
    <w:tblPr>
      <w:tblStyleRowBandSize w:val="1"/>
      <w:tblStyleColBandSize w:val="1"/>
      <w:tblBorders>
        <w:top w:val="single" w:sz="8" w:space="0" w:color="1E5897" w:themeColor="accent3" w:themeTint="BF"/>
        <w:left w:val="single" w:sz="8" w:space="0" w:color="1E5897" w:themeColor="accent3" w:themeTint="BF"/>
        <w:bottom w:val="single" w:sz="8" w:space="0" w:color="1E5897" w:themeColor="accent3" w:themeTint="BF"/>
        <w:right w:val="single" w:sz="8" w:space="0" w:color="1E5897" w:themeColor="accent3" w:themeTint="BF"/>
        <w:insideH w:val="single" w:sz="8" w:space="0" w:color="1E5897" w:themeColor="accent3" w:themeTint="BF"/>
      </w:tblBorders>
    </w:tblPr>
    <w:tblStylePr w:type="firstRow">
      <w:pPr>
        <w:spacing w:before="0" w:after="0" w:line="240" w:lineRule="auto"/>
      </w:pPr>
      <w:rPr>
        <w:b/>
        <w:bCs/>
        <w:color w:val="FFFFFF" w:themeColor="background1"/>
      </w:rPr>
      <w:tblPr/>
      <w:tcPr>
        <w:tcBorders>
          <w:top w:val="single" w:sz="8" w:space="0" w:color="1E5897" w:themeColor="accent3" w:themeTint="BF"/>
          <w:left w:val="single" w:sz="8" w:space="0" w:color="1E5897" w:themeColor="accent3" w:themeTint="BF"/>
          <w:bottom w:val="single" w:sz="8" w:space="0" w:color="1E5897" w:themeColor="accent3" w:themeTint="BF"/>
          <w:right w:val="single" w:sz="8" w:space="0" w:color="1E5897" w:themeColor="accent3" w:themeTint="BF"/>
          <w:insideH w:val="nil"/>
          <w:insideV w:val="nil"/>
        </w:tcBorders>
        <w:shd w:val="clear" w:color="auto" w:fill="0C233C" w:themeFill="accent3"/>
      </w:tcPr>
    </w:tblStylePr>
    <w:tblStylePr w:type="lastRow">
      <w:pPr>
        <w:spacing w:before="0" w:after="0" w:line="240" w:lineRule="auto"/>
      </w:pPr>
      <w:rPr>
        <w:b/>
        <w:bCs/>
      </w:rPr>
      <w:tblPr/>
      <w:tcPr>
        <w:tcBorders>
          <w:top w:val="double" w:sz="6" w:space="0" w:color="1E5897" w:themeColor="accent3" w:themeTint="BF"/>
          <w:left w:val="single" w:sz="8" w:space="0" w:color="1E5897" w:themeColor="accent3" w:themeTint="BF"/>
          <w:bottom w:val="single" w:sz="8" w:space="0" w:color="1E5897" w:themeColor="accent3" w:themeTint="BF"/>
          <w:right w:val="single" w:sz="8" w:space="0" w:color="1E58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C7ED" w:themeFill="accent3" w:themeFillTint="3F"/>
      </w:tcPr>
    </w:tblStylePr>
    <w:tblStylePr w:type="band1Horz">
      <w:tblPr/>
      <w:tcPr>
        <w:tcBorders>
          <w:insideH w:val="nil"/>
          <w:insideV w:val="nil"/>
        </w:tcBorders>
        <w:shd w:val="clear" w:color="auto" w:fill="A4C7E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7286C"/>
    <w:pPr>
      <w:spacing w:after="0" w:line="240" w:lineRule="auto"/>
    </w:pPr>
    <w:tblPr>
      <w:tblStyleRowBandSize w:val="1"/>
      <w:tblStyleColBandSize w:val="1"/>
      <w:tblBorders>
        <w:top w:val="single" w:sz="8" w:space="0" w:color="38CDFF" w:themeColor="accent4" w:themeTint="BF"/>
        <w:left w:val="single" w:sz="8" w:space="0" w:color="38CDFF" w:themeColor="accent4" w:themeTint="BF"/>
        <w:bottom w:val="single" w:sz="8" w:space="0" w:color="38CDFF" w:themeColor="accent4" w:themeTint="BF"/>
        <w:right w:val="single" w:sz="8" w:space="0" w:color="38CDFF" w:themeColor="accent4" w:themeTint="BF"/>
        <w:insideH w:val="single" w:sz="8" w:space="0" w:color="38CDFF" w:themeColor="accent4" w:themeTint="BF"/>
      </w:tblBorders>
    </w:tblPr>
    <w:tblStylePr w:type="firstRow">
      <w:pPr>
        <w:spacing w:before="0" w:after="0" w:line="240" w:lineRule="auto"/>
      </w:pPr>
      <w:rPr>
        <w:b/>
        <w:bCs/>
        <w:color w:val="FFFFFF" w:themeColor="background1"/>
      </w:rPr>
      <w:tblPr/>
      <w:tcPr>
        <w:tcBorders>
          <w:top w:val="single" w:sz="8" w:space="0" w:color="38CDFF" w:themeColor="accent4" w:themeTint="BF"/>
          <w:left w:val="single" w:sz="8" w:space="0" w:color="38CDFF" w:themeColor="accent4" w:themeTint="BF"/>
          <w:bottom w:val="single" w:sz="8" w:space="0" w:color="38CDFF" w:themeColor="accent4" w:themeTint="BF"/>
          <w:right w:val="single" w:sz="8" w:space="0" w:color="38CDFF" w:themeColor="accent4" w:themeTint="BF"/>
          <w:insideH w:val="nil"/>
          <w:insideV w:val="nil"/>
        </w:tcBorders>
        <w:shd w:val="clear" w:color="auto" w:fill="00B8F5" w:themeFill="accent4"/>
      </w:tcPr>
    </w:tblStylePr>
    <w:tblStylePr w:type="lastRow">
      <w:pPr>
        <w:spacing w:before="0" w:after="0" w:line="240" w:lineRule="auto"/>
      </w:pPr>
      <w:rPr>
        <w:b/>
        <w:bCs/>
      </w:rPr>
      <w:tblPr/>
      <w:tcPr>
        <w:tcBorders>
          <w:top w:val="double" w:sz="6" w:space="0" w:color="38CDFF" w:themeColor="accent4" w:themeTint="BF"/>
          <w:left w:val="single" w:sz="8" w:space="0" w:color="38CDFF" w:themeColor="accent4" w:themeTint="BF"/>
          <w:bottom w:val="single" w:sz="8" w:space="0" w:color="38CDFF" w:themeColor="accent4" w:themeTint="BF"/>
          <w:right w:val="single" w:sz="8" w:space="0" w:color="38CD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EFF" w:themeFill="accent4" w:themeFillTint="3F"/>
      </w:tcPr>
    </w:tblStylePr>
    <w:tblStylePr w:type="band1Horz">
      <w:tblPr/>
      <w:tcPr>
        <w:tcBorders>
          <w:insideH w:val="nil"/>
          <w:insideV w:val="nil"/>
        </w:tcBorders>
        <w:shd w:val="clear" w:color="auto" w:fill="BDEE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7286C"/>
    <w:pPr>
      <w:spacing w:after="0" w:line="240" w:lineRule="auto"/>
    </w:pPr>
    <w:tblPr>
      <w:tblStyleRowBandSize w:val="1"/>
      <w:tblStyleColBandSize w:val="1"/>
      <w:tblBorders>
        <w:top w:val="single" w:sz="8" w:space="0" w:color="944CF0" w:themeColor="accent5" w:themeTint="BF"/>
        <w:left w:val="single" w:sz="8" w:space="0" w:color="944CF0" w:themeColor="accent5" w:themeTint="BF"/>
        <w:bottom w:val="single" w:sz="8" w:space="0" w:color="944CF0" w:themeColor="accent5" w:themeTint="BF"/>
        <w:right w:val="single" w:sz="8" w:space="0" w:color="944CF0" w:themeColor="accent5" w:themeTint="BF"/>
        <w:insideH w:val="single" w:sz="8" w:space="0" w:color="944CF0" w:themeColor="accent5" w:themeTint="BF"/>
      </w:tblBorders>
    </w:tblPr>
    <w:tblStylePr w:type="firstRow">
      <w:pPr>
        <w:spacing w:before="0" w:after="0" w:line="240" w:lineRule="auto"/>
      </w:pPr>
      <w:rPr>
        <w:b/>
        <w:bCs/>
        <w:color w:val="FFFFFF" w:themeColor="background1"/>
      </w:rPr>
      <w:tblPr/>
      <w:tcPr>
        <w:tcBorders>
          <w:top w:val="single" w:sz="8" w:space="0" w:color="944CF0" w:themeColor="accent5" w:themeTint="BF"/>
          <w:left w:val="single" w:sz="8" w:space="0" w:color="944CF0" w:themeColor="accent5" w:themeTint="BF"/>
          <w:bottom w:val="single" w:sz="8" w:space="0" w:color="944CF0" w:themeColor="accent5" w:themeTint="BF"/>
          <w:right w:val="single" w:sz="8" w:space="0" w:color="944CF0" w:themeColor="accent5" w:themeTint="BF"/>
          <w:insideH w:val="nil"/>
          <w:insideV w:val="nil"/>
        </w:tcBorders>
        <w:shd w:val="clear" w:color="auto" w:fill="7213EA" w:themeFill="accent5"/>
      </w:tcPr>
    </w:tblStylePr>
    <w:tblStylePr w:type="lastRow">
      <w:pPr>
        <w:spacing w:before="0" w:after="0" w:line="240" w:lineRule="auto"/>
      </w:pPr>
      <w:rPr>
        <w:b/>
        <w:bCs/>
      </w:rPr>
      <w:tblPr/>
      <w:tcPr>
        <w:tcBorders>
          <w:top w:val="double" w:sz="6" w:space="0" w:color="944CF0" w:themeColor="accent5" w:themeTint="BF"/>
          <w:left w:val="single" w:sz="8" w:space="0" w:color="944CF0" w:themeColor="accent5" w:themeTint="BF"/>
          <w:bottom w:val="single" w:sz="8" w:space="0" w:color="944CF0" w:themeColor="accent5" w:themeTint="BF"/>
          <w:right w:val="single" w:sz="8" w:space="0" w:color="944CF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C4FA" w:themeFill="accent5" w:themeFillTint="3F"/>
      </w:tcPr>
    </w:tblStylePr>
    <w:tblStylePr w:type="band1Horz">
      <w:tblPr/>
      <w:tcPr>
        <w:tcBorders>
          <w:insideH w:val="nil"/>
          <w:insideV w:val="nil"/>
        </w:tcBorders>
        <w:shd w:val="clear" w:color="auto" w:fill="DBC4F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7286C"/>
    <w:pPr>
      <w:spacing w:after="0" w:line="240" w:lineRule="auto"/>
    </w:pPr>
    <w:tblPr>
      <w:tblStyleRowBandSize w:val="1"/>
      <w:tblStyleColBandSize w:val="1"/>
      <w:tblBorders>
        <w:top w:val="single" w:sz="8" w:space="0" w:color="FD66B4" w:themeColor="accent6" w:themeTint="BF"/>
        <w:left w:val="single" w:sz="8" w:space="0" w:color="FD66B4" w:themeColor="accent6" w:themeTint="BF"/>
        <w:bottom w:val="single" w:sz="8" w:space="0" w:color="FD66B4" w:themeColor="accent6" w:themeTint="BF"/>
        <w:right w:val="single" w:sz="8" w:space="0" w:color="FD66B4" w:themeColor="accent6" w:themeTint="BF"/>
        <w:insideH w:val="single" w:sz="8" w:space="0" w:color="FD66B4" w:themeColor="accent6" w:themeTint="BF"/>
      </w:tblBorders>
    </w:tblPr>
    <w:tblStylePr w:type="firstRow">
      <w:pPr>
        <w:spacing w:before="0" w:after="0" w:line="240" w:lineRule="auto"/>
      </w:pPr>
      <w:rPr>
        <w:b/>
        <w:bCs/>
        <w:color w:val="FFFFFF" w:themeColor="background1"/>
      </w:rPr>
      <w:tblPr/>
      <w:tcPr>
        <w:tcBorders>
          <w:top w:val="single" w:sz="8" w:space="0" w:color="FD66B4" w:themeColor="accent6" w:themeTint="BF"/>
          <w:left w:val="single" w:sz="8" w:space="0" w:color="FD66B4" w:themeColor="accent6" w:themeTint="BF"/>
          <w:bottom w:val="single" w:sz="8" w:space="0" w:color="FD66B4" w:themeColor="accent6" w:themeTint="BF"/>
          <w:right w:val="single" w:sz="8" w:space="0" w:color="FD66B4" w:themeColor="accent6" w:themeTint="BF"/>
          <w:insideH w:val="nil"/>
          <w:insideV w:val="nil"/>
        </w:tcBorders>
        <w:shd w:val="clear" w:color="auto" w:fill="FD349C" w:themeFill="accent6"/>
      </w:tcPr>
    </w:tblStylePr>
    <w:tblStylePr w:type="lastRow">
      <w:pPr>
        <w:spacing w:before="0" w:after="0" w:line="240" w:lineRule="auto"/>
      </w:pPr>
      <w:rPr>
        <w:b/>
        <w:bCs/>
      </w:rPr>
      <w:tblPr/>
      <w:tcPr>
        <w:tcBorders>
          <w:top w:val="double" w:sz="6" w:space="0" w:color="FD66B4" w:themeColor="accent6" w:themeTint="BF"/>
          <w:left w:val="single" w:sz="8" w:space="0" w:color="FD66B4" w:themeColor="accent6" w:themeTint="BF"/>
          <w:bottom w:val="single" w:sz="8" w:space="0" w:color="FD66B4" w:themeColor="accent6" w:themeTint="BF"/>
          <w:right w:val="single" w:sz="8" w:space="0" w:color="FD66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CCE6" w:themeFill="accent6" w:themeFillTint="3F"/>
      </w:tcPr>
    </w:tblStylePr>
    <w:tblStylePr w:type="band1Horz">
      <w:tblPr/>
      <w:tcPr>
        <w:tcBorders>
          <w:insideH w:val="nil"/>
          <w:insideV w:val="nil"/>
        </w:tcBorders>
        <w:shd w:val="clear" w:color="auto" w:fill="FECCE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9E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9E2" w:themeFill="accent2"/>
      </w:tcPr>
    </w:tblStylePr>
    <w:tblStylePr w:type="lastCol">
      <w:rPr>
        <w:b/>
        <w:bCs/>
        <w:color w:val="FFFFFF" w:themeColor="background1"/>
      </w:rPr>
      <w:tblPr/>
      <w:tcPr>
        <w:tcBorders>
          <w:left w:val="nil"/>
          <w:right w:val="nil"/>
          <w:insideH w:val="nil"/>
          <w:insideV w:val="nil"/>
        </w:tcBorders>
        <w:shd w:val="clear" w:color="auto" w:fill="1E49E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23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233C" w:themeFill="accent3"/>
      </w:tcPr>
    </w:tblStylePr>
    <w:tblStylePr w:type="lastCol">
      <w:rPr>
        <w:b/>
        <w:bCs/>
        <w:color w:val="FFFFFF" w:themeColor="background1"/>
      </w:rPr>
      <w:tblPr/>
      <w:tcPr>
        <w:tcBorders>
          <w:left w:val="nil"/>
          <w:right w:val="nil"/>
          <w:insideH w:val="nil"/>
          <w:insideV w:val="nil"/>
        </w:tcBorders>
        <w:shd w:val="clear" w:color="auto" w:fill="0C23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8F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8F5" w:themeFill="accent4"/>
      </w:tcPr>
    </w:tblStylePr>
    <w:tblStylePr w:type="lastCol">
      <w:rPr>
        <w:b/>
        <w:bCs/>
        <w:color w:val="FFFFFF" w:themeColor="background1"/>
      </w:rPr>
      <w:tblPr/>
      <w:tcPr>
        <w:tcBorders>
          <w:left w:val="nil"/>
          <w:right w:val="nil"/>
          <w:insideH w:val="nil"/>
          <w:insideV w:val="nil"/>
        </w:tcBorders>
        <w:shd w:val="clear" w:color="auto" w:fill="00B8F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13E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213EA" w:themeFill="accent5"/>
      </w:tcPr>
    </w:tblStylePr>
    <w:tblStylePr w:type="lastCol">
      <w:rPr>
        <w:b/>
        <w:bCs/>
        <w:color w:val="FFFFFF" w:themeColor="background1"/>
      </w:rPr>
      <w:tblPr/>
      <w:tcPr>
        <w:tcBorders>
          <w:left w:val="nil"/>
          <w:right w:val="nil"/>
          <w:insideH w:val="nil"/>
          <w:insideV w:val="nil"/>
        </w:tcBorders>
        <w:shd w:val="clear" w:color="auto" w:fill="7213E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349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349C" w:themeFill="accent6"/>
      </w:tcPr>
    </w:tblStylePr>
    <w:tblStylePr w:type="lastCol">
      <w:rPr>
        <w:b/>
        <w:bCs/>
        <w:color w:val="FFFFFF" w:themeColor="background1"/>
      </w:rPr>
      <w:tblPr/>
      <w:tcPr>
        <w:tcBorders>
          <w:left w:val="nil"/>
          <w:right w:val="nil"/>
          <w:insideH w:val="nil"/>
          <w:insideV w:val="nil"/>
        </w:tcBorders>
        <w:shd w:val="clear" w:color="auto" w:fill="FD349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7286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7286C"/>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7286C"/>
    <w:pPr>
      <w:spacing w:before="0" w:after="0"/>
    </w:pPr>
    <w:rPr>
      <w:sz w:val="18"/>
    </w:rPr>
  </w:style>
  <w:style w:type="character" w:customStyle="1" w:styleId="NoteHeadingChar">
    <w:name w:val="Note Heading Char"/>
    <w:basedOn w:val="DefaultParagraphFont"/>
    <w:link w:val="NoteHeading"/>
    <w:uiPriority w:val="99"/>
    <w:semiHidden/>
    <w:rsid w:val="0007286C"/>
    <w:rPr>
      <w:sz w:val="18"/>
    </w:rPr>
  </w:style>
  <w:style w:type="table" w:styleId="PlainTable1">
    <w:name w:val="Plain Table 1"/>
    <w:basedOn w:val="TableNormal"/>
    <w:uiPriority w:val="41"/>
    <w:rsid w:val="000728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28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7286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728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728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7286C"/>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07286C"/>
    <w:rPr>
      <w:rFonts w:ascii="Consolas" w:hAnsi="Consolas"/>
      <w:sz w:val="21"/>
      <w:szCs w:val="21"/>
    </w:rPr>
  </w:style>
  <w:style w:type="paragraph" w:styleId="Quote">
    <w:name w:val="Quote"/>
    <w:basedOn w:val="Normal"/>
    <w:next w:val="Normal"/>
    <w:link w:val="QuoteChar"/>
    <w:uiPriority w:val="29"/>
    <w:qFormat/>
    <w:rsid w:val="0007286C"/>
    <w:pPr>
      <w:spacing w:before="200" w:after="160" w:line="259" w:lineRule="auto"/>
      <w:ind w:left="864" w:right="864"/>
      <w:jc w:val="center"/>
    </w:pPr>
    <w:rPr>
      <w:i/>
      <w:iCs/>
      <w:color w:val="404040" w:themeColor="text1" w:themeTint="BF"/>
      <w:sz w:val="18"/>
    </w:rPr>
  </w:style>
  <w:style w:type="character" w:customStyle="1" w:styleId="QuoteChar">
    <w:name w:val="Quote Char"/>
    <w:basedOn w:val="DefaultParagraphFont"/>
    <w:link w:val="Quote"/>
    <w:uiPriority w:val="29"/>
    <w:rsid w:val="0007286C"/>
    <w:rPr>
      <w:i/>
      <w:iCs/>
      <w:color w:val="404040" w:themeColor="text1" w:themeTint="BF"/>
      <w:sz w:val="18"/>
    </w:rPr>
  </w:style>
  <w:style w:type="paragraph" w:styleId="Salutation">
    <w:name w:val="Salutation"/>
    <w:basedOn w:val="Normal"/>
    <w:next w:val="Normal"/>
    <w:link w:val="SalutationChar"/>
    <w:uiPriority w:val="99"/>
    <w:semiHidden/>
    <w:unhideWhenUsed/>
    <w:rsid w:val="0007286C"/>
    <w:pPr>
      <w:spacing w:before="0" w:after="160" w:line="259" w:lineRule="auto"/>
    </w:pPr>
    <w:rPr>
      <w:sz w:val="18"/>
    </w:rPr>
  </w:style>
  <w:style w:type="character" w:customStyle="1" w:styleId="SalutationChar">
    <w:name w:val="Salutation Char"/>
    <w:basedOn w:val="DefaultParagraphFont"/>
    <w:link w:val="Salutation"/>
    <w:uiPriority w:val="99"/>
    <w:semiHidden/>
    <w:rsid w:val="0007286C"/>
    <w:rPr>
      <w:sz w:val="18"/>
    </w:rPr>
  </w:style>
  <w:style w:type="paragraph" w:styleId="Signature">
    <w:name w:val="Signature"/>
    <w:basedOn w:val="Normal"/>
    <w:link w:val="SignatureChar"/>
    <w:uiPriority w:val="99"/>
    <w:semiHidden/>
    <w:unhideWhenUsed/>
    <w:rsid w:val="0007286C"/>
    <w:pPr>
      <w:spacing w:before="0" w:after="0"/>
      <w:ind w:left="4252"/>
    </w:pPr>
    <w:rPr>
      <w:sz w:val="18"/>
    </w:rPr>
  </w:style>
  <w:style w:type="character" w:customStyle="1" w:styleId="SignatureChar">
    <w:name w:val="Signature Char"/>
    <w:basedOn w:val="DefaultParagraphFont"/>
    <w:link w:val="Signature"/>
    <w:uiPriority w:val="99"/>
    <w:semiHidden/>
    <w:rsid w:val="0007286C"/>
    <w:rPr>
      <w:sz w:val="18"/>
    </w:rPr>
  </w:style>
  <w:style w:type="character" w:styleId="SubtleEmphasis">
    <w:name w:val="Subtle Emphasis"/>
    <w:basedOn w:val="DefaultParagraphFont"/>
    <w:uiPriority w:val="19"/>
    <w:rsid w:val="0007286C"/>
    <w:rPr>
      <w:i/>
      <w:iCs/>
      <w:color w:val="404040" w:themeColor="text1" w:themeTint="BF"/>
    </w:rPr>
  </w:style>
  <w:style w:type="character" w:styleId="SubtleReference">
    <w:name w:val="Subtle Reference"/>
    <w:basedOn w:val="DefaultParagraphFont"/>
    <w:uiPriority w:val="31"/>
    <w:rsid w:val="0007286C"/>
    <w:rPr>
      <w:smallCaps/>
      <w:color w:val="5A5A5A" w:themeColor="text1" w:themeTint="A5"/>
    </w:rPr>
  </w:style>
  <w:style w:type="table" w:styleId="Table3Deffects1">
    <w:name w:val="Table 3D effects 1"/>
    <w:basedOn w:val="TableNormal"/>
    <w:uiPriority w:val="99"/>
    <w:semiHidden/>
    <w:unhideWhenUsed/>
    <w:rsid w:val="0007286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7286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7286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7286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7286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7286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7286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07286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07286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07286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7286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7286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7286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7286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7286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7286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7286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7286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7286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7286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7286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7286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7286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7286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728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7286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7286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7286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7286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7286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7286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7286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7286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7286C"/>
    <w:pPr>
      <w:spacing w:before="0" w:after="0" w:line="259" w:lineRule="auto"/>
      <w:ind w:left="180" w:hanging="180"/>
    </w:pPr>
    <w:rPr>
      <w:sz w:val="18"/>
    </w:rPr>
  </w:style>
  <w:style w:type="paragraph" w:styleId="TableofFigures">
    <w:name w:val="table of figures"/>
    <w:basedOn w:val="Normal"/>
    <w:next w:val="Normal"/>
    <w:uiPriority w:val="99"/>
    <w:unhideWhenUsed/>
    <w:rsid w:val="0007286C"/>
    <w:pPr>
      <w:spacing w:before="0" w:after="0" w:line="259" w:lineRule="auto"/>
    </w:pPr>
    <w:rPr>
      <w:sz w:val="18"/>
    </w:rPr>
  </w:style>
  <w:style w:type="table" w:styleId="TableProfessional">
    <w:name w:val="Table Professional"/>
    <w:basedOn w:val="TableNormal"/>
    <w:uiPriority w:val="99"/>
    <w:semiHidden/>
    <w:unhideWhenUsed/>
    <w:rsid w:val="000728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7286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7286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7286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7286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7286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72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728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728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7286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6">
    <w:name w:val="toc 6"/>
    <w:basedOn w:val="Normal"/>
    <w:next w:val="Normal"/>
    <w:autoRedefine/>
    <w:uiPriority w:val="39"/>
    <w:unhideWhenUsed/>
    <w:rsid w:val="0007286C"/>
    <w:pPr>
      <w:spacing w:before="0" w:after="100" w:line="259" w:lineRule="auto"/>
      <w:ind w:left="900"/>
    </w:pPr>
    <w:rPr>
      <w:sz w:val="18"/>
    </w:rPr>
  </w:style>
  <w:style w:type="paragraph" w:styleId="TOC7">
    <w:name w:val="toc 7"/>
    <w:basedOn w:val="Normal"/>
    <w:next w:val="Normal"/>
    <w:autoRedefine/>
    <w:uiPriority w:val="39"/>
    <w:unhideWhenUsed/>
    <w:rsid w:val="0007286C"/>
    <w:pPr>
      <w:spacing w:before="0" w:after="100" w:line="259" w:lineRule="auto"/>
      <w:ind w:left="1080"/>
    </w:pPr>
    <w:rPr>
      <w:sz w:val="18"/>
    </w:rPr>
  </w:style>
  <w:style w:type="paragraph" w:styleId="TOC8">
    <w:name w:val="toc 8"/>
    <w:basedOn w:val="Normal"/>
    <w:next w:val="Normal"/>
    <w:autoRedefine/>
    <w:uiPriority w:val="39"/>
    <w:unhideWhenUsed/>
    <w:rsid w:val="0007286C"/>
    <w:pPr>
      <w:spacing w:before="0" w:after="100" w:line="259" w:lineRule="auto"/>
      <w:ind w:left="1260"/>
    </w:pPr>
    <w:rPr>
      <w:sz w:val="18"/>
    </w:rPr>
  </w:style>
  <w:style w:type="paragraph" w:styleId="TOC9">
    <w:name w:val="toc 9"/>
    <w:basedOn w:val="Normal"/>
    <w:next w:val="Normal"/>
    <w:autoRedefine/>
    <w:uiPriority w:val="39"/>
    <w:unhideWhenUsed/>
    <w:rsid w:val="0007286C"/>
    <w:pPr>
      <w:spacing w:before="0" w:after="100" w:line="259" w:lineRule="auto"/>
      <w:ind w:left="1440"/>
    </w:pPr>
    <w:rPr>
      <w:sz w:val="18"/>
    </w:rPr>
  </w:style>
  <w:style w:type="numbering" w:customStyle="1" w:styleId="NoList1">
    <w:name w:val="No List1"/>
    <w:next w:val="NoList"/>
    <w:uiPriority w:val="99"/>
    <w:semiHidden/>
    <w:unhideWhenUsed/>
    <w:rsid w:val="0007286C"/>
  </w:style>
  <w:style w:type="paragraph" w:customStyle="1" w:styleId="CredHeading">
    <w:name w:val="Cred Heading"/>
    <w:basedOn w:val="BodyText"/>
    <w:uiPriority w:val="99"/>
    <w:qFormat/>
    <w:rsid w:val="009B0CEC"/>
    <w:rPr>
      <w:rFonts w:cs="Arial"/>
      <w:b/>
      <w:bCs/>
      <w:color w:val="00338D" w:themeColor="accent1"/>
      <w:kern w:val="24"/>
      <w:sz w:val="24"/>
      <w:szCs w:val="24"/>
    </w:rPr>
  </w:style>
  <w:style w:type="paragraph" w:customStyle="1" w:styleId="Tabletextheading">
    <w:name w:val="Table text heading"/>
    <w:basedOn w:val="Caption"/>
    <w:uiPriority w:val="99"/>
    <w:rsid w:val="00AE35F7"/>
    <w:pPr>
      <w:spacing w:before="180"/>
    </w:pPr>
    <w:rPr>
      <w:color w:val="0C233C" w:themeColor="text2"/>
      <w:szCs w:val="18"/>
    </w:rPr>
  </w:style>
  <w:style w:type="character" w:styleId="Mention">
    <w:name w:val="Mention"/>
    <w:basedOn w:val="DefaultParagraphFont"/>
    <w:uiPriority w:val="99"/>
    <w:unhideWhenUsed/>
    <w:rsid w:val="000D73CC"/>
    <w:rPr>
      <w:color w:val="2B579A"/>
      <w:shd w:val="clear" w:color="auto" w:fill="E1DFDD"/>
    </w:rPr>
  </w:style>
  <w:style w:type="paragraph" w:customStyle="1" w:styleId="Figuretextheading">
    <w:name w:val="Figure text heading"/>
    <w:basedOn w:val="BodyText"/>
    <w:uiPriority w:val="99"/>
    <w:rsid w:val="006E6F77"/>
    <w:pPr>
      <w:spacing w:before="180"/>
    </w:pPr>
    <w:rPr>
      <w:i/>
    </w:rPr>
  </w:style>
  <w:style w:type="table" w:customStyle="1" w:styleId="ReportTable">
    <w:name w:val="Report Table"/>
    <w:basedOn w:val="TableNormal"/>
    <w:uiPriority w:val="99"/>
    <w:rsid w:val="008B60C5"/>
    <w:pPr>
      <w:spacing w:after="0" w:line="240" w:lineRule="auto"/>
    </w:pPr>
    <w:rPr>
      <w:rFonts w:ascii="Univers 45 Light" w:eastAsia="Times New Roman" w:hAnsi="Univers 45 Light" w:cs="Times New Roman"/>
      <w:sz w:val="24"/>
      <w:szCs w:val="20"/>
      <w:lang w:eastAsia="en-AU"/>
    </w:rPr>
    <w:tblPr>
      <w:tblBorders>
        <w:top w:val="single" w:sz="4" w:space="0" w:color="091A2C" w:themeColor="text2" w:themeShade="BF"/>
        <w:left w:val="single" w:sz="4" w:space="0" w:color="091A2C" w:themeColor="text2" w:themeShade="BF"/>
        <w:bottom w:val="single" w:sz="4" w:space="0" w:color="091A2C" w:themeColor="text2" w:themeShade="BF"/>
        <w:right w:val="single" w:sz="4" w:space="0" w:color="091A2C" w:themeColor="text2" w:themeShade="BF"/>
        <w:insideH w:val="single" w:sz="4" w:space="0" w:color="091A2C" w:themeColor="text2" w:themeShade="BF"/>
        <w:insideV w:val="single" w:sz="4" w:space="0" w:color="091A2C" w:themeColor="text2" w:themeShade="BF"/>
      </w:tblBorders>
    </w:tblPr>
    <w:tblStylePr w:type="firstRow">
      <w:rPr>
        <w:rFonts w:ascii="9999999" w:hAnsi="9999999"/>
        <w:b/>
        <w:color w:val="FFFFFF" w:themeColor="background1"/>
        <w:sz w:val="24"/>
      </w:rPr>
      <w:tblPr/>
      <w:trPr>
        <w:tblHeader/>
      </w:trPr>
      <w:tcPr>
        <w:shd w:val="clear" w:color="auto" w:fill="091A2C" w:themeFill="text2" w:themeFillShade="BF"/>
      </w:tcPr>
    </w:tblStylePr>
    <w:tblStylePr w:type="lastRow">
      <w:rPr>
        <w:b/>
      </w:rPr>
    </w:tblStylePr>
    <w:tblStylePr w:type="firstCol">
      <w:rPr>
        <w:b/>
      </w:rPr>
    </w:tblStylePr>
    <w:tblStylePr w:type="lastCol">
      <w:rPr>
        <w:b/>
      </w:rPr>
    </w:tblStylePr>
  </w:style>
  <w:style w:type="paragraph" w:customStyle="1" w:styleId="BodyTextkeepwithnext">
    <w:name w:val="BodyTextkeepwithnext"/>
    <w:basedOn w:val="Normal"/>
    <w:uiPriority w:val="99"/>
    <w:rsid w:val="005D0C3C"/>
    <w:pPr>
      <w:keepNext/>
    </w:pPr>
    <w:rPr>
      <w:rFonts w:cs="Calibri"/>
    </w:rPr>
  </w:style>
  <w:style w:type="table" w:customStyle="1" w:styleId="KPMGTable">
    <w:name w:val="KPMG Table"/>
    <w:basedOn w:val="TableNormal"/>
    <w:uiPriority w:val="99"/>
    <w:rsid w:val="009B70EE"/>
    <w:pPr>
      <w:spacing w:after="0" w:line="240" w:lineRule="auto"/>
    </w:pPr>
    <w:rPr>
      <w:rFonts w:ascii="9999999" w:hAnsi="9999999"/>
      <w:sz w:val="20"/>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00338D" w:themeColor="accent1"/>
      </w:rPr>
      <w:tblPr/>
      <w:tcPr>
        <w:tcBorders>
          <w:bottom w:val="single" w:sz="4" w:space="0" w:color="00338D" w:themeColor="accent1"/>
        </w:tcBorders>
        <w:shd w:val="clear" w:color="auto" w:fill="FFFFFF" w:themeFill="background1"/>
      </w:tcPr>
    </w:tblStylePr>
    <w:tblStylePr w:type="lastRow">
      <w:tblPr/>
      <w:tcPr>
        <w:tcBorders>
          <w:bottom w:val="single" w:sz="4" w:space="0" w:color="00338D" w:themeColor="accent1"/>
        </w:tcBorders>
      </w:tcPr>
    </w:tblStylePr>
    <w:tblStylePr w:type="firstCol">
      <w:tblPr/>
      <w:tcPr>
        <w:shd w:val="clear" w:color="auto" w:fill="F2F2F2" w:themeFill="background1" w:themeFillShade="F2"/>
      </w:tcPr>
    </w:tblStylePr>
  </w:style>
  <w:style w:type="paragraph" w:customStyle="1" w:styleId="Quotedetail">
    <w:name w:val="Quote detail"/>
    <w:basedOn w:val="Quote"/>
    <w:qFormat/>
    <w:rsid w:val="009B70EE"/>
    <w:pPr>
      <w:spacing w:before="120" w:after="0" w:line="240" w:lineRule="auto"/>
      <w:ind w:left="0" w:right="0"/>
      <w:jc w:val="left"/>
    </w:pPr>
    <w:rPr>
      <w:b/>
      <w:color w:val="000000" w:themeColor="text1"/>
      <w:sz w:val="20"/>
    </w:rPr>
  </w:style>
  <w:style w:type="paragraph" w:customStyle="1" w:styleId="Headingnonumbers">
    <w:name w:val="Heading (no numbers)"/>
    <w:link w:val="HeadingnonumbersChar"/>
    <w:uiPriority w:val="99"/>
    <w:qFormat/>
    <w:rsid w:val="00281D11"/>
    <w:pPr>
      <w:spacing w:before="120" w:after="120" w:line="240" w:lineRule="auto"/>
      <w:outlineLvl w:val="0"/>
    </w:pPr>
    <w:rPr>
      <w:rFonts w:ascii="KPMG Bold" w:eastAsiaTheme="majorEastAsia" w:hAnsi="KPMG Bold" w:cstheme="majorBidi"/>
      <w:color w:val="00338D" w:themeColor="accent1"/>
      <w:sz w:val="96"/>
      <w:szCs w:val="32"/>
    </w:rPr>
  </w:style>
  <w:style w:type="character" w:customStyle="1" w:styleId="HeadingnonumbersChar">
    <w:name w:val="Heading (no numbers) Char"/>
    <w:basedOn w:val="DefaultParagraphFont"/>
    <w:link w:val="Headingnonumbers"/>
    <w:uiPriority w:val="99"/>
    <w:rsid w:val="00281D11"/>
    <w:rPr>
      <w:rFonts w:ascii="KPMG Bold" w:eastAsiaTheme="majorEastAsia" w:hAnsi="KPMG Bold" w:cstheme="majorBidi"/>
      <w:color w:val="00338D" w:themeColor="accent1"/>
      <w:sz w:val="96"/>
      <w:szCs w:val="32"/>
    </w:rPr>
  </w:style>
  <w:style w:type="paragraph" w:customStyle="1" w:styleId="Heading2nonumbers">
    <w:name w:val="Heading 2 (no numbers)"/>
    <w:basedOn w:val="Heading2"/>
    <w:link w:val="Heading2nonumbersChar"/>
    <w:uiPriority w:val="99"/>
    <w:qFormat/>
    <w:rsid w:val="00990159"/>
    <w:pPr>
      <w:spacing w:before="120" w:line="240" w:lineRule="auto"/>
    </w:pPr>
  </w:style>
  <w:style w:type="character" w:customStyle="1" w:styleId="Heading2nonumbersChar">
    <w:name w:val="Heading 2 (no numbers) Char"/>
    <w:basedOn w:val="Heading2Char"/>
    <w:link w:val="Heading2nonumbers"/>
    <w:uiPriority w:val="99"/>
    <w:rsid w:val="00990159"/>
    <w:rPr>
      <w:rFonts w:ascii="KPMG Bold" w:eastAsiaTheme="majorEastAsia" w:hAnsi="KPMG Bold" w:cstheme="majorBidi"/>
      <w:color w:val="1E49E2" w:themeColor="accent2"/>
      <w:sz w:val="40"/>
      <w:szCs w:val="26"/>
    </w:rPr>
  </w:style>
  <w:style w:type="paragraph" w:customStyle="1" w:styleId="Heading2nonumber">
    <w:name w:val="Heading 2 (no number)"/>
    <w:basedOn w:val="Normal"/>
    <w:link w:val="Heading2nonumberChar"/>
    <w:uiPriority w:val="99"/>
    <w:qFormat/>
    <w:rsid w:val="00B17278"/>
    <w:pPr>
      <w:outlineLvl w:val="1"/>
    </w:pPr>
    <w:rPr>
      <w:color w:val="1E49E2" w:themeColor="accent2"/>
      <w:sz w:val="36"/>
    </w:rPr>
  </w:style>
  <w:style w:type="character" w:customStyle="1" w:styleId="Heading2nonumberChar">
    <w:name w:val="Heading 2 (no number) Char"/>
    <w:basedOn w:val="DefaultParagraphFont"/>
    <w:link w:val="Heading2nonumber"/>
    <w:uiPriority w:val="99"/>
    <w:rsid w:val="00B17278"/>
    <w:rPr>
      <w:rFonts w:ascii="Arial" w:hAnsi="Arial"/>
      <w:color w:val="1E49E2" w:themeColor="accent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644">
      <w:bodyDiv w:val="1"/>
      <w:marLeft w:val="0"/>
      <w:marRight w:val="0"/>
      <w:marTop w:val="0"/>
      <w:marBottom w:val="0"/>
      <w:divBdr>
        <w:top w:val="none" w:sz="0" w:space="0" w:color="auto"/>
        <w:left w:val="none" w:sz="0" w:space="0" w:color="auto"/>
        <w:bottom w:val="none" w:sz="0" w:space="0" w:color="auto"/>
        <w:right w:val="none" w:sz="0" w:space="0" w:color="auto"/>
      </w:divBdr>
    </w:div>
    <w:div w:id="3439082">
      <w:bodyDiv w:val="1"/>
      <w:marLeft w:val="0"/>
      <w:marRight w:val="0"/>
      <w:marTop w:val="0"/>
      <w:marBottom w:val="0"/>
      <w:divBdr>
        <w:top w:val="none" w:sz="0" w:space="0" w:color="auto"/>
        <w:left w:val="none" w:sz="0" w:space="0" w:color="auto"/>
        <w:bottom w:val="none" w:sz="0" w:space="0" w:color="auto"/>
        <w:right w:val="none" w:sz="0" w:space="0" w:color="auto"/>
      </w:divBdr>
    </w:div>
    <w:div w:id="9336608">
      <w:bodyDiv w:val="1"/>
      <w:marLeft w:val="0"/>
      <w:marRight w:val="0"/>
      <w:marTop w:val="0"/>
      <w:marBottom w:val="0"/>
      <w:divBdr>
        <w:top w:val="none" w:sz="0" w:space="0" w:color="auto"/>
        <w:left w:val="none" w:sz="0" w:space="0" w:color="auto"/>
        <w:bottom w:val="none" w:sz="0" w:space="0" w:color="auto"/>
        <w:right w:val="none" w:sz="0" w:space="0" w:color="auto"/>
      </w:divBdr>
    </w:div>
    <w:div w:id="9379169">
      <w:bodyDiv w:val="1"/>
      <w:marLeft w:val="0"/>
      <w:marRight w:val="0"/>
      <w:marTop w:val="0"/>
      <w:marBottom w:val="0"/>
      <w:divBdr>
        <w:top w:val="none" w:sz="0" w:space="0" w:color="auto"/>
        <w:left w:val="none" w:sz="0" w:space="0" w:color="auto"/>
        <w:bottom w:val="none" w:sz="0" w:space="0" w:color="auto"/>
        <w:right w:val="none" w:sz="0" w:space="0" w:color="auto"/>
      </w:divBdr>
      <w:divsChild>
        <w:div w:id="269778763">
          <w:marLeft w:val="547"/>
          <w:marRight w:val="0"/>
          <w:marTop w:val="0"/>
          <w:marBottom w:val="0"/>
          <w:divBdr>
            <w:top w:val="none" w:sz="0" w:space="0" w:color="auto"/>
            <w:left w:val="none" w:sz="0" w:space="0" w:color="auto"/>
            <w:bottom w:val="none" w:sz="0" w:space="0" w:color="auto"/>
            <w:right w:val="none" w:sz="0" w:space="0" w:color="auto"/>
          </w:divBdr>
        </w:div>
      </w:divsChild>
    </w:div>
    <w:div w:id="13507990">
      <w:bodyDiv w:val="1"/>
      <w:marLeft w:val="0"/>
      <w:marRight w:val="0"/>
      <w:marTop w:val="0"/>
      <w:marBottom w:val="0"/>
      <w:divBdr>
        <w:top w:val="none" w:sz="0" w:space="0" w:color="auto"/>
        <w:left w:val="none" w:sz="0" w:space="0" w:color="auto"/>
        <w:bottom w:val="none" w:sz="0" w:space="0" w:color="auto"/>
        <w:right w:val="none" w:sz="0" w:space="0" w:color="auto"/>
      </w:divBdr>
    </w:div>
    <w:div w:id="27487797">
      <w:bodyDiv w:val="1"/>
      <w:marLeft w:val="0"/>
      <w:marRight w:val="0"/>
      <w:marTop w:val="0"/>
      <w:marBottom w:val="0"/>
      <w:divBdr>
        <w:top w:val="none" w:sz="0" w:space="0" w:color="auto"/>
        <w:left w:val="none" w:sz="0" w:space="0" w:color="auto"/>
        <w:bottom w:val="none" w:sz="0" w:space="0" w:color="auto"/>
        <w:right w:val="none" w:sz="0" w:space="0" w:color="auto"/>
      </w:divBdr>
    </w:div>
    <w:div w:id="32735057">
      <w:bodyDiv w:val="1"/>
      <w:marLeft w:val="0"/>
      <w:marRight w:val="0"/>
      <w:marTop w:val="0"/>
      <w:marBottom w:val="0"/>
      <w:divBdr>
        <w:top w:val="none" w:sz="0" w:space="0" w:color="auto"/>
        <w:left w:val="none" w:sz="0" w:space="0" w:color="auto"/>
        <w:bottom w:val="none" w:sz="0" w:space="0" w:color="auto"/>
        <w:right w:val="none" w:sz="0" w:space="0" w:color="auto"/>
      </w:divBdr>
    </w:div>
    <w:div w:id="46727994">
      <w:bodyDiv w:val="1"/>
      <w:marLeft w:val="0"/>
      <w:marRight w:val="0"/>
      <w:marTop w:val="0"/>
      <w:marBottom w:val="0"/>
      <w:divBdr>
        <w:top w:val="none" w:sz="0" w:space="0" w:color="auto"/>
        <w:left w:val="none" w:sz="0" w:space="0" w:color="auto"/>
        <w:bottom w:val="none" w:sz="0" w:space="0" w:color="auto"/>
        <w:right w:val="none" w:sz="0" w:space="0" w:color="auto"/>
      </w:divBdr>
      <w:divsChild>
        <w:div w:id="64495965">
          <w:marLeft w:val="274"/>
          <w:marRight w:val="0"/>
          <w:marTop w:val="0"/>
          <w:marBottom w:val="0"/>
          <w:divBdr>
            <w:top w:val="none" w:sz="0" w:space="0" w:color="auto"/>
            <w:left w:val="none" w:sz="0" w:space="0" w:color="auto"/>
            <w:bottom w:val="none" w:sz="0" w:space="0" w:color="auto"/>
            <w:right w:val="none" w:sz="0" w:space="0" w:color="auto"/>
          </w:divBdr>
        </w:div>
        <w:div w:id="90661381">
          <w:marLeft w:val="274"/>
          <w:marRight w:val="0"/>
          <w:marTop w:val="0"/>
          <w:marBottom w:val="0"/>
          <w:divBdr>
            <w:top w:val="none" w:sz="0" w:space="0" w:color="auto"/>
            <w:left w:val="none" w:sz="0" w:space="0" w:color="auto"/>
            <w:bottom w:val="none" w:sz="0" w:space="0" w:color="auto"/>
            <w:right w:val="none" w:sz="0" w:space="0" w:color="auto"/>
          </w:divBdr>
        </w:div>
        <w:div w:id="109669383">
          <w:marLeft w:val="274"/>
          <w:marRight w:val="0"/>
          <w:marTop w:val="0"/>
          <w:marBottom w:val="0"/>
          <w:divBdr>
            <w:top w:val="none" w:sz="0" w:space="0" w:color="auto"/>
            <w:left w:val="none" w:sz="0" w:space="0" w:color="auto"/>
            <w:bottom w:val="none" w:sz="0" w:space="0" w:color="auto"/>
            <w:right w:val="none" w:sz="0" w:space="0" w:color="auto"/>
          </w:divBdr>
        </w:div>
        <w:div w:id="144009451">
          <w:marLeft w:val="274"/>
          <w:marRight w:val="0"/>
          <w:marTop w:val="0"/>
          <w:marBottom w:val="0"/>
          <w:divBdr>
            <w:top w:val="none" w:sz="0" w:space="0" w:color="auto"/>
            <w:left w:val="none" w:sz="0" w:space="0" w:color="auto"/>
            <w:bottom w:val="none" w:sz="0" w:space="0" w:color="auto"/>
            <w:right w:val="none" w:sz="0" w:space="0" w:color="auto"/>
          </w:divBdr>
        </w:div>
        <w:div w:id="180046548">
          <w:marLeft w:val="274"/>
          <w:marRight w:val="0"/>
          <w:marTop w:val="0"/>
          <w:marBottom w:val="0"/>
          <w:divBdr>
            <w:top w:val="none" w:sz="0" w:space="0" w:color="auto"/>
            <w:left w:val="none" w:sz="0" w:space="0" w:color="auto"/>
            <w:bottom w:val="none" w:sz="0" w:space="0" w:color="auto"/>
            <w:right w:val="none" w:sz="0" w:space="0" w:color="auto"/>
          </w:divBdr>
        </w:div>
        <w:div w:id="263004976">
          <w:marLeft w:val="274"/>
          <w:marRight w:val="0"/>
          <w:marTop w:val="0"/>
          <w:marBottom w:val="0"/>
          <w:divBdr>
            <w:top w:val="none" w:sz="0" w:space="0" w:color="auto"/>
            <w:left w:val="none" w:sz="0" w:space="0" w:color="auto"/>
            <w:bottom w:val="none" w:sz="0" w:space="0" w:color="auto"/>
            <w:right w:val="none" w:sz="0" w:space="0" w:color="auto"/>
          </w:divBdr>
        </w:div>
        <w:div w:id="347145573">
          <w:marLeft w:val="274"/>
          <w:marRight w:val="0"/>
          <w:marTop w:val="0"/>
          <w:marBottom w:val="0"/>
          <w:divBdr>
            <w:top w:val="none" w:sz="0" w:space="0" w:color="auto"/>
            <w:left w:val="none" w:sz="0" w:space="0" w:color="auto"/>
            <w:bottom w:val="none" w:sz="0" w:space="0" w:color="auto"/>
            <w:right w:val="none" w:sz="0" w:space="0" w:color="auto"/>
          </w:divBdr>
        </w:div>
        <w:div w:id="482623805">
          <w:marLeft w:val="274"/>
          <w:marRight w:val="0"/>
          <w:marTop w:val="0"/>
          <w:marBottom w:val="0"/>
          <w:divBdr>
            <w:top w:val="none" w:sz="0" w:space="0" w:color="auto"/>
            <w:left w:val="none" w:sz="0" w:space="0" w:color="auto"/>
            <w:bottom w:val="none" w:sz="0" w:space="0" w:color="auto"/>
            <w:right w:val="none" w:sz="0" w:space="0" w:color="auto"/>
          </w:divBdr>
        </w:div>
        <w:div w:id="655843872">
          <w:marLeft w:val="274"/>
          <w:marRight w:val="0"/>
          <w:marTop w:val="0"/>
          <w:marBottom w:val="0"/>
          <w:divBdr>
            <w:top w:val="none" w:sz="0" w:space="0" w:color="auto"/>
            <w:left w:val="none" w:sz="0" w:space="0" w:color="auto"/>
            <w:bottom w:val="none" w:sz="0" w:space="0" w:color="auto"/>
            <w:right w:val="none" w:sz="0" w:space="0" w:color="auto"/>
          </w:divBdr>
        </w:div>
        <w:div w:id="733821103">
          <w:marLeft w:val="274"/>
          <w:marRight w:val="0"/>
          <w:marTop w:val="0"/>
          <w:marBottom w:val="0"/>
          <w:divBdr>
            <w:top w:val="none" w:sz="0" w:space="0" w:color="auto"/>
            <w:left w:val="none" w:sz="0" w:space="0" w:color="auto"/>
            <w:bottom w:val="none" w:sz="0" w:space="0" w:color="auto"/>
            <w:right w:val="none" w:sz="0" w:space="0" w:color="auto"/>
          </w:divBdr>
        </w:div>
        <w:div w:id="751898153">
          <w:marLeft w:val="274"/>
          <w:marRight w:val="0"/>
          <w:marTop w:val="0"/>
          <w:marBottom w:val="0"/>
          <w:divBdr>
            <w:top w:val="none" w:sz="0" w:space="0" w:color="auto"/>
            <w:left w:val="none" w:sz="0" w:space="0" w:color="auto"/>
            <w:bottom w:val="none" w:sz="0" w:space="0" w:color="auto"/>
            <w:right w:val="none" w:sz="0" w:space="0" w:color="auto"/>
          </w:divBdr>
        </w:div>
        <w:div w:id="842555039">
          <w:marLeft w:val="274"/>
          <w:marRight w:val="0"/>
          <w:marTop w:val="0"/>
          <w:marBottom w:val="0"/>
          <w:divBdr>
            <w:top w:val="none" w:sz="0" w:space="0" w:color="auto"/>
            <w:left w:val="none" w:sz="0" w:space="0" w:color="auto"/>
            <w:bottom w:val="none" w:sz="0" w:space="0" w:color="auto"/>
            <w:right w:val="none" w:sz="0" w:space="0" w:color="auto"/>
          </w:divBdr>
        </w:div>
        <w:div w:id="1048608730">
          <w:marLeft w:val="274"/>
          <w:marRight w:val="0"/>
          <w:marTop w:val="0"/>
          <w:marBottom w:val="0"/>
          <w:divBdr>
            <w:top w:val="none" w:sz="0" w:space="0" w:color="auto"/>
            <w:left w:val="none" w:sz="0" w:space="0" w:color="auto"/>
            <w:bottom w:val="none" w:sz="0" w:space="0" w:color="auto"/>
            <w:right w:val="none" w:sz="0" w:space="0" w:color="auto"/>
          </w:divBdr>
        </w:div>
        <w:div w:id="1056245117">
          <w:marLeft w:val="274"/>
          <w:marRight w:val="0"/>
          <w:marTop w:val="0"/>
          <w:marBottom w:val="0"/>
          <w:divBdr>
            <w:top w:val="none" w:sz="0" w:space="0" w:color="auto"/>
            <w:left w:val="none" w:sz="0" w:space="0" w:color="auto"/>
            <w:bottom w:val="none" w:sz="0" w:space="0" w:color="auto"/>
            <w:right w:val="none" w:sz="0" w:space="0" w:color="auto"/>
          </w:divBdr>
        </w:div>
        <w:div w:id="1066562953">
          <w:marLeft w:val="274"/>
          <w:marRight w:val="0"/>
          <w:marTop w:val="0"/>
          <w:marBottom w:val="0"/>
          <w:divBdr>
            <w:top w:val="none" w:sz="0" w:space="0" w:color="auto"/>
            <w:left w:val="none" w:sz="0" w:space="0" w:color="auto"/>
            <w:bottom w:val="none" w:sz="0" w:space="0" w:color="auto"/>
            <w:right w:val="none" w:sz="0" w:space="0" w:color="auto"/>
          </w:divBdr>
        </w:div>
        <w:div w:id="1286817205">
          <w:marLeft w:val="274"/>
          <w:marRight w:val="0"/>
          <w:marTop w:val="0"/>
          <w:marBottom w:val="0"/>
          <w:divBdr>
            <w:top w:val="none" w:sz="0" w:space="0" w:color="auto"/>
            <w:left w:val="none" w:sz="0" w:space="0" w:color="auto"/>
            <w:bottom w:val="none" w:sz="0" w:space="0" w:color="auto"/>
            <w:right w:val="none" w:sz="0" w:space="0" w:color="auto"/>
          </w:divBdr>
        </w:div>
        <w:div w:id="1446735298">
          <w:marLeft w:val="274"/>
          <w:marRight w:val="0"/>
          <w:marTop w:val="0"/>
          <w:marBottom w:val="0"/>
          <w:divBdr>
            <w:top w:val="none" w:sz="0" w:space="0" w:color="auto"/>
            <w:left w:val="none" w:sz="0" w:space="0" w:color="auto"/>
            <w:bottom w:val="none" w:sz="0" w:space="0" w:color="auto"/>
            <w:right w:val="none" w:sz="0" w:space="0" w:color="auto"/>
          </w:divBdr>
        </w:div>
        <w:div w:id="1581064161">
          <w:marLeft w:val="274"/>
          <w:marRight w:val="0"/>
          <w:marTop w:val="0"/>
          <w:marBottom w:val="0"/>
          <w:divBdr>
            <w:top w:val="none" w:sz="0" w:space="0" w:color="auto"/>
            <w:left w:val="none" w:sz="0" w:space="0" w:color="auto"/>
            <w:bottom w:val="none" w:sz="0" w:space="0" w:color="auto"/>
            <w:right w:val="none" w:sz="0" w:space="0" w:color="auto"/>
          </w:divBdr>
        </w:div>
        <w:div w:id="1684210692">
          <w:marLeft w:val="274"/>
          <w:marRight w:val="0"/>
          <w:marTop w:val="0"/>
          <w:marBottom w:val="0"/>
          <w:divBdr>
            <w:top w:val="none" w:sz="0" w:space="0" w:color="auto"/>
            <w:left w:val="none" w:sz="0" w:space="0" w:color="auto"/>
            <w:bottom w:val="none" w:sz="0" w:space="0" w:color="auto"/>
            <w:right w:val="none" w:sz="0" w:space="0" w:color="auto"/>
          </w:divBdr>
        </w:div>
        <w:div w:id="1700812645">
          <w:marLeft w:val="274"/>
          <w:marRight w:val="0"/>
          <w:marTop w:val="0"/>
          <w:marBottom w:val="0"/>
          <w:divBdr>
            <w:top w:val="none" w:sz="0" w:space="0" w:color="auto"/>
            <w:left w:val="none" w:sz="0" w:space="0" w:color="auto"/>
            <w:bottom w:val="none" w:sz="0" w:space="0" w:color="auto"/>
            <w:right w:val="none" w:sz="0" w:space="0" w:color="auto"/>
          </w:divBdr>
        </w:div>
        <w:div w:id="1893152261">
          <w:marLeft w:val="274"/>
          <w:marRight w:val="0"/>
          <w:marTop w:val="0"/>
          <w:marBottom w:val="0"/>
          <w:divBdr>
            <w:top w:val="none" w:sz="0" w:space="0" w:color="auto"/>
            <w:left w:val="none" w:sz="0" w:space="0" w:color="auto"/>
            <w:bottom w:val="none" w:sz="0" w:space="0" w:color="auto"/>
            <w:right w:val="none" w:sz="0" w:space="0" w:color="auto"/>
          </w:divBdr>
        </w:div>
        <w:div w:id="2001931617">
          <w:marLeft w:val="274"/>
          <w:marRight w:val="0"/>
          <w:marTop w:val="0"/>
          <w:marBottom w:val="0"/>
          <w:divBdr>
            <w:top w:val="none" w:sz="0" w:space="0" w:color="auto"/>
            <w:left w:val="none" w:sz="0" w:space="0" w:color="auto"/>
            <w:bottom w:val="none" w:sz="0" w:space="0" w:color="auto"/>
            <w:right w:val="none" w:sz="0" w:space="0" w:color="auto"/>
          </w:divBdr>
        </w:div>
        <w:div w:id="2032995498">
          <w:marLeft w:val="274"/>
          <w:marRight w:val="0"/>
          <w:marTop w:val="0"/>
          <w:marBottom w:val="0"/>
          <w:divBdr>
            <w:top w:val="none" w:sz="0" w:space="0" w:color="auto"/>
            <w:left w:val="none" w:sz="0" w:space="0" w:color="auto"/>
            <w:bottom w:val="none" w:sz="0" w:space="0" w:color="auto"/>
            <w:right w:val="none" w:sz="0" w:space="0" w:color="auto"/>
          </w:divBdr>
        </w:div>
        <w:div w:id="2079286247">
          <w:marLeft w:val="274"/>
          <w:marRight w:val="0"/>
          <w:marTop w:val="0"/>
          <w:marBottom w:val="0"/>
          <w:divBdr>
            <w:top w:val="none" w:sz="0" w:space="0" w:color="auto"/>
            <w:left w:val="none" w:sz="0" w:space="0" w:color="auto"/>
            <w:bottom w:val="none" w:sz="0" w:space="0" w:color="auto"/>
            <w:right w:val="none" w:sz="0" w:space="0" w:color="auto"/>
          </w:divBdr>
        </w:div>
      </w:divsChild>
    </w:div>
    <w:div w:id="51470334">
      <w:bodyDiv w:val="1"/>
      <w:marLeft w:val="0"/>
      <w:marRight w:val="0"/>
      <w:marTop w:val="0"/>
      <w:marBottom w:val="0"/>
      <w:divBdr>
        <w:top w:val="none" w:sz="0" w:space="0" w:color="auto"/>
        <w:left w:val="none" w:sz="0" w:space="0" w:color="auto"/>
        <w:bottom w:val="none" w:sz="0" w:space="0" w:color="auto"/>
        <w:right w:val="none" w:sz="0" w:space="0" w:color="auto"/>
      </w:divBdr>
    </w:div>
    <w:div w:id="53940620">
      <w:bodyDiv w:val="1"/>
      <w:marLeft w:val="0"/>
      <w:marRight w:val="0"/>
      <w:marTop w:val="0"/>
      <w:marBottom w:val="0"/>
      <w:divBdr>
        <w:top w:val="none" w:sz="0" w:space="0" w:color="auto"/>
        <w:left w:val="none" w:sz="0" w:space="0" w:color="auto"/>
        <w:bottom w:val="none" w:sz="0" w:space="0" w:color="auto"/>
        <w:right w:val="none" w:sz="0" w:space="0" w:color="auto"/>
      </w:divBdr>
    </w:div>
    <w:div w:id="55665160">
      <w:bodyDiv w:val="1"/>
      <w:marLeft w:val="0"/>
      <w:marRight w:val="0"/>
      <w:marTop w:val="0"/>
      <w:marBottom w:val="0"/>
      <w:divBdr>
        <w:top w:val="none" w:sz="0" w:space="0" w:color="auto"/>
        <w:left w:val="none" w:sz="0" w:space="0" w:color="auto"/>
        <w:bottom w:val="none" w:sz="0" w:space="0" w:color="auto"/>
        <w:right w:val="none" w:sz="0" w:space="0" w:color="auto"/>
      </w:divBdr>
    </w:div>
    <w:div w:id="64376923">
      <w:bodyDiv w:val="1"/>
      <w:marLeft w:val="0"/>
      <w:marRight w:val="0"/>
      <w:marTop w:val="0"/>
      <w:marBottom w:val="0"/>
      <w:divBdr>
        <w:top w:val="none" w:sz="0" w:space="0" w:color="auto"/>
        <w:left w:val="none" w:sz="0" w:space="0" w:color="auto"/>
        <w:bottom w:val="none" w:sz="0" w:space="0" w:color="auto"/>
        <w:right w:val="none" w:sz="0" w:space="0" w:color="auto"/>
      </w:divBdr>
      <w:divsChild>
        <w:div w:id="4136722">
          <w:marLeft w:val="274"/>
          <w:marRight w:val="0"/>
          <w:marTop w:val="0"/>
          <w:marBottom w:val="0"/>
          <w:divBdr>
            <w:top w:val="none" w:sz="0" w:space="0" w:color="auto"/>
            <w:left w:val="none" w:sz="0" w:space="0" w:color="auto"/>
            <w:bottom w:val="none" w:sz="0" w:space="0" w:color="auto"/>
            <w:right w:val="none" w:sz="0" w:space="0" w:color="auto"/>
          </w:divBdr>
        </w:div>
        <w:div w:id="14306981">
          <w:marLeft w:val="274"/>
          <w:marRight w:val="0"/>
          <w:marTop w:val="0"/>
          <w:marBottom w:val="0"/>
          <w:divBdr>
            <w:top w:val="none" w:sz="0" w:space="0" w:color="auto"/>
            <w:left w:val="none" w:sz="0" w:space="0" w:color="auto"/>
            <w:bottom w:val="none" w:sz="0" w:space="0" w:color="auto"/>
            <w:right w:val="none" w:sz="0" w:space="0" w:color="auto"/>
          </w:divBdr>
        </w:div>
        <w:div w:id="241912127">
          <w:marLeft w:val="274"/>
          <w:marRight w:val="0"/>
          <w:marTop w:val="0"/>
          <w:marBottom w:val="0"/>
          <w:divBdr>
            <w:top w:val="none" w:sz="0" w:space="0" w:color="auto"/>
            <w:left w:val="none" w:sz="0" w:space="0" w:color="auto"/>
            <w:bottom w:val="none" w:sz="0" w:space="0" w:color="auto"/>
            <w:right w:val="none" w:sz="0" w:space="0" w:color="auto"/>
          </w:divBdr>
        </w:div>
        <w:div w:id="590243442">
          <w:marLeft w:val="274"/>
          <w:marRight w:val="0"/>
          <w:marTop w:val="0"/>
          <w:marBottom w:val="0"/>
          <w:divBdr>
            <w:top w:val="none" w:sz="0" w:space="0" w:color="auto"/>
            <w:left w:val="none" w:sz="0" w:space="0" w:color="auto"/>
            <w:bottom w:val="none" w:sz="0" w:space="0" w:color="auto"/>
            <w:right w:val="none" w:sz="0" w:space="0" w:color="auto"/>
          </w:divBdr>
        </w:div>
        <w:div w:id="826432755">
          <w:marLeft w:val="274"/>
          <w:marRight w:val="0"/>
          <w:marTop w:val="0"/>
          <w:marBottom w:val="0"/>
          <w:divBdr>
            <w:top w:val="none" w:sz="0" w:space="0" w:color="auto"/>
            <w:left w:val="none" w:sz="0" w:space="0" w:color="auto"/>
            <w:bottom w:val="none" w:sz="0" w:space="0" w:color="auto"/>
            <w:right w:val="none" w:sz="0" w:space="0" w:color="auto"/>
          </w:divBdr>
        </w:div>
        <w:div w:id="900093739">
          <w:marLeft w:val="274"/>
          <w:marRight w:val="0"/>
          <w:marTop w:val="0"/>
          <w:marBottom w:val="0"/>
          <w:divBdr>
            <w:top w:val="none" w:sz="0" w:space="0" w:color="auto"/>
            <w:left w:val="none" w:sz="0" w:space="0" w:color="auto"/>
            <w:bottom w:val="none" w:sz="0" w:space="0" w:color="auto"/>
            <w:right w:val="none" w:sz="0" w:space="0" w:color="auto"/>
          </w:divBdr>
        </w:div>
        <w:div w:id="1092513092">
          <w:marLeft w:val="274"/>
          <w:marRight w:val="0"/>
          <w:marTop w:val="0"/>
          <w:marBottom w:val="0"/>
          <w:divBdr>
            <w:top w:val="none" w:sz="0" w:space="0" w:color="auto"/>
            <w:left w:val="none" w:sz="0" w:space="0" w:color="auto"/>
            <w:bottom w:val="none" w:sz="0" w:space="0" w:color="auto"/>
            <w:right w:val="none" w:sz="0" w:space="0" w:color="auto"/>
          </w:divBdr>
        </w:div>
        <w:div w:id="1166170604">
          <w:marLeft w:val="274"/>
          <w:marRight w:val="0"/>
          <w:marTop w:val="0"/>
          <w:marBottom w:val="0"/>
          <w:divBdr>
            <w:top w:val="none" w:sz="0" w:space="0" w:color="auto"/>
            <w:left w:val="none" w:sz="0" w:space="0" w:color="auto"/>
            <w:bottom w:val="none" w:sz="0" w:space="0" w:color="auto"/>
            <w:right w:val="none" w:sz="0" w:space="0" w:color="auto"/>
          </w:divBdr>
        </w:div>
        <w:div w:id="1396970384">
          <w:marLeft w:val="274"/>
          <w:marRight w:val="0"/>
          <w:marTop w:val="0"/>
          <w:marBottom w:val="0"/>
          <w:divBdr>
            <w:top w:val="none" w:sz="0" w:space="0" w:color="auto"/>
            <w:left w:val="none" w:sz="0" w:space="0" w:color="auto"/>
            <w:bottom w:val="none" w:sz="0" w:space="0" w:color="auto"/>
            <w:right w:val="none" w:sz="0" w:space="0" w:color="auto"/>
          </w:divBdr>
        </w:div>
        <w:div w:id="1545487021">
          <w:marLeft w:val="274"/>
          <w:marRight w:val="0"/>
          <w:marTop w:val="0"/>
          <w:marBottom w:val="0"/>
          <w:divBdr>
            <w:top w:val="none" w:sz="0" w:space="0" w:color="auto"/>
            <w:left w:val="none" w:sz="0" w:space="0" w:color="auto"/>
            <w:bottom w:val="none" w:sz="0" w:space="0" w:color="auto"/>
            <w:right w:val="none" w:sz="0" w:space="0" w:color="auto"/>
          </w:divBdr>
        </w:div>
        <w:div w:id="1820413854">
          <w:marLeft w:val="274"/>
          <w:marRight w:val="0"/>
          <w:marTop w:val="0"/>
          <w:marBottom w:val="0"/>
          <w:divBdr>
            <w:top w:val="none" w:sz="0" w:space="0" w:color="auto"/>
            <w:left w:val="none" w:sz="0" w:space="0" w:color="auto"/>
            <w:bottom w:val="none" w:sz="0" w:space="0" w:color="auto"/>
            <w:right w:val="none" w:sz="0" w:space="0" w:color="auto"/>
          </w:divBdr>
        </w:div>
      </w:divsChild>
    </w:div>
    <w:div w:id="68432283">
      <w:bodyDiv w:val="1"/>
      <w:marLeft w:val="0"/>
      <w:marRight w:val="0"/>
      <w:marTop w:val="0"/>
      <w:marBottom w:val="0"/>
      <w:divBdr>
        <w:top w:val="none" w:sz="0" w:space="0" w:color="auto"/>
        <w:left w:val="none" w:sz="0" w:space="0" w:color="auto"/>
        <w:bottom w:val="none" w:sz="0" w:space="0" w:color="auto"/>
        <w:right w:val="none" w:sz="0" w:space="0" w:color="auto"/>
      </w:divBdr>
    </w:div>
    <w:div w:id="70742089">
      <w:bodyDiv w:val="1"/>
      <w:marLeft w:val="0"/>
      <w:marRight w:val="0"/>
      <w:marTop w:val="0"/>
      <w:marBottom w:val="0"/>
      <w:divBdr>
        <w:top w:val="none" w:sz="0" w:space="0" w:color="auto"/>
        <w:left w:val="none" w:sz="0" w:space="0" w:color="auto"/>
        <w:bottom w:val="none" w:sz="0" w:space="0" w:color="auto"/>
        <w:right w:val="none" w:sz="0" w:space="0" w:color="auto"/>
      </w:divBdr>
    </w:div>
    <w:div w:id="74478197">
      <w:bodyDiv w:val="1"/>
      <w:marLeft w:val="0"/>
      <w:marRight w:val="0"/>
      <w:marTop w:val="0"/>
      <w:marBottom w:val="0"/>
      <w:divBdr>
        <w:top w:val="none" w:sz="0" w:space="0" w:color="auto"/>
        <w:left w:val="none" w:sz="0" w:space="0" w:color="auto"/>
        <w:bottom w:val="none" w:sz="0" w:space="0" w:color="auto"/>
        <w:right w:val="none" w:sz="0" w:space="0" w:color="auto"/>
      </w:divBdr>
    </w:div>
    <w:div w:id="87124437">
      <w:bodyDiv w:val="1"/>
      <w:marLeft w:val="0"/>
      <w:marRight w:val="0"/>
      <w:marTop w:val="0"/>
      <w:marBottom w:val="0"/>
      <w:divBdr>
        <w:top w:val="none" w:sz="0" w:space="0" w:color="auto"/>
        <w:left w:val="none" w:sz="0" w:space="0" w:color="auto"/>
        <w:bottom w:val="none" w:sz="0" w:space="0" w:color="auto"/>
        <w:right w:val="none" w:sz="0" w:space="0" w:color="auto"/>
      </w:divBdr>
    </w:div>
    <w:div w:id="88432634">
      <w:bodyDiv w:val="1"/>
      <w:marLeft w:val="0"/>
      <w:marRight w:val="0"/>
      <w:marTop w:val="0"/>
      <w:marBottom w:val="0"/>
      <w:divBdr>
        <w:top w:val="none" w:sz="0" w:space="0" w:color="auto"/>
        <w:left w:val="none" w:sz="0" w:space="0" w:color="auto"/>
        <w:bottom w:val="none" w:sz="0" w:space="0" w:color="auto"/>
        <w:right w:val="none" w:sz="0" w:space="0" w:color="auto"/>
      </w:divBdr>
    </w:div>
    <w:div w:id="90858690">
      <w:bodyDiv w:val="1"/>
      <w:marLeft w:val="0"/>
      <w:marRight w:val="0"/>
      <w:marTop w:val="0"/>
      <w:marBottom w:val="0"/>
      <w:divBdr>
        <w:top w:val="none" w:sz="0" w:space="0" w:color="auto"/>
        <w:left w:val="none" w:sz="0" w:space="0" w:color="auto"/>
        <w:bottom w:val="none" w:sz="0" w:space="0" w:color="auto"/>
        <w:right w:val="none" w:sz="0" w:space="0" w:color="auto"/>
      </w:divBdr>
    </w:div>
    <w:div w:id="91320885">
      <w:bodyDiv w:val="1"/>
      <w:marLeft w:val="0"/>
      <w:marRight w:val="0"/>
      <w:marTop w:val="0"/>
      <w:marBottom w:val="0"/>
      <w:divBdr>
        <w:top w:val="none" w:sz="0" w:space="0" w:color="auto"/>
        <w:left w:val="none" w:sz="0" w:space="0" w:color="auto"/>
        <w:bottom w:val="none" w:sz="0" w:space="0" w:color="auto"/>
        <w:right w:val="none" w:sz="0" w:space="0" w:color="auto"/>
      </w:divBdr>
    </w:div>
    <w:div w:id="92169755">
      <w:bodyDiv w:val="1"/>
      <w:marLeft w:val="0"/>
      <w:marRight w:val="0"/>
      <w:marTop w:val="0"/>
      <w:marBottom w:val="0"/>
      <w:divBdr>
        <w:top w:val="none" w:sz="0" w:space="0" w:color="auto"/>
        <w:left w:val="none" w:sz="0" w:space="0" w:color="auto"/>
        <w:bottom w:val="none" w:sz="0" w:space="0" w:color="auto"/>
        <w:right w:val="none" w:sz="0" w:space="0" w:color="auto"/>
      </w:divBdr>
    </w:div>
    <w:div w:id="102918627">
      <w:bodyDiv w:val="1"/>
      <w:marLeft w:val="0"/>
      <w:marRight w:val="0"/>
      <w:marTop w:val="0"/>
      <w:marBottom w:val="0"/>
      <w:divBdr>
        <w:top w:val="none" w:sz="0" w:space="0" w:color="auto"/>
        <w:left w:val="none" w:sz="0" w:space="0" w:color="auto"/>
        <w:bottom w:val="none" w:sz="0" w:space="0" w:color="auto"/>
        <w:right w:val="none" w:sz="0" w:space="0" w:color="auto"/>
      </w:divBdr>
    </w:div>
    <w:div w:id="121653776">
      <w:bodyDiv w:val="1"/>
      <w:marLeft w:val="0"/>
      <w:marRight w:val="0"/>
      <w:marTop w:val="0"/>
      <w:marBottom w:val="0"/>
      <w:divBdr>
        <w:top w:val="none" w:sz="0" w:space="0" w:color="auto"/>
        <w:left w:val="none" w:sz="0" w:space="0" w:color="auto"/>
        <w:bottom w:val="none" w:sz="0" w:space="0" w:color="auto"/>
        <w:right w:val="none" w:sz="0" w:space="0" w:color="auto"/>
      </w:divBdr>
    </w:div>
    <w:div w:id="130364666">
      <w:bodyDiv w:val="1"/>
      <w:marLeft w:val="0"/>
      <w:marRight w:val="0"/>
      <w:marTop w:val="0"/>
      <w:marBottom w:val="0"/>
      <w:divBdr>
        <w:top w:val="none" w:sz="0" w:space="0" w:color="auto"/>
        <w:left w:val="none" w:sz="0" w:space="0" w:color="auto"/>
        <w:bottom w:val="none" w:sz="0" w:space="0" w:color="auto"/>
        <w:right w:val="none" w:sz="0" w:space="0" w:color="auto"/>
      </w:divBdr>
    </w:div>
    <w:div w:id="131364259">
      <w:bodyDiv w:val="1"/>
      <w:marLeft w:val="0"/>
      <w:marRight w:val="0"/>
      <w:marTop w:val="0"/>
      <w:marBottom w:val="0"/>
      <w:divBdr>
        <w:top w:val="none" w:sz="0" w:space="0" w:color="auto"/>
        <w:left w:val="none" w:sz="0" w:space="0" w:color="auto"/>
        <w:bottom w:val="none" w:sz="0" w:space="0" w:color="auto"/>
        <w:right w:val="none" w:sz="0" w:space="0" w:color="auto"/>
      </w:divBdr>
    </w:div>
    <w:div w:id="135147438">
      <w:bodyDiv w:val="1"/>
      <w:marLeft w:val="0"/>
      <w:marRight w:val="0"/>
      <w:marTop w:val="0"/>
      <w:marBottom w:val="0"/>
      <w:divBdr>
        <w:top w:val="none" w:sz="0" w:space="0" w:color="auto"/>
        <w:left w:val="none" w:sz="0" w:space="0" w:color="auto"/>
        <w:bottom w:val="none" w:sz="0" w:space="0" w:color="auto"/>
        <w:right w:val="none" w:sz="0" w:space="0" w:color="auto"/>
      </w:divBdr>
    </w:div>
    <w:div w:id="140462355">
      <w:bodyDiv w:val="1"/>
      <w:marLeft w:val="0"/>
      <w:marRight w:val="0"/>
      <w:marTop w:val="0"/>
      <w:marBottom w:val="0"/>
      <w:divBdr>
        <w:top w:val="none" w:sz="0" w:space="0" w:color="auto"/>
        <w:left w:val="none" w:sz="0" w:space="0" w:color="auto"/>
        <w:bottom w:val="none" w:sz="0" w:space="0" w:color="auto"/>
        <w:right w:val="none" w:sz="0" w:space="0" w:color="auto"/>
      </w:divBdr>
    </w:div>
    <w:div w:id="148327502">
      <w:bodyDiv w:val="1"/>
      <w:marLeft w:val="0"/>
      <w:marRight w:val="0"/>
      <w:marTop w:val="0"/>
      <w:marBottom w:val="0"/>
      <w:divBdr>
        <w:top w:val="none" w:sz="0" w:space="0" w:color="auto"/>
        <w:left w:val="none" w:sz="0" w:space="0" w:color="auto"/>
        <w:bottom w:val="none" w:sz="0" w:space="0" w:color="auto"/>
        <w:right w:val="none" w:sz="0" w:space="0" w:color="auto"/>
      </w:divBdr>
    </w:div>
    <w:div w:id="150025881">
      <w:bodyDiv w:val="1"/>
      <w:marLeft w:val="0"/>
      <w:marRight w:val="0"/>
      <w:marTop w:val="0"/>
      <w:marBottom w:val="0"/>
      <w:divBdr>
        <w:top w:val="none" w:sz="0" w:space="0" w:color="auto"/>
        <w:left w:val="none" w:sz="0" w:space="0" w:color="auto"/>
        <w:bottom w:val="none" w:sz="0" w:space="0" w:color="auto"/>
        <w:right w:val="none" w:sz="0" w:space="0" w:color="auto"/>
      </w:divBdr>
    </w:div>
    <w:div w:id="153030589">
      <w:bodyDiv w:val="1"/>
      <w:marLeft w:val="0"/>
      <w:marRight w:val="0"/>
      <w:marTop w:val="0"/>
      <w:marBottom w:val="0"/>
      <w:divBdr>
        <w:top w:val="none" w:sz="0" w:space="0" w:color="auto"/>
        <w:left w:val="none" w:sz="0" w:space="0" w:color="auto"/>
        <w:bottom w:val="none" w:sz="0" w:space="0" w:color="auto"/>
        <w:right w:val="none" w:sz="0" w:space="0" w:color="auto"/>
      </w:divBdr>
    </w:div>
    <w:div w:id="177281051">
      <w:bodyDiv w:val="1"/>
      <w:marLeft w:val="0"/>
      <w:marRight w:val="0"/>
      <w:marTop w:val="0"/>
      <w:marBottom w:val="0"/>
      <w:divBdr>
        <w:top w:val="none" w:sz="0" w:space="0" w:color="auto"/>
        <w:left w:val="none" w:sz="0" w:space="0" w:color="auto"/>
        <w:bottom w:val="none" w:sz="0" w:space="0" w:color="auto"/>
        <w:right w:val="none" w:sz="0" w:space="0" w:color="auto"/>
      </w:divBdr>
    </w:div>
    <w:div w:id="181208523">
      <w:bodyDiv w:val="1"/>
      <w:marLeft w:val="0"/>
      <w:marRight w:val="0"/>
      <w:marTop w:val="0"/>
      <w:marBottom w:val="0"/>
      <w:divBdr>
        <w:top w:val="none" w:sz="0" w:space="0" w:color="auto"/>
        <w:left w:val="none" w:sz="0" w:space="0" w:color="auto"/>
        <w:bottom w:val="none" w:sz="0" w:space="0" w:color="auto"/>
        <w:right w:val="none" w:sz="0" w:space="0" w:color="auto"/>
      </w:divBdr>
    </w:div>
    <w:div w:id="181674952">
      <w:bodyDiv w:val="1"/>
      <w:marLeft w:val="0"/>
      <w:marRight w:val="0"/>
      <w:marTop w:val="0"/>
      <w:marBottom w:val="0"/>
      <w:divBdr>
        <w:top w:val="none" w:sz="0" w:space="0" w:color="auto"/>
        <w:left w:val="none" w:sz="0" w:space="0" w:color="auto"/>
        <w:bottom w:val="none" w:sz="0" w:space="0" w:color="auto"/>
        <w:right w:val="none" w:sz="0" w:space="0" w:color="auto"/>
      </w:divBdr>
    </w:div>
    <w:div w:id="182013744">
      <w:bodyDiv w:val="1"/>
      <w:marLeft w:val="0"/>
      <w:marRight w:val="0"/>
      <w:marTop w:val="0"/>
      <w:marBottom w:val="0"/>
      <w:divBdr>
        <w:top w:val="none" w:sz="0" w:space="0" w:color="auto"/>
        <w:left w:val="none" w:sz="0" w:space="0" w:color="auto"/>
        <w:bottom w:val="none" w:sz="0" w:space="0" w:color="auto"/>
        <w:right w:val="none" w:sz="0" w:space="0" w:color="auto"/>
      </w:divBdr>
    </w:div>
    <w:div w:id="189300106">
      <w:bodyDiv w:val="1"/>
      <w:marLeft w:val="0"/>
      <w:marRight w:val="0"/>
      <w:marTop w:val="0"/>
      <w:marBottom w:val="0"/>
      <w:divBdr>
        <w:top w:val="none" w:sz="0" w:space="0" w:color="auto"/>
        <w:left w:val="none" w:sz="0" w:space="0" w:color="auto"/>
        <w:bottom w:val="none" w:sz="0" w:space="0" w:color="auto"/>
        <w:right w:val="none" w:sz="0" w:space="0" w:color="auto"/>
      </w:divBdr>
    </w:div>
    <w:div w:id="189726921">
      <w:bodyDiv w:val="1"/>
      <w:marLeft w:val="0"/>
      <w:marRight w:val="0"/>
      <w:marTop w:val="0"/>
      <w:marBottom w:val="0"/>
      <w:divBdr>
        <w:top w:val="none" w:sz="0" w:space="0" w:color="auto"/>
        <w:left w:val="none" w:sz="0" w:space="0" w:color="auto"/>
        <w:bottom w:val="none" w:sz="0" w:space="0" w:color="auto"/>
        <w:right w:val="none" w:sz="0" w:space="0" w:color="auto"/>
      </w:divBdr>
    </w:div>
    <w:div w:id="195390531">
      <w:bodyDiv w:val="1"/>
      <w:marLeft w:val="0"/>
      <w:marRight w:val="0"/>
      <w:marTop w:val="0"/>
      <w:marBottom w:val="0"/>
      <w:divBdr>
        <w:top w:val="none" w:sz="0" w:space="0" w:color="auto"/>
        <w:left w:val="none" w:sz="0" w:space="0" w:color="auto"/>
        <w:bottom w:val="none" w:sz="0" w:space="0" w:color="auto"/>
        <w:right w:val="none" w:sz="0" w:space="0" w:color="auto"/>
      </w:divBdr>
    </w:div>
    <w:div w:id="198662782">
      <w:bodyDiv w:val="1"/>
      <w:marLeft w:val="0"/>
      <w:marRight w:val="0"/>
      <w:marTop w:val="0"/>
      <w:marBottom w:val="0"/>
      <w:divBdr>
        <w:top w:val="none" w:sz="0" w:space="0" w:color="auto"/>
        <w:left w:val="none" w:sz="0" w:space="0" w:color="auto"/>
        <w:bottom w:val="none" w:sz="0" w:space="0" w:color="auto"/>
        <w:right w:val="none" w:sz="0" w:space="0" w:color="auto"/>
      </w:divBdr>
    </w:div>
    <w:div w:id="209807064">
      <w:bodyDiv w:val="1"/>
      <w:marLeft w:val="0"/>
      <w:marRight w:val="0"/>
      <w:marTop w:val="0"/>
      <w:marBottom w:val="0"/>
      <w:divBdr>
        <w:top w:val="none" w:sz="0" w:space="0" w:color="auto"/>
        <w:left w:val="none" w:sz="0" w:space="0" w:color="auto"/>
        <w:bottom w:val="none" w:sz="0" w:space="0" w:color="auto"/>
        <w:right w:val="none" w:sz="0" w:space="0" w:color="auto"/>
      </w:divBdr>
    </w:div>
    <w:div w:id="210045078">
      <w:bodyDiv w:val="1"/>
      <w:marLeft w:val="0"/>
      <w:marRight w:val="0"/>
      <w:marTop w:val="0"/>
      <w:marBottom w:val="0"/>
      <w:divBdr>
        <w:top w:val="none" w:sz="0" w:space="0" w:color="auto"/>
        <w:left w:val="none" w:sz="0" w:space="0" w:color="auto"/>
        <w:bottom w:val="none" w:sz="0" w:space="0" w:color="auto"/>
        <w:right w:val="none" w:sz="0" w:space="0" w:color="auto"/>
      </w:divBdr>
    </w:div>
    <w:div w:id="211037043">
      <w:bodyDiv w:val="1"/>
      <w:marLeft w:val="0"/>
      <w:marRight w:val="0"/>
      <w:marTop w:val="0"/>
      <w:marBottom w:val="0"/>
      <w:divBdr>
        <w:top w:val="none" w:sz="0" w:space="0" w:color="auto"/>
        <w:left w:val="none" w:sz="0" w:space="0" w:color="auto"/>
        <w:bottom w:val="none" w:sz="0" w:space="0" w:color="auto"/>
        <w:right w:val="none" w:sz="0" w:space="0" w:color="auto"/>
      </w:divBdr>
    </w:div>
    <w:div w:id="223372565">
      <w:bodyDiv w:val="1"/>
      <w:marLeft w:val="0"/>
      <w:marRight w:val="0"/>
      <w:marTop w:val="0"/>
      <w:marBottom w:val="0"/>
      <w:divBdr>
        <w:top w:val="none" w:sz="0" w:space="0" w:color="auto"/>
        <w:left w:val="none" w:sz="0" w:space="0" w:color="auto"/>
        <w:bottom w:val="none" w:sz="0" w:space="0" w:color="auto"/>
        <w:right w:val="none" w:sz="0" w:space="0" w:color="auto"/>
      </w:divBdr>
    </w:div>
    <w:div w:id="226958219">
      <w:bodyDiv w:val="1"/>
      <w:marLeft w:val="0"/>
      <w:marRight w:val="0"/>
      <w:marTop w:val="0"/>
      <w:marBottom w:val="0"/>
      <w:divBdr>
        <w:top w:val="none" w:sz="0" w:space="0" w:color="auto"/>
        <w:left w:val="none" w:sz="0" w:space="0" w:color="auto"/>
        <w:bottom w:val="none" w:sz="0" w:space="0" w:color="auto"/>
        <w:right w:val="none" w:sz="0" w:space="0" w:color="auto"/>
      </w:divBdr>
    </w:div>
    <w:div w:id="233243155">
      <w:bodyDiv w:val="1"/>
      <w:marLeft w:val="0"/>
      <w:marRight w:val="0"/>
      <w:marTop w:val="0"/>
      <w:marBottom w:val="0"/>
      <w:divBdr>
        <w:top w:val="none" w:sz="0" w:space="0" w:color="auto"/>
        <w:left w:val="none" w:sz="0" w:space="0" w:color="auto"/>
        <w:bottom w:val="none" w:sz="0" w:space="0" w:color="auto"/>
        <w:right w:val="none" w:sz="0" w:space="0" w:color="auto"/>
      </w:divBdr>
    </w:div>
    <w:div w:id="249899067">
      <w:bodyDiv w:val="1"/>
      <w:marLeft w:val="0"/>
      <w:marRight w:val="0"/>
      <w:marTop w:val="0"/>
      <w:marBottom w:val="0"/>
      <w:divBdr>
        <w:top w:val="none" w:sz="0" w:space="0" w:color="auto"/>
        <w:left w:val="none" w:sz="0" w:space="0" w:color="auto"/>
        <w:bottom w:val="none" w:sz="0" w:space="0" w:color="auto"/>
        <w:right w:val="none" w:sz="0" w:space="0" w:color="auto"/>
      </w:divBdr>
    </w:div>
    <w:div w:id="251353128">
      <w:bodyDiv w:val="1"/>
      <w:marLeft w:val="0"/>
      <w:marRight w:val="0"/>
      <w:marTop w:val="0"/>
      <w:marBottom w:val="0"/>
      <w:divBdr>
        <w:top w:val="none" w:sz="0" w:space="0" w:color="auto"/>
        <w:left w:val="none" w:sz="0" w:space="0" w:color="auto"/>
        <w:bottom w:val="none" w:sz="0" w:space="0" w:color="auto"/>
        <w:right w:val="none" w:sz="0" w:space="0" w:color="auto"/>
      </w:divBdr>
      <w:divsChild>
        <w:div w:id="31154640">
          <w:marLeft w:val="274"/>
          <w:marRight w:val="0"/>
          <w:marTop w:val="0"/>
          <w:marBottom w:val="0"/>
          <w:divBdr>
            <w:top w:val="none" w:sz="0" w:space="0" w:color="auto"/>
            <w:left w:val="none" w:sz="0" w:space="0" w:color="auto"/>
            <w:bottom w:val="none" w:sz="0" w:space="0" w:color="auto"/>
            <w:right w:val="none" w:sz="0" w:space="0" w:color="auto"/>
          </w:divBdr>
        </w:div>
        <w:div w:id="98069784">
          <w:marLeft w:val="274"/>
          <w:marRight w:val="0"/>
          <w:marTop w:val="0"/>
          <w:marBottom w:val="0"/>
          <w:divBdr>
            <w:top w:val="none" w:sz="0" w:space="0" w:color="auto"/>
            <w:left w:val="none" w:sz="0" w:space="0" w:color="auto"/>
            <w:bottom w:val="none" w:sz="0" w:space="0" w:color="auto"/>
            <w:right w:val="none" w:sz="0" w:space="0" w:color="auto"/>
          </w:divBdr>
        </w:div>
        <w:div w:id="203912750">
          <w:marLeft w:val="230"/>
          <w:marRight w:val="0"/>
          <w:marTop w:val="60"/>
          <w:marBottom w:val="60"/>
          <w:divBdr>
            <w:top w:val="none" w:sz="0" w:space="0" w:color="auto"/>
            <w:left w:val="none" w:sz="0" w:space="0" w:color="auto"/>
            <w:bottom w:val="none" w:sz="0" w:space="0" w:color="auto"/>
            <w:right w:val="none" w:sz="0" w:space="0" w:color="auto"/>
          </w:divBdr>
        </w:div>
        <w:div w:id="239952800">
          <w:marLeft w:val="230"/>
          <w:marRight w:val="0"/>
          <w:marTop w:val="60"/>
          <w:marBottom w:val="60"/>
          <w:divBdr>
            <w:top w:val="none" w:sz="0" w:space="0" w:color="auto"/>
            <w:left w:val="none" w:sz="0" w:space="0" w:color="auto"/>
            <w:bottom w:val="none" w:sz="0" w:space="0" w:color="auto"/>
            <w:right w:val="none" w:sz="0" w:space="0" w:color="auto"/>
          </w:divBdr>
        </w:div>
        <w:div w:id="336689316">
          <w:marLeft w:val="274"/>
          <w:marRight w:val="0"/>
          <w:marTop w:val="0"/>
          <w:marBottom w:val="0"/>
          <w:divBdr>
            <w:top w:val="none" w:sz="0" w:space="0" w:color="auto"/>
            <w:left w:val="none" w:sz="0" w:space="0" w:color="auto"/>
            <w:bottom w:val="none" w:sz="0" w:space="0" w:color="auto"/>
            <w:right w:val="none" w:sz="0" w:space="0" w:color="auto"/>
          </w:divBdr>
        </w:div>
        <w:div w:id="375934202">
          <w:marLeft w:val="274"/>
          <w:marRight w:val="0"/>
          <w:marTop w:val="0"/>
          <w:marBottom w:val="0"/>
          <w:divBdr>
            <w:top w:val="none" w:sz="0" w:space="0" w:color="auto"/>
            <w:left w:val="none" w:sz="0" w:space="0" w:color="auto"/>
            <w:bottom w:val="none" w:sz="0" w:space="0" w:color="auto"/>
            <w:right w:val="none" w:sz="0" w:space="0" w:color="auto"/>
          </w:divBdr>
        </w:div>
        <w:div w:id="379476175">
          <w:marLeft w:val="274"/>
          <w:marRight w:val="0"/>
          <w:marTop w:val="0"/>
          <w:marBottom w:val="0"/>
          <w:divBdr>
            <w:top w:val="none" w:sz="0" w:space="0" w:color="auto"/>
            <w:left w:val="none" w:sz="0" w:space="0" w:color="auto"/>
            <w:bottom w:val="none" w:sz="0" w:space="0" w:color="auto"/>
            <w:right w:val="none" w:sz="0" w:space="0" w:color="auto"/>
          </w:divBdr>
        </w:div>
        <w:div w:id="422843242">
          <w:marLeft w:val="274"/>
          <w:marRight w:val="0"/>
          <w:marTop w:val="0"/>
          <w:marBottom w:val="0"/>
          <w:divBdr>
            <w:top w:val="none" w:sz="0" w:space="0" w:color="auto"/>
            <w:left w:val="none" w:sz="0" w:space="0" w:color="auto"/>
            <w:bottom w:val="none" w:sz="0" w:space="0" w:color="auto"/>
            <w:right w:val="none" w:sz="0" w:space="0" w:color="auto"/>
          </w:divBdr>
        </w:div>
        <w:div w:id="467013992">
          <w:marLeft w:val="274"/>
          <w:marRight w:val="0"/>
          <w:marTop w:val="0"/>
          <w:marBottom w:val="0"/>
          <w:divBdr>
            <w:top w:val="none" w:sz="0" w:space="0" w:color="auto"/>
            <w:left w:val="none" w:sz="0" w:space="0" w:color="auto"/>
            <w:bottom w:val="none" w:sz="0" w:space="0" w:color="auto"/>
            <w:right w:val="none" w:sz="0" w:space="0" w:color="auto"/>
          </w:divBdr>
        </w:div>
        <w:div w:id="476455768">
          <w:marLeft w:val="274"/>
          <w:marRight w:val="0"/>
          <w:marTop w:val="0"/>
          <w:marBottom w:val="0"/>
          <w:divBdr>
            <w:top w:val="none" w:sz="0" w:space="0" w:color="auto"/>
            <w:left w:val="none" w:sz="0" w:space="0" w:color="auto"/>
            <w:bottom w:val="none" w:sz="0" w:space="0" w:color="auto"/>
            <w:right w:val="none" w:sz="0" w:space="0" w:color="auto"/>
          </w:divBdr>
        </w:div>
        <w:div w:id="548421567">
          <w:marLeft w:val="274"/>
          <w:marRight w:val="0"/>
          <w:marTop w:val="0"/>
          <w:marBottom w:val="0"/>
          <w:divBdr>
            <w:top w:val="none" w:sz="0" w:space="0" w:color="auto"/>
            <w:left w:val="none" w:sz="0" w:space="0" w:color="auto"/>
            <w:bottom w:val="none" w:sz="0" w:space="0" w:color="auto"/>
            <w:right w:val="none" w:sz="0" w:space="0" w:color="auto"/>
          </w:divBdr>
        </w:div>
        <w:div w:id="566302630">
          <w:marLeft w:val="274"/>
          <w:marRight w:val="0"/>
          <w:marTop w:val="0"/>
          <w:marBottom w:val="0"/>
          <w:divBdr>
            <w:top w:val="none" w:sz="0" w:space="0" w:color="auto"/>
            <w:left w:val="none" w:sz="0" w:space="0" w:color="auto"/>
            <w:bottom w:val="none" w:sz="0" w:space="0" w:color="auto"/>
            <w:right w:val="none" w:sz="0" w:space="0" w:color="auto"/>
          </w:divBdr>
        </w:div>
        <w:div w:id="610089417">
          <w:marLeft w:val="274"/>
          <w:marRight w:val="0"/>
          <w:marTop w:val="0"/>
          <w:marBottom w:val="0"/>
          <w:divBdr>
            <w:top w:val="none" w:sz="0" w:space="0" w:color="auto"/>
            <w:left w:val="none" w:sz="0" w:space="0" w:color="auto"/>
            <w:bottom w:val="none" w:sz="0" w:space="0" w:color="auto"/>
            <w:right w:val="none" w:sz="0" w:space="0" w:color="auto"/>
          </w:divBdr>
        </w:div>
        <w:div w:id="622729321">
          <w:marLeft w:val="274"/>
          <w:marRight w:val="0"/>
          <w:marTop w:val="0"/>
          <w:marBottom w:val="0"/>
          <w:divBdr>
            <w:top w:val="none" w:sz="0" w:space="0" w:color="auto"/>
            <w:left w:val="none" w:sz="0" w:space="0" w:color="auto"/>
            <w:bottom w:val="none" w:sz="0" w:space="0" w:color="auto"/>
            <w:right w:val="none" w:sz="0" w:space="0" w:color="auto"/>
          </w:divBdr>
        </w:div>
        <w:div w:id="650408828">
          <w:marLeft w:val="230"/>
          <w:marRight w:val="0"/>
          <w:marTop w:val="60"/>
          <w:marBottom w:val="60"/>
          <w:divBdr>
            <w:top w:val="none" w:sz="0" w:space="0" w:color="auto"/>
            <w:left w:val="none" w:sz="0" w:space="0" w:color="auto"/>
            <w:bottom w:val="none" w:sz="0" w:space="0" w:color="auto"/>
            <w:right w:val="none" w:sz="0" w:space="0" w:color="auto"/>
          </w:divBdr>
        </w:div>
        <w:div w:id="682433757">
          <w:marLeft w:val="274"/>
          <w:marRight w:val="0"/>
          <w:marTop w:val="0"/>
          <w:marBottom w:val="0"/>
          <w:divBdr>
            <w:top w:val="none" w:sz="0" w:space="0" w:color="auto"/>
            <w:left w:val="none" w:sz="0" w:space="0" w:color="auto"/>
            <w:bottom w:val="none" w:sz="0" w:space="0" w:color="auto"/>
            <w:right w:val="none" w:sz="0" w:space="0" w:color="auto"/>
          </w:divBdr>
        </w:div>
        <w:div w:id="750275414">
          <w:marLeft w:val="274"/>
          <w:marRight w:val="0"/>
          <w:marTop w:val="0"/>
          <w:marBottom w:val="0"/>
          <w:divBdr>
            <w:top w:val="none" w:sz="0" w:space="0" w:color="auto"/>
            <w:left w:val="none" w:sz="0" w:space="0" w:color="auto"/>
            <w:bottom w:val="none" w:sz="0" w:space="0" w:color="auto"/>
            <w:right w:val="none" w:sz="0" w:space="0" w:color="auto"/>
          </w:divBdr>
        </w:div>
        <w:div w:id="759956379">
          <w:marLeft w:val="230"/>
          <w:marRight w:val="0"/>
          <w:marTop w:val="60"/>
          <w:marBottom w:val="60"/>
          <w:divBdr>
            <w:top w:val="none" w:sz="0" w:space="0" w:color="auto"/>
            <w:left w:val="none" w:sz="0" w:space="0" w:color="auto"/>
            <w:bottom w:val="none" w:sz="0" w:space="0" w:color="auto"/>
            <w:right w:val="none" w:sz="0" w:space="0" w:color="auto"/>
          </w:divBdr>
        </w:div>
        <w:div w:id="779370788">
          <w:marLeft w:val="274"/>
          <w:marRight w:val="0"/>
          <w:marTop w:val="0"/>
          <w:marBottom w:val="0"/>
          <w:divBdr>
            <w:top w:val="none" w:sz="0" w:space="0" w:color="auto"/>
            <w:left w:val="none" w:sz="0" w:space="0" w:color="auto"/>
            <w:bottom w:val="none" w:sz="0" w:space="0" w:color="auto"/>
            <w:right w:val="none" w:sz="0" w:space="0" w:color="auto"/>
          </w:divBdr>
        </w:div>
        <w:div w:id="793331432">
          <w:marLeft w:val="274"/>
          <w:marRight w:val="0"/>
          <w:marTop w:val="0"/>
          <w:marBottom w:val="0"/>
          <w:divBdr>
            <w:top w:val="none" w:sz="0" w:space="0" w:color="auto"/>
            <w:left w:val="none" w:sz="0" w:space="0" w:color="auto"/>
            <w:bottom w:val="none" w:sz="0" w:space="0" w:color="auto"/>
            <w:right w:val="none" w:sz="0" w:space="0" w:color="auto"/>
          </w:divBdr>
        </w:div>
        <w:div w:id="796725682">
          <w:marLeft w:val="274"/>
          <w:marRight w:val="0"/>
          <w:marTop w:val="0"/>
          <w:marBottom w:val="0"/>
          <w:divBdr>
            <w:top w:val="none" w:sz="0" w:space="0" w:color="auto"/>
            <w:left w:val="none" w:sz="0" w:space="0" w:color="auto"/>
            <w:bottom w:val="none" w:sz="0" w:space="0" w:color="auto"/>
            <w:right w:val="none" w:sz="0" w:space="0" w:color="auto"/>
          </w:divBdr>
        </w:div>
        <w:div w:id="847528442">
          <w:marLeft w:val="274"/>
          <w:marRight w:val="0"/>
          <w:marTop w:val="0"/>
          <w:marBottom w:val="0"/>
          <w:divBdr>
            <w:top w:val="none" w:sz="0" w:space="0" w:color="auto"/>
            <w:left w:val="none" w:sz="0" w:space="0" w:color="auto"/>
            <w:bottom w:val="none" w:sz="0" w:space="0" w:color="auto"/>
            <w:right w:val="none" w:sz="0" w:space="0" w:color="auto"/>
          </w:divBdr>
        </w:div>
        <w:div w:id="1016154330">
          <w:marLeft w:val="274"/>
          <w:marRight w:val="0"/>
          <w:marTop w:val="0"/>
          <w:marBottom w:val="0"/>
          <w:divBdr>
            <w:top w:val="none" w:sz="0" w:space="0" w:color="auto"/>
            <w:left w:val="none" w:sz="0" w:space="0" w:color="auto"/>
            <w:bottom w:val="none" w:sz="0" w:space="0" w:color="auto"/>
            <w:right w:val="none" w:sz="0" w:space="0" w:color="auto"/>
          </w:divBdr>
        </w:div>
        <w:div w:id="1048913616">
          <w:marLeft w:val="274"/>
          <w:marRight w:val="0"/>
          <w:marTop w:val="0"/>
          <w:marBottom w:val="0"/>
          <w:divBdr>
            <w:top w:val="none" w:sz="0" w:space="0" w:color="auto"/>
            <w:left w:val="none" w:sz="0" w:space="0" w:color="auto"/>
            <w:bottom w:val="none" w:sz="0" w:space="0" w:color="auto"/>
            <w:right w:val="none" w:sz="0" w:space="0" w:color="auto"/>
          </w:divBdr>
        </w:div>
        <w:div w:id="1049300814">
          <w:marLeft w:val="274"/>
          <w:marRight w:val="0"/>
          <w:marTop w:val="0"/>
          <w:marBottom w:val="0"/>
          <w:divBdr>
            <w:top w:val="none" w:sz="0" w:space="0" w:color="auto"/>
            <w:left w:val="none" w:sz="0" w:space="0" w:color="auto"/>
            <w:bottom w:val="none" w:sz="0" w:space="0" w:color="auto"/>
            <w:right w:val="none" w:sz="0" w:space="0" w:color="auto"/>
          </w:divBdr>
        </w:div>
        <w:div w:id="1060598635">
          <w:marLeft w:val="274"/>
          <w:marRight w:val="0"/>
          <w:marTop w:val="0"/>
          <w:marBottom w:val="0"/>
          <w:divBdr>
            <w:top w:val="none" w:sz="0" w:space="0" w:color="auto"/>
            <w:left w:val="none" w:sz="0" w:space="0" w:color="auto"/>
            <w:bottom w:val="none" w:sz="0" w:space="0" w:color="auto"/>
            <w:right w:val="none" w:sz="0" w:space="0" w:color="auto"/>
          </w:divBdr>
        </w:div>
        <w:div w:id="1111588283">
          <w:marLeft w:val="274"/>
          <w:marRight w:val="0"/>
          <w:marTop w:val="0"/>
          <w:marBottom w:val="0"/>
          <w:divBdr>
            <w:top w:val="none" w:sz="0" w:space="0" w:color="auto"/>
            <w:left w:val="none" w:sz="0" w:space="0" w:color="auto"/>
            <w:bottom w:val="none" w:sz="0" w:space="0" w:color="auto"/>
            <w:right w:val="none" w:sz="0" w:space="0" w:color="auto"/>
          </w:divBdr>
        </w:div>
        <w:div w:id="1134905185">
          <w:marLeft w:val="274"/>
          <w:marRight w:val="0"/>
          <w:marTop w:val="0"/>
          <w:marBottom w:val="0"/>
          <w:divBdr>
            <w:top w:val="none" w:sz="0" w:space="0" w:color="auto"/>
            <w:left w:val="none" w:sz="0" w:space="0" w:color="auto"/>
            <w:bottom w:val="none" w:sz="0" w:space="0" w:color="auto"/>
            <w:right w:val="none" w:sz="0" w:space="0" w:color="auto"/>
          </w:divBdr>
        </w:div>
        <w:div w:id="1195462847">
          <w:marLeft w:val="274"/>
          <w:marRight w:val="0"/>
          <w:marTop w:val="0"/>
          <w:marBottom w:val="0"/>
          <w:divBdr>
            <w:top w:val="none" w:sz="0" w:space="0" w:color="auto"/>
            <w:left w:val="none" w:sz="0" w:space="0" w:color="auto"/>
            <w:bottom w:val="none" w:sz="0" w:space="0" w:color="auto"/>
            <w:right w:val="none" w:sz="0" w:space="0" w:color="auto"/>
          </w:divBdr>
        </w:div>
        <w:div w:id="1254509707">
          <w:marLeft w:val="274"/>
          <w:marRight w:val="0"/>
          <w:marTop w:val="0"/>
          <w:marBottom w:val="0"/>
          <w:divBdr>
            <w:top w:val="none" w:sz="0" w:space="0" w:color="auto"/>
            <w:left w:val="none" w:sz="0" w:space="0" w:color="auto"/>
            <w:bottom w:val="none" w:sz="0" w:space="0" w:color="auto"/>
            <w:right w:val="none" w:sz="0" w:space="0" w:color="auto"/>
          </w:divBdr>
        </w:div>
        <w:div w:id="1353454758">
          <w:marLeft w:val="274"/>
          <w:marRight w:val="0"/>
          <w:marTop w:val="0"/>
          <w:marBottom w:val="0"/>
          <w:divBdr>
            <w:top w:val="none" w:sz="0" w:space="0" w:color="auto"/>
            <w:left w:val="none" w:sz="0" w:space="0" w:color="auto"/>
            <w:bottom w:val="none" w:sz="0" w:space="0" w:color="auto"/>
            <w:right w:val="none" w:sz="0" w:space="0" w:color="auto"/>
          </w:divBdr>
        </w:div>
        <w:div w:id="1399088324">
          <w:marLeft w:val="274"/>
          <w:marRight w:val="0"/>
          <w:marTop w:val="0"/>
          <w:marBottom w:val="0"/>
          <w:divBdr>
            <w:top w:val="none" w:sz="0" w:space="0" w:color="auto"/>
            <w:left w:val="none" w:sz="0" w:space="0" w:color="auto"/>
            <w:bottom w:val="none" w:sz="0" w:space="0" w:color="auto"/>
            <w:right w:val="none" w:sz="0" w:space="0" w:color="auto"/>
          </w:divBdr>
        </w:div>
        <w:div w:id="1402679211">
          <w:marLeft w:val="274"/>
          <w:marRight w:val="0"/>
          <w:marTop w:val="0"/>
          <w:marBottom w:val="0"/>
          <w:divBdr>
            <w:top w:val="none" w:sz="0" w:space="0" w:color="auto"/>
            <w:left w:val="none" w:sz="0" w:space="0" w:color="auto"/>
            <w:bottom w:val="none" w:sz="0" w:space="0" w:color="auto"/>
            <w:right w:val="none" w:sz="0" w:space="0" w:color="auto"/>
          </w:divBdr>
        </w:div>
        <w:div w:id="1413774243">
          <w:marLeft w:val="274"/>
          <w:marRight w:val="0"/>
          <w:marTop w:val="0"/>
          <w:marBottom w:val="0"/>
          <w:divBdr>
            <w:top w:val="none" w:sz="0" w:space="0" w:color="auto"/>
            <w:left w:val="none" w:sz="0" w:space="0" w:color="auto"/>
            <w:bottom w:val="none" w:sz="0" w:space="0" w:color="auto"/>
            <w:right w:val="none" w:sz="0" w:space="0" w:color="auto"/>
          </w:divBdr>
        </w:div>
        <w:div w:id="1559902400">
          <w:marLeft w:val="274"/>
          <w:marRight w:val="0"/>
          <w:marTop w:val="0"/>
          <w:marBottom w:val="0"/>
          <w:divBdr>
            <w:top w:val="none" w:sz="0" w:space="0" w:color="auto"/>
            <w:left w:val="none" w:sz="0" w:space="0" w:color="auto"/>
            <w:bottom w:val="none" w:sz="0" w:space="0" w:color="auto"/>
            <w:right w:val="none" w:sz="0" w:space="0" w:color="auto"/>
          </w:divBdr>
        </w:div>
        <w:div w:id="1582524131">
          <w:marLeft w:val="274"/>
          <w:marRight w:val="0"/>
          <w:marTop w:val="0"/>
          <w:marBottom w:val="0"/>
          <w:divBdr>
            <w:top w:val="none" w:sz="0" w:space="0" w:color="auto"/>
            <w:left w:val="none" w:sz="0" w:space="0" w:color="auto"/>
            <w:bottom w:val="none" w:sz="0" w:space="0" w:color="auto"/>
            <w:right w:val="none" w:sz="0" w:space="0" w:color="auto"/>
          </w:divBdr>
        </w:div>
        <w:div w:id="1601185444">
          <w:marLeft w:val="274"/>
          <w:marRight w:val="0"/>
          <w:marTop w:val="0"/>
          <w:marBottom w:val="0"/>
          <w:divBdr>
            <w:top w:val="none" w:sz="0" w:space="0" w:color="auto"/>
            <w:left w:val="none" w:sz="0" w:space="0" w:color="auto"/>
            <w:bottom w:val="none" w:sz="0" w:space="0" w:color="auto"/>
            <w:right w:val="none" w:sz="0" w:space="0" w:color="auto"/>
          </w:divBdr>
        </w:div>
        <w:div w:id="1679846190">
          <w:marLeft w:val="274"/>
          <w:marRight w:val="0"/>
          <w:marTop w:val="0"/>
          <w:marBottom w:val="0"/>
          <w:divBdr>
            <w:top w:val="none" w:sz="0" w:space="0" w:color="auto"/>
            <w:left w:val="none" w:sz="0" w:space="0" w:color="auto"/>
            <w:bottom w:val="none" w:sz="0" w:space="0" w:color="auto"/>
            <w:right w:val="none" w:sz="0" w:space="0" w:color="auto"/>
          </w:divBdr>
        </w:div>
        <w:div w:id="1709716266">
          <w:marLeft w:val="274"/>
          <w:marRight w:val="0"/>
          <w:marTop w:val="0"/>
          <w:marBottom w:val="0"/>
          <w:divBdr>
            <w:top w:val="none" w:sz="0" w:space="0" w:color="auto"/>
            <w:left w:val="none" w:sz="0" w:space="0" w:color="auto"/>
            <w:bottom w:val="none" w:sz="0" w:space="0" w:color="auto"/>
            <w:right w:val="none" w:sz="0" w:space="0" w:color="auto"/>
          </w:divBdr>
        </w:div>
        <w:div w:id="1718119305">
          <w:marLeft w:val="274"/>
          <w:marRight w:val="0"/>
          <w:marTop w:val="0"/>
          <w:marBottom w:val="0"/>
          <w:divBdr>
            <w:top w:val="none" w:sz="0" w:space="0" w:color="auto"/>
            <w:left w:val="none" w:sz="0" w:space="0" w:color="auto"/>
            <w:bottom w:val="none" w:sz="0" w:space="0" w:color="auto"/>
            <w:right w:val="none" w:sz="0" w:space="0" w:color="auto"/>
          </w:divBdr>
        </w:div>
        <w:div w:id="1803185199">
          <w:marLeft w:val="274"/>
          <w:marRight w:val="0"/>
          <w:marTop w:val="0"/>
          <w:marBottom w:val="0"/>
          <w:divBdr>
            <w:top w:val="none" w:sz="0" w:space="0" w:color="auto"/>
            <w:left w:val="none" w:sz="0" w:space="0" w:color="auto"/>
            <w:bottom w:val="none" w:sz="0" w:space="0" w:color="auto"/>
            <w:right w:val="none" w:sz="0" w:space="0" w:color="auto"/>
          </w:divBdr>
        </w:div>
        <w:div w:id="1868178134">
          <w:marLeft w:val="274"/>
          <w:marRight w:val="0"/>
          <w:marTop w:val="0"/>
          <w:marBottom w:val="0"/>
          <w:divBdr>
            <w:top w:val="none" w:sz="0" w:space="0" w:color="auto"/>
            <w:left w:val="none" w:sz="0" w:space="0" w:color="auto"/>
            <w:bottom w:val="none" w:sz="0" w:space="0" w:color="auto"/>
            <w:right w:val="none" w:sz="0" w:space="0" w:color="auto"/>
          </w:divBdr>
        </w:div>
        <w:div w:id="1892232775">
          <w:marLeft w:val="274"/>
          <w:marRight w:val="0"/>
          <w:marTop w:val="0"/>
          <w:marBottom w:val="0"/>
          <w:divBdr>
            <w:top w:val="none" w:sz="0" w:space="0" w:color="auto"/>
            <w:left w:val="none" w:sz="0" w:space="0" w:color="auto"/>
            <w:bottom w:val="none" w:sz="0" w:space="0" w:color="auto"/>
            <w:right w:val="none" w:sz="0" w:space="0" w:color="auto"/>
          </w:divBdr>
        </w:div>
        <w:div w:id="1957056386">
          <w:marLeft w:val="274"/>
          <w:marRight w:val="0"/>
          <w:marTop w:val="0"/>
          <w:marBottom w:val="0"/>
          <w:divBdr>
            <w:top w:val="none" w:sz="0" w:space="0" w:color="auto"/>
            <w:left w:val="none" w:sz="0" w:space="0" w:color="auto"/>
            <w:bottom w:val="none" w:sz="0" w:space="0" w:color="auto"/>
            <w:right w:val="none" w:sz="0" w:space="0" w:color="auto"/>
          </w:divBdr>
        </w:div>
        <w:div w:id="1996446881">
          <w:marLeft w:val="274"/>
          <w:marRight w:val="0"/>
          <w:marTop w:val="0"/>
          <w:marBottom w:val="0"/>
          <w:divBdr>
            <w:top w:val="none" w:sz="0" w:space="0" w:color="auto"/>
            <w:left w:val="none" w:sz="0" w:space="0" w:color="auto"/>
            <w:bottom w:val="none" w:sz="0" w:space="0" w:color="auto"/>
            <w:right w:val="none" w:sz="0" w:space="0" w:color="auto"/>
          </w:divBdr>
        </w:div>
        <w:div w:id="2074112761">
          <w:marLeft w:val="274"/>
          <w:marRight w:val="0"/>
          <w:marTop w:val="0"/>
          <w:marBottom w:val="0"/>
          <w:divBdr>
            <w:top w:val="none" w:sz="0" w:space="0" w:color="auto"/>
            <w:left w:val="none" w:sz="0" w:space="0" w:color="auto"/>
            <w:bottom w:val="none" w:sz="0" w:space="0" w:color="auto"/>
            <w:right w:val="none" w:sz="0" w:space="0" w:color="auto"/>
          </w:divBdr>
        </w:div>
        <w:div w:id="2137260945">
          <w:marLeft w:val="274"/>
          <w:marRight w:val="0"/>
          <w:marTop w:val="0"/>
          <w:marBottom w:val="0"/>
          <w:divBdr>
            <w:top w:val="none" w:sz="0" w:space="0" w:color="auto"/>
            <w:left w:val="none" w:sz="0" w:space="0" w:color="auto"/>
            <w:bottom w:val="none" w:sz="0" w:space="0" w:color="auto"/>
            <w:right w:val="none" w:sz="0" w:space="0" w:color="auto"/>
          </w:divBdr>
        </w:div>
      </w:divsChild>
    </w:div>
    <w:div w:id="251746638">
      <w:bodyDiv w:val="1"/>
      <w:marLeft w:val="0"/>
      <w:marRight w:val="0"/>
      <w:marTop w:val="0"/>
      <w:marBottom w:val="0"/>
      <w:divBdr>
        <w:top w:val="none" w:sz="0" w:space="0" w:color="auto"/>
        <w:left w:val="none" w:sz="0" w:space="0" w:color="auto"/>
        <w:bottom w:val="none" w:sz="0" w:space="0" w:color="auto"/>
        <w:right w:val="none" w:sz="0" w:space="0" w:color="auto"/>
      </w:divBdr>
    </w:div>
    <w:div w:id="259025077">
      <w:bodyDiv w:val="1"/>
      <w:marLeft w:val="0"/>
      <w:marRight w:val="0"/>
      <w:marTop w:val="0"/>
      <w:marBottom w:val="0"/>
      <w:divBdr>
        <w:top w:val="none" w:sz="0" w:space="0" w:color="auto"/>
        <w:left w:val="none" w:sz="0" w:space="0" w:color="auto"/>
        <w:bottom w:val="none" w:sz="0" w:space="0" w:color="auto"/>
        <w:right w:val="none" w:sz="0" w:space="0" w:color="auto"/>
      </w:divBdr>
    </w:div>
    <w:div w:id="262494345">
      <w:bodyDiv w:val="1"/>
      <w:marLeft w:val="0"/>
      <w:marRight w:val="0"/>
      <w:marTop w:val="0"/>
      <w:marBottom w:val="0"/>
      <w:divBdr>
        <w:top w:val="none" w:sz="0" w:space="0" w:color="auto"/>
        <w:left w:val="none" w:sz="0" w:space="0" w:color="auto"/>
        <w:bottom w:val="none" w:sz="0" w:space="0" w:color="auto"/>
        <w:right w:val="none" w:sz="0" w:space="0" w:color="auto"/>
      </w:divBdr>
      <w:divsChild>
        <w:div w:id="1900764">
          <w:marLeft w:val="274"/>
          <w:marRight w:val="0"/>
          <w:marTop w:val="0"/>
          <w:marBottom w:val="0"/>
          <w:divBdr>
            <w:top w:val="none" w:sz="0" w:space="0" w:color="auto"/>
            <w:left w:val="none" w:sz="0" w:space="0" w:color="auto"/>
            <w:bottom w:val="none" w:sz="0" w:space="0" w:color="auto"/>
            <w:right w:val="none" w:sz="0" w:space="0" w:color="auto"/>
          </w:divBdr>
        </w:div>
        <w:div w:id="54282960">
          <w:marLeft w:val="274"/>
          <w:marRight w:val="0"/>
          <w:marTop w:val="0"/>
          <w:marBottom w:val="0"/>
          <w:divBdr>
            <w:top w:val="none" w:sz="0" w:space="0" w:color="auto"/>
            <w:left w:val="none" w:sz="0" w:space="0" w:color="auto"/>
            <w:bottom w:val="none" w:sz="0" w:space="0" w:color="auto"/>
            <w:right w:val="none" w:sz="0" w:space="0" w:color="auto"/>
          </w:divBdr>
        </w:div>
        <w:div w:id="107629360">
          <w:marLeft w:val="274"/>
          <w:marRight w:val="0"/>
          <w:marTop w:val="0"/>
          <w:marBottom w:val="0"/>
          <w:divBdr>
            <w:top w:val="none" w:sz="0" w:space="0" w:color="auto"/>
            <w:left w:val="none" w:sz="0" w:space="0" w:color="auto"/>
            <w:bottom w:val="none" w:sz="0" w:space="0" w:color="auto"/>
            <w:right w:val="none" w:sz="0" w:space="0" w:color="auto"/>
          </w:divBdr>
        </w:div>
        <w:div w:id="259997687">
          <w:marLeft w:val="274"/>
          <w:marRight w:val="0"/>
          <w:marTop w:val="0"/>
          <w:marBottom w:val="0"/>
          <w:divBdr>
            <w:top w:val="none" w:sz="0" w:space="0" w:color="auto"/>
            <w:left w:val="none" w:sz="0" w:space="0" w:color="auto"/>
            <w:bottom w:val="none" w:sz="0" w:space="0" w:color="auto"/>
            <w:right w:val="none" w:sz="0" w:space="0" w:color="auto"/>
          </w:divBdr>
        </w:div>
        <w:div w:id="315113040">
          <w:marLeft w:val="274"/>
          <w:marRight w:val="0"/>
          <w:marTop w:val="0"/>
          <w:marBottom w:val="0"/>
          <w:divBdr>
            <w:top w:val="none" w:sz="0" w:space="0" w:color="auto"/>
            <w:left w:val="none" w:sz="0" w:space="0" w:color="auto"/>
            <w:bottom w:val="none" w:sz="0" w:space="0" w:color="auto"/>
            <w:right w:val="none" w:sz="0" w:space="0" w:color="auto"/>
          </w:divBdr>
        </w:div>
        <w:div w:id="379790035">
          <w:marLeft w:val="274"/>
          <w:marRight w:val="0"/>
          <w:marTop w:val="0"/>
          <w:marBottom w:val="0"/>
          <w:divBdr>
            <w:top w:val="none" w:sz="0" w:space="0" w:color="auto"/>
            <w:left w:val="none" w:sz="0" w:space="0" w:color="auto"/>
            <w:bottom w:val="none" w:sz="0" w:space="0" w:color="auto"/>
            <w:right w:val="none" w:sz="0" w:space="0" w:color="auto"/>
          </w:divBdr>
        </w:div>
        <w:div w:id="463349499">
          <w:marLeft w:val="274"/>
          <w:marRight w:val="0"/>
          <w:marTop w:val="0"/>
          <w:marBottom w:val="0"/>
          <w:divBdr>
            <w:top w:val="none" w:sz="0" w:space="0" w:color="auto"/>
            <w:left w:val="none" w:sz="0" w:space="0" w:color="auto"/>
            <w:bottom w:val="none" w:sz="0" w:space="0" w:color="auto"/>
            <w:right w:val="none" w:sz="0" w:space="0" w:color="auto"/>
          </w:divBdr>
        </w:div>
        <w:div w:id="465242608">
          <w:marLeft w:val="274"/>
          <w:marRight w:val="0"/>
          <w:marTop w:val="0"/>
          <w:marBottom w:val="0"/>
          <w:divBdr>
            <w:top w:val="none" w:sz="0" w:space="0" w:color="auto"/>
            <w:left w:val="none" w:sz="0" w:space="0" w:color="auto"/>
            <w:bottom w:val="none" w:sz="0" w:space="0" w:color="auto"/>
            <w:right w:val="none" w:sz="0" w:space="0" w:color="auto"/>
          </w:divBdr>
        </w:div>
        <w:div w:id="617837061">
          <w:marLeft w:val="274"/>
          <w:marRight w:val="0"/>
          <w:marTop w:val="0"/>
          <w:marBottom w:val="0"/>
          <w:divBdr>
            <w:top w:val="none" w:sz="0" w:space="0" w:color="auto"/>
            <w:left w:val="none" w:sz="0" w:space="0" w:color="auto"/>
            <w:bottom w:val="none" w:sz="0" w:space="0" w:color="auto"/>
            <w:right w:val="none" w:sz="0" w:space="0" w:color="auto"/>
          </w:divBdr>
        </w:div>
        <w:div w:id="650255560">
          <w:marLeft w:val="274"/>
          <w:marRight w:val="0"/>
          <w:marTop w:val="0"/>
          <w:marBottom w:val="0"/>
          <w:divBdr>
            <w:top w:val="none" w:sz="0" w:space="0" w:color="auto"/>
            <w:left w:val="none" w:sz="0" w:space="0" w:color="auto"/>
            <w:bottom w:val="none" w:sz="0" w:space="0" w:color="auto"/>
            <w:right w:val="none" w:sz="0" w:space="0" w:color="auto"/>
          </w:divBdr>
        </w:div>
        <w:div w:id="721633586">
          <w:marLeft w:val="274"/>
          <w:marRight w:val="0"/>
          <w:marTop w:val="0"/>
          <w:marBottom w:val="0"/>
          <w:divBdr>
            <w:top w:val="none" w:sz="0" w:space="0" w:color="auto"/>
            <w:left w:val="none" w:sz="0" w:space="0" w:color="auto"/>
            <w:bottom w:val="none" w:sz="0" w:space="0" w:color="auto"/>
            <w:right w:val="none" w:sz="0" w:space="0" w:color="auto"/>
          </w:divBdr>
        </w:div>
        <w:div w:id="893852812">
          <w:marLeft w:val="274"/>
          <w:marRight w:val="0"/>
          <w:marTop w:val="0"/>
          <w:marBottom w:val="0"/>
          <w:divBdr>
            <w:top w:val="none" w:sz="0" w:space="0" w:color="auto"/>
            <w:left w:val="none" w:sz="0" w:space="0" w:color="auto"/>
            <w:bottom w:val="none" w:sz="0" w:space="0" w:color="auto"/>
            <w:right w:val="none" w:sz="0" w:space="0" w:color="auto"/>
          </w:divBdr>
        </w:div>
        <w:div w:id="1057775466">
          <w:marLeft w:val="274"/>
          <w:marRight w:val="0"/>
          <w:marTop w:val="0"/>
          <w:marBottom w:val="0"/>
          <w:divBdr>
            <w:top w:val="none" w:sz="0" w:space="0" w:color="auto"/>
            <w:left w:val="none" w:sz="0" w:space="0" w:color="auto"/>
            <w:bottom w:val="none" w:sz="0" w:space="0" w:color="auto"/>
            <w:right w:val="none" w:sz="0" w:space="0" w:color="auto"/>
          </w:divBdr>
        </w:div>
        <w:div w:id="1099106633">
          <w:marLeft w:val="274"/>
          <w:marRight w:val="0"/>
          <w:marTop w:val="0"/>
          <w:marBottom w:val="0"/>
          <w:divBdr>
            <w:top w:val="none" w:sz="0" w:space="0" w:color="auto"/>
            <w:left w:val="none" w:sz="0" w:space="0" w:color="auto"/>
            <w:bottom w:val="none" w:sz="0" w:space="0" w:color="auto"/>
            <w:right w:val="none" w:sz="0" w:space="0" w:color="auto"/>
          </w:divBdr>
        </w:div>
        <w:div w:id="1112550769">
          <w:marLeft w:val="274"/>
          <w:marRight w:val="0"/>
          <w:marTop w:val="0"/>
          <w:marBottom w:val="0"/>
          <w:divBdr>
            <w:top w:val="none" w:sz="0" w:space="0" w:color="auto"/>
            <w:left w:val="none" w:sz="0" w:space="0" w:color="auto"/>
            <w:bottom w:val="none" w:sz="0" w:space="0" w:color="auto"/>
            <w:right w:val="none" w:sz="0" w:space="0" w:color="auto"/>
          </w:divBdr>
        </w:div>
        <w:div w:id="1186671221">
          <w:marLeft w:val="274"/>
          <w:marRight w:val="0"/>
          <w:marTop w:val="0"/>
          <w:marBottom w:val="0"/>
          <w:divBdr>
            <w:top w:val="none" w:sz="0" w:space="0" w:color="auto"/>
            <w:left w:val="none" w:sz="0" w:space="0" w:color="auto"/>
            <w:bottom w:val="none" w:sz="0" w:space="0" w:color="auto"/>
            <w:right w:val="none" w:sz="0" w:space="0" w:color="auto"/>
          </w:divBdr>
        </w:div>
        <w:div w:id="1204175005">
          <w:marLeft w:val="274"/>
          <w:marRight w:val="0"/>
          <w:marTop w:val="0"/>
          <w:marBottom w:val="0"/>
          <w:divBdr>
            <w:top w:val="none" w:sz="0" w:space="0" w:color="auto"/>
            <w:left w:val="none" w:sz="0" w:space="0" w:color="auto"/>
            <w:bottom w:val="none" w:sz="0" w:space="0" w:color="auto"/>
            <w:right w:val="none" w:sz="0" w:space="0" w:color="auto"/>
          </w:divBdr>
        </w:div>
        <w:div w:id="1220554035">
          <w:marLeft w:val="274"/>
          <w:marRight w:val="0"/>
          <w:marTop w:val="0"/>
          <w:marBottom w:val="0"/>
          <w:divBdr>
            <w:top w:val="none" w:sz="0" w:space="0" w:color="auto"/>
            <w:left w:val="none" w:sz="0" w:space="0" w:color="auto"/>
            <w:bottom w:val="none" w:sz="0" w:space="0" w:color="auto"/>
            <w:right w:val="none" w:sz="0" w:space="0" w:color="auto"/>
          </w:divBdr>
        </w:div>
        <w:div w:id="1247806138">
          <w:marLeft w:val="274"/>
          <w:marRight w:val="0"/>
          <w:marTop w:val="0"/>
          <w:marBottom w:val="0"/>
          <w:divBdr>
            <w:top w:val="none" w:sz="0" w:space="0" w:color="auto"/>
            <w:left w:val="none" w:sz="0" w:space="0" w:color="auto"/>
            <w:bottom w:val="none" w:sz="0" w:space="0" w:color="auto"/>
            <w:right w:val="none" w:sz="0" w:space="0" w:color="auto"/>
          </w:divBdr>
        </w:div>
        <w:div w:id="1309089704">
          <w:marLeft w:val="274"/>
          <w:marRight w:val="0"/>
          <w:marTop w:val="0"/>
          <w:marBottom w:val="0"/>
          <w:divBdr>
            <w:top w:val="none" w:sz="0" w:space="0" w:color="auto"/>
            <w:left w:val="none" w:sz="0" w:space="0" w:color="auto"/>
            <w:bottom w:val="none" w:sz="0" w:space="0" w:color="auto"/>
            <w:right w:val="none" w:sz="0" w:space="0" w:color="auto"/>
          </w:divBdr>
        </w:div>
        <w:div w:id="1318218618">
          <w:marLeft w:val="274"/>
          <w:marRight w:val="0"/>
          <w:marTop w:val="0"/>
          <w:marBottom w:val="0"/>
          <w:divBdr>
            <w:top w:val="none" w:sz="0" w:space="0" w:color="auto"/>
            <w:left w:val="none" w:sz="0" w:space="0" w:color="auto"/>
            <w:bottom w:val="none" w:sz="0" w:space="0" w:color="auto"/>
            <w:right w:val="none" w:sz="0" w:space="0" w:color="auto"/>
          </w:divBdr>
        </w:div>
        <w:div w:id="1418402135">
          <w:marLeft w:val="274"/>
          <w:marRight w:val="0"/>
          <w:marTop w:val="0"/>
          <w:marBottom w:val="0"/>
          <w:divBdr>
            <w:top w:val="none" w:sz="0" w:space="0" w:color="auto"/>
            <w:left w:val="none" w:sz="0" w:space="0" w:color="auto"/>
            <w:bottom w:val="none" w:sz="0" w:space="0" w:color="auto"/>
            <w:right w:val="none" w:sz="0" w:space="0" w:color="auto"/>
          </w:divBdr>
        </w:div>
        <w:div w:id="1421175270">
          <w:marLeft w:val="274"/>
          <w:marRight w:val="0"/>
          <w:marTop w:val="0"/>
          <w:marBottom w:val="0"/>
          <w:divBdr>
            <w:top w:val="none" w:sz="0" w:space="0" w:color="auto"/>
            <w:left w:val="none" w:sz="0" w:space="0" w:color="auto"/>
            <w:bottom w:val="none" w:sz="0" w:space="0" w:color="auto"/>
            <w:right w:val="none" w:sz="0" w:space="0" w:color="auto"/>
          </w:divBdr>
        </w:div>
        <w:div w:id="1533569339">
          <w:marLeft w:val="274"/>
          <w:marRight w:val="0"/>
          <w:marTop w:val="0"/>
          <w:marBottom w:val="0"/>
          <w:divBdr>
            <w:top w:val="none" w:sz="0" w:space="0" w:color="auto"/>
            <w:left w:val="none" w:sz="0" w:space="0" w:color="auto"/>
            <w:bottom w:val="none" w:sz="0" w:space="0" w:color="auto"/>
            <w:right w:val="none" w:sz="0" w:space="0" w:color="auto"/>
          </w:divBdr>
        </w:div>
        <w:div w:id="1582518198">
          <w:marLeft w:val="274"/>
          <w:marRight w:val="0"/>
          <w:marTop w:val="0"/>
          <w:marBottom w:val="0"/>
          <w:divBdr>
            <w:top w:val="none" w:sz="0" w:space="0" w:color="auto"/>
            <w:left w:val="none" w:sz="0" w:space="0" w:color="auto"/>
            <w:bottom w:val="none" w:sz="0" w:space="0" w:color="auto"/>
            <w:right w:val="none" w:sz="0" w:space="0" w:color="auto"/>
          </w:divBdr>
        </w:div>
        <w:div w:id="1694182617">
          <w:marLeft w:val="274"/>
          <w:marRight w:val="0"/>
          <w:marTop w:val="0"/>
          <w:marBottom w:val="0"/>
          <w:divBdr>
            <w:top w:val="none" w:sz="0" w:space="0" w:color="auto"/>
            <w:left w:val="none" w:sz="0" w:space="0" w:color="auto"/>
            <w:bottom w:val="none" w:sz="0" w:space="0" w:color="auto"/>
            <w:right w:val="none" w:sz="0" w:space="0" w:color="auto"/>
          </w:divBdr>
        </w:div>
        <w:div w:id="1955290147">
          <w:marLeft w:val="274"/>
          <w:marRight w:val="0"/>
          <w:marTop w:val="0"/>
          <w:marBottom w:val="0"/>
          <w:divBdr>
            <w:top w:val="none" w:sz="0" w:space="0" w:color="auto"/>
            <w:left w:val="none" w:sz="0" w:space="0" w:color="auto"/>
            <w:bottom w:val="none" w:sz="0" w:space="0" w:color="auto"/>
            <w:right w:val="none" w:sz="0" w:space="0" w:color="auto"/>
          </w:divBdr>
        </w:div>
        <w:div w:id="1994138935">
          <w:marLeft w:val="274"/>
          <w:marRight w:val="0"/>
          <w:marTop w:val="0"/>
          <w:marBottom w:val="0"/>
          <w:divBdr>
            <w:top w:val="none" w:sz="0" w:space="0" w:color="auto"/>
            <w:left w:val="none" w:sz="0" w:space="0" w:color="auto"/>
            <w:bottom w:val="none" w:sz="0" w:space="0" w:color="auto"/>
            <w:right w:val="none" w:sz="0" w:space="0" w:color="auto"/>
          </w:divBdr>
        </w:div>
        <w:div w:id="2000569751">
          <w:marLeft w:val="274"/>
          <w:marRight w:val="0"/>
          <w:marTop w:val="0"/>
          <w:marBottom w:val="0"/>
          <w:divBdr>
            <w:top w:val="none" w:sz="0" w:space="0" w:color="auto"/>
            <w:left w:val="none" w:sz="0" w:space="0" w:color="auto"/>
            <w:bottom w:val="none" w:sz="0" w:space="0" w:color="auto"/>
            <w:right w:val="none" w:sz="0" w:space="0" w:color="auto"/>
          </w:divBdr>
        </w:div>
      </w:divsChild>
    </w:div>
    <w:div w:id="267396220">
      <w:bodyDiv w:val="1"/>
      <w:marLeft w:val="0"/>
      <w:marRight w:val="0"/>
      <w:marTop w:val="0"/>
      <w:marBottom w:val="0"/>
      <w:divBdr>
        <w:top w:val="none" w:sz="0" w:space="0" w:color="auto"/>
        <w:left w:val="none" w:sz="0" w:space="0" w:color="auto"/>
        <w:bottom w:val="none" w:sz="0" w:space="0" w:color="auto"/>
        <w:right w:val="none" w:sz="0" w:space="0" w:color="auto"/>
      </w:divBdr>
    </w:div>
    <w:div w:id="268468035">
      <w:bodyDiv w:val="1"/>
      <w:marLeft w:val="0"/>
      <w:marRight w:val="0"/>
      <w:marTop w:val="0"/>
      <w:marBottom w:val="0"/>
      <w:divBdr>
        <w:top w:val="none" w:sz="0" w:space="0" w:color="auto"/>
        <w:left w:val="none" w:sz="0" w:space="0" w:color="auto"/>
        <w:bottom w:val="none" w:sz="0" w:space="0" w:color="auto"/>
        <w:right w:val="none" w:sz="0" w:space="0" w:color="auto"/>
      </w:divBdr>
    </w:div>
    <w:div w:id="270359946">
      <w:bodyDiv w:val="1"/>
      <w:marLeft w:val="0"/>
      <w:marRight w:val="0"/>
      <w:marTop w:val="0"/>
      <w:marBottom w:val="0"/>
      <w:divBdr>
        <w:top w:val="none" w:sz="0" w:space="0" w:color="auto"/>
        <w:left w:val="none" w:sz="0" w:space="0" w:color="auto"/>
        <w:bottom w:val="none" w:sz="0" w:space="0" w:color="auto"/>
        <w:right w:val="none" w:sz="0" w:space="0" w:color="auto"/>
      </w:divBdr>
    </w:div>
    <w:div w:id="281770574">
      <w:bodyDiv w:val="1"/>
      <w:marLeft w:val="0"/>
      <w:marRight w:val="0"/>
      <w:marTop w:val="0"/>
      <w:marBottom w:val="0"/>
      <w:divBdr>
        <w:top w:val="none" w:sz="0" w:space="0" w:color="auto"/>
        <w:left w:val="none" w:sz="0" w:space="0" w:color="auto"/>
        <w:bottom w:val="none" w:sz="0" w:space="0" w:color="auto"/>
        <w:right w:val="none" w:sz="0" w:space="0" w:color="auto"/>
      </w:divBdr>
    </w:div>
    <w:div w:id="300548620">
      <w:bodyDiv w:val="1"/>
      <w:marLeft w:val="0"/>
      <w:marRight w:val="0"/>
      <w:marTop w:val="0"/>
      <w:marBottom w:val="0"/>
      <w:divBdr>
        <w:top w:val="none" w:sz="0" w:space="0" w:color="auto"/>
        <w:left w:val="none" w:sz="0" w:space="0" w:color="auto"/>
        <w:bottom w:val="none" w:sz="0" w:space="0" w:color="auto"/>
        <w:right w:val="none" w:sz="0" w:space="0" w:color="auto"/>
      </w:divBdr>
    </w:div>
    <w:div w:id="304747894">
      <w:bodyDiv w:val="1"/>
      <w:marLeft w:val="0"/>
      <w:marRight w:val="0"/>
      <w:marTop w:val="0"/>
      <w:marBottom w:val="0"/>
      <w:divBdr>
        <w:top w:val="none" w:sz="0" w:space="0" w:color="auto"/>
        <w:left w:val="none" w:sz="0" w:space="0" w:color="auto"/>
        <w:bottom w:val="none" w:sz="0" w:space="0" w:color="auto"/>
        <w:right w:val="none" w:sz="0" w:space="0" w:color="auto"/>
      </w:divBdr>
    </w:div>
    <w:div w:id="307445854">
      <w:bodyDiv w:val="1"/>
      <w:marLeft w:val="0"/>
      <w:marRight w:val="0"/>
      <w:marTop w:val="0"/>
      <w:marBottom w:val="0"/>
      <w:divBdr>
        <w:top w:val="none" w:sz="0" w:space="0" w:color="auto"/>
        <w:left w:val="none" w:sz="0" w:space="0" w:color="auto"/>
        <w:bottom w:val="none" w:sz="0" w:space="0" w:color="auto"/>
        <w:right w:val="none" w:sz="0" w:space="0" w:color="auto"/>
      </w:divBdr>
    </w:div>
    <w:div w:id="323362462">
      <w:bodyDiv w:val="1"/>
      <w:marLeft w:val="0"/>
      <w:marRight w:val="0"/>
      <w:marTop w:val="0"/>
      <w:marBottom w:val="0"/>
      <w:divBdr>
        <w:top w:val="none" w:sz="0" w:space="0" w:color="auto"/>
        <w:left w:val="none" w:sz="0" w:space="0" w:color="auto"/>
        <w:bottom w:val="none" w:sz="0" w:space="0" w:color="auto"/>
        <w:right w:val="none" w:sz="0" w:space="0" w:color="auto"/>
      </w:divBdr>
    </w:div>
    <w:div w:id="333610709">
      <w:bodyDiv w:val="1"/>
      <w:marLeft w:val="0"/>
      <w:marRight w:val="0"/>
      <w:marTop w:val="0"/>
      <w:marBottom w:val="0"/>
      <w:divBdr>
        <w:top w:val="none" w:sz="0" w:space="0" w:color="auto"/>
        <w:left w:val="none" w:sz="0" w:space="0" w:color="auto"/>
        <w:bottom w:val="none" w:sz="0" w:space="0" w:color="auto"/>
        <w:right w:val="none" w:sz="0" w:space="0" w:color="auto"/>
      </w:divBdr>
      <w:divsChild>
        <w:div w:id="310255767">
          <w:marLeft w:val="1051"/>
          <w:marRight w:val="0"/>
          <w:marTop w:val="240"/>
          <w:marBottom w:val="0"/>
          <w:divBdr>
            <w:top w:val="none" w:sz="0" w:space="0" w:color="auto"/>
            <w:left w:val="none" w:sz="0" w:space="0" w:color="auto"/>
            <w:bottom w:val="none" w:sz="0" w:space="0" w:color="auto"/>
            <w:right w:val="none" w:sz="0" w:space="0" w:color="auto"/>
          </w:divBdr>
        </w:div>
        <w:div w:id="397090405">
          <w:marLeft w:val="1051"/>
          <w:marRight w:val="0"/>
          <w:marTop w:val="240"/>
          <w:marBottom w:val="0"/>
          <w:divBdr>
            <w:top w:val="none" w:sz="0" w:space="0" w:color="auto"/>
            <w:left w:val="none" w:sz="0" w:space="0" w:color="auto"/>
            <w:bottom w:val="none" w:sz="0" w:space="0" w:color="auto"/>
            <w:right w:val="none" w:sz="0" w:space="0" w:color="auto"/>
          </w:divBdr>
        </w:div>
        <w:div w:id="417100185">
          <w:marLeft w:val="1051"/>
          <w:marRight w:val="0"/>
          <w:marTop w:val="240"/>
          <w:marBottom w:val="0"/>
          <w:divBdr>
            <w:top w:val="none" w:sz="0" w:space="0" w:color="auto"/>
            <w:left w:val="none" w:sz="0" w:space="0" w:color="auto"/>
            <w:bottom w:val="none" w:sz="0" w:space="0" w:color="auto"/>
            <w:right w:val="none" w:sz="0" w:space="0" w:color="auto"/>
          </w:divBdr>
        </w:div>
        <w:div w:id="609749613">
          <w:marLeft w:val="1051"/>
          <w:marRight w:val="0"/>
          <w:marTop w:val="240"/>
          <w:marBottom w:val="0"/>
          <w:divBdr>
            <w:top w:val="none" w:sz="0" w:space="0" w:color="auto"/>
            <w:left w:val="none" w:sz="0" w:space="0" w:color="auto"/>
            <w:bottom w:val="none" w:sz="0" w:space="0" w:color="auto"/>
            <w:right w:val="none" w:sz="0" w:space="0" w:color="auto"/>
          </w:divBdr>
        </w:div>
        <w:div w:id="836843872">
          <w:marLeft w:val="994"/>
          <w:marRight w:val="0"/>
          <w:marTop w:val="240"/>
          <w:marBottom w:val="0"/>
          <w:divBdr>
            <w:top w:val="none" w:sz="0" w:space="0" w:color="auto"/>
            <w:left w:val="none" w:sz="0" w:space="0" w:color="auto"/>
            <w:bottom w:val="none" w:sz="0" w:space="0" w:color="auto"/>
            <w:right w:val="none" w:sz="0" w:space="0" w:color="auto"/>
          </w:divBdr>
        </w:div>
        <w:div w:id="1095051648">
          <w:marLeft w:val="1051"/>
          <w:marRight w:val="0"/>
          <w:marTop w:val="240"/>
          <w:marBottom w:val="0"/>
          <w:divBdr>
            <w:top w:val="none" w:sz="0" w:space="0" w:color="auto"/>
            <w:left w:val="none" w:sz="0" w:space="0" w:color="auto"/>
            <w:bottom w:val="none" w:sz="0" w:space="0" w:color="auto"/>
            <w:right w:val="none" w:sz="0" w:space="0" w:color="auto"/>
          </w:divBdr>
        </w:div>
        <w:div w:id="1136214899">
          <w:marLeft w:val="1051"/>
          <w:marRight w:val="0"/>
          <w:marTop w:val="240"/>
          <w:marBottom w:val="0"/>
          <w:divBdr>
            <w:top w:val="none" w:sz="0" w:space="0" w:color="auto"/>
            <w:left w:val="none" w:sz="0" w:space="0" w:color="auto"/>
            <w:bottom w:val="none" w:sz="0" w:space="0" w:color="auto"/>
            <w:right w:val="none" w:sz="0" w:space="0" w:color="auto"/>
          </w:divBdr>
        </w:div>
        <w:div w:id="1171798774">
          <w:marLeft w:val="1051"/>
          <w:marRight w:val="0"/>
          <w:marTop w:val="240"/>
          <w:marBottom w:val="0"/>
          <w:divBdr>
            <w:top w:val="none" w:sz="0" w:space="0" w:color="auto"/>
            <w:left w:val="none" w:sz="0" w:space="0" w:color="auto"/>
            <w:bottom w:val="none" w:sz="0" w:space="0" w:color="auto"/>
            <w:right w:val="none" w:sz="0" w:space="0" w:color="auto"/>
          </w:divBdr>
        </w:div>
        <w:div w:id="1351488868">
          <w:marLeft w:val="994"/>
          <w:marRight w:val="0"/>
          <w:marTop w:val="240"/>
          <w:marBottom w:val="0"/>
          <w:divBdr>
            <w:top w:val="none" w:sz="0" w:space="0" w:color="auto"/>
            <w:left w:val="none" w:sz="0" w:space="0" w:color="auto"/>
            <w:bottom w:val="none" w:sz="0" w:space="0" w:color="auto"/>
            <w:right w:val="none" w:sz="0" w:space="0" w:color="auto"/>
          </w:divBdr>
        </w:div>
        <w:div w:id="1924024252">
          <w:marLeft w:val="994"/>
          <w:marRight w:val="0"/>
          <w:marTop w:val="240"/>
          <w:marBottom w:val="0"/>
          <w:divBdr>
            <w:top w:val="none" w:sz="0" w:space="0" w:color="auto"/>
            <w:left w:val="none" w:sz="0" w:space="0" w:color="auto"/>
            <w:bottom w:val="none" w:sz="0" w:space="0" w:color="auto"/>
            <w:right w:val="none" w:sz="0" w:space="0" w:color="auto"/>
          </w:divBdr>
        </w:div>
        <w:div w:id="2002391379">
          <w:marLeft w:val="360"/>
          <w:marRight w:val="0"/>
          <w:marTop w:val="240"/>
          <w:marBottom w:val="0"/>
          <w:divBdr>
            <w:top w:val="none" w:sz="0" w:space="0" w:color="auto"/>
            <w:left w:val="none" w:sz="0" w:space="0" w:color="auto"/>
            <w:bottom w:val="none" w:sz="0" w:space="0" w:color="auto"/>
            <w:right w:val="none" w:sz="0" w:space="0" w:color="auto"/>
          </w:divBdr>
        </w:div>
      </w:divsChild>
    </w:div>
    <w:div w:id="360320878">
      <w:bodyDiv w:val="1"/>
      <w:marLeft w:val="0"/>
      <w:marRight w:val="0"/>
      <w:marTop w:val="0"/>
      <w:marBottom w:val="0"/>
      <w:divBdr>
        <w:top w:val="none" w:sz="0" w:space="0" w:color="auto"/>
        <w:left w:val="none" w:sz="0" w:space="0" w:color="auto"/>
        <w:bottom w:val="none" w:sz="0" w:space="0" w:color="auto"/>
        <w:right w:val="none" w:sz="0" w:space="0" w:color="auto"/>
      </w:divBdr>
    </w:div>
    <w:div w:id="378480303">
      <w:bodyDiv w:val="1"/>
      <w:marLeft w:val="0"/>
      <w:marRight w:val="0"/>
      <w:marTop w:val="0"/>
      <w:marBottom w:val="0"/>
      <w:divBdr>
        <w:top w:val="none" w:sz="0" w:space="0" w:color="auto"/>
        <w:left w:val="none" w:sz="0" w:space="0" w:color="auto"/>
        <w:bottom w:val="none" w:sz="0" w:space="0" w:color="auto"/>
        <w:right w:val="none" w:sz="0" w:space="0" w:color="auto"/>
      </w:divBdr>
    </w:div>
    <w:div w:id="381441192">
      <w:bodyDiv w:val="1"/>
      <w:marLeft w:val="0"/>
      <w:marRight w:val="0"/>
      <w:marTop w:val="0"/>
      <w:marBottom w:val="0"/>
      <w:divBdr>
        <w:top w:val="none" w:sz="0" w:space="0" w:color="auto"/>
        <w:left w:val="none" w:sz="0" w:space="0" w:color="auto"/>
        <w:bottom w:val="none" w:sz="0" w:space="0" w:color="auto"/>
        <w:right w:val="none" w:sz="0" w:space="0" w:color="auto"/>
      </w:divBdr>
    </w:div>
    <w:div w:id="383407342">
      <w:bodyDiv w:val="1"/>
      <w:marLeft w:val="0"/>
      <w:marRight w:val="0"/>
      <w:marTop w:val="0"/>
      <w:marBottom w:val="0"/>
      <w:divBdr>
        <w:top w:val="none" w:sz="0" w:space="0" w:color="auto"/>
        <w:left w:val="none" w:sz="0" w:space="0" w:color="auto"/>
        <w:bottom w:val="none" w:sz="0" w:space="0" w:color="auto"/>
        <w:right w:val="none" w:sz="0" w:space="0" w:color="auto"/>
      </w:divBdr>
      <w:divsChild>
        <w:div w:id="1324890497">
          <w:marLeft w:val="547"/>
          <w:marRight w:val="0"/>
          <w:marTop w:val="0"/>
          <w:marBottom w:val="0"/>
          <w:divBdr>
            <w:top w:val="none" w:sz="0" w:space="0" w:color="auto"/>
            <w:left w:val="none" w:sz="0" w:space="0" w:color="auto"/>
            <w:bottom w:val="none" w:sz="0" w:space="0" w:color="auto"/>
            <w:right w:val="none" w:sz="0" w:space="0" w:color="auto"/>
          </w:divBdr>
        </w:div>
      </w:divsChild>
    </w:div>
    <w:div w:id="387726833">
      <w:bodyDiv w:val="1"/>
      <w:marLeft w:val="0"/>
      <w:marRight w:val="0"/>
      <w:marTop w:val="0"/>
      <w:marBottom w:val="0"/>
      <w:divBdr>
        <w:top w:val="none" w:sz="0" w:space="0" w:color="auto"/>
        <w:left w:val="none" w:sz="0" w:space="0" w:color="auto"/>
        <w:bottom w:val="none" w:sz="0" w:space="0" w:color="auto"/>
        <w:right w:val="none" w:sz="0" w:space="0" w:color="auto"/>
      </w:divBdr>
      <w:divsChild>
        <w:div w:id="696927611">
          <w:marLeft w:val="274"/>
          <w:marRight w:val="0"/>
          <w:marTop w:val="0"/>
          <w:marBottom w:val="60"/>
          <w:divBdr>
            <w:top w:val="none" w:sz="0" w:space="0" w:color="auto"/>
            <w:left w:val="none" w:sz="0" w:space="0" w:color="auto"/>
            <w:bottom w:val="none" w:sz="0" w:space="0" w:color="auto"/>
            <w:right w:val="none" w:sz="0" w:space="0" w:color="auto"/>
          </w:divBdr>
        </w:div>
        <w:div w:id="909005287">
          <w:marLeft w:val="274"/>
          <w:marRight w:val="0"/>
          <w:marTop w:val="0"/>
          <w:marBottom w:val="60"/>
          <w:divBdr>
            <w:top w:val="none" w:sz="0" w:space="0" w:color="auto"/>
            <w:left w:val="none" w:sz="0" w:space="0" w:color="auto"/>
            <w:bottom w:val="none" w:sz="0" w:space="0" w:color="auto"/>
            <w:right w:val="none" w:sz="0" w:space="0" w:color="auto"/>
          </w:divBdr>
        </w:div>
        <w:div w:id="933896833">
          <w:marLeft w:val="274"/>
          <w:marRight w:val="0"/>
          <w:marTop w:val="0"/>
          <w:marBottom w:val="120"/>
          <w:divBdr>
            <w:top w:val="none" w:sz="0" w:space="0" w:color="auto"/>
            <w:left w:val="none" w:sz="0" w:space="0" w:color="auto"/>
            <w:bottom w:val="none" w:sz="0" w:space="0" w:color="auto"/>
            <w:right w:val="none" w:sz="0" w:space="0" w:color="auto"/>
          </w:divBdr>
        </w:div>
        <w:div w:id="1145124858">
          <w:marLeft w:val="274"/>
          <w:marRight w:val="0"/>
          <w:marTop w:val="0"/>
          <w:marBottom w:val="60"/>
          <w:divBdr>
            <w:top w:val="none" w:sz="0" w:space="0" w:color="auto"/>
            <w:left w:val="none" w:sz="0" w:space="0" w:color="auto"/>
            <w:bottom w:val="none" w:sz="0" w:space="0" w:color="auto"/>
            <w:right w:val="none" w:sz="0" w:space="0" w:color="auto"/>
          </w:divBdr>
        </w:div>
        <w:div w:id="1221865599">
          <w:marLeft w:val="274"/>
          <w:marRight w:val="0"/>
          <w:marTop w:val="0"/>
          <w:marBottom w:val="120"/>
          <w:divBdr>
            <w:top w:val="none" w:sz="0" w:space="0" w:color="auto"/>
            <w:left w:val="none" w:sz="0" w:space="0" w:color="auto"/>
            <w:bottom w:val="none" w:sz="0" w:space="0" w:color="auto"/>
            <w:right w:val="none" w:sz="0" w:space="0" w:color="auto"/>
          </w:divBdr>
        </w:div>
        <w:div w:id="1604340184">
          <w:marLeft w:val="274"/>
          <w:marRight w:val="0"/>
          <w:marTop w:val="0"/>
          <w:marBottom w:val="60"/>
          <w:divBdr>
            <w:top w:val="none" w:sz="0" w:space="0" w:color="auto"/>
            <w:left w:val="none" w:sz="0" w:space="0" w:color="auto"/>
            <w:bottom w:val="none" w:sz="0" w:space="0" w:color="auto"/>
            <w:right w:val="none" w:sz="0" w:space="0" w:color="auto"/>
          </w:divBdr>
        </w:div>
      </w:divsChild>
    </w:div>
    <w:div w:id="403451560">
      <w:bodyDiv w:val="1"/>
      <w:marLeft w:val="0"/>
      <w:marRight w:val="0"/>
      <w:marTop w:val="0"/>
      <w:marBottom w:val="0"/>
      <w:divBdr>
        <w:top w:val="none" w:sz="0" w:space="0" w:color="auto"/>
        <w:left w:val="none" w:sz="0" w:space="0" w:color="auto"/>
        <w:bottom w:val="none" w:sz="0" w:space="0" w:color="auto"/>
        <w:right w:val="none" w:sz="0" w:space="0" w:color="auto"/>
      </w:divBdr>
    </w:div>
    <w:div w:id="410471739">
      <w:bodyDiv w:val="1"/>
      <w:marLeft w:val="0"/>
      <w:marRight w:val="0"/>
      <w:marTop w:val="0"/>
      <w:marBottom w:val="0"/>
      <w:divBdr>
        <w:top w:val="none" w:sz="0" w:space="0" w:color="auto"/>
        <w:left w:val="none" w:sz="0" w:space="0" w:color="auto"/>
        <w:bottom w:val="none" w:sz="0" w:space="0" w:color="auto"/>
        <w:right w:val="none" w:sz="0" w:space="0" w:color="auto"/>
      </w:divBdr>
      <w:divsChild>
        <w:div w:id="775365664">
          <w:marLeft w:val="274"/>
          <w:marRight w:val="0"/>
          <w:marTop w:val="20"/>
          <w:marBottom w:val="20"/>
          <w:divBdr>
            <w:top w:val="none" w:sz="0" w:space="0" w:color="auto"/>
            <w:left w:val="none" w:sz="0" w:space="0" w:color="auto"/>
            <w:bottom w:val="none" w:sz="0" w:space="0" w:color="auto"/>
            <w:right w:val="none" w:sz="0" w:space="0" w:color="auto"/>
          </w:divBdr>
        </w:div>
        <w:div w:id="943458669">
          <w:marLeft w:val="274"/>
          <w:marRight w:val="0"/>
          <w:marTop w:val="20"/>
          <w:marBottom w:val="20"/>
          <w:divBdr>
            <w:top w:val="none" w:sz="0" w:space="0" w:color="auto"/>
            <w:left w:val="none" w:sz="0" w:space="0" w:color="auto"/>
            <w:bottom w:val="none" w:sz="0" w:space="0" w:color="auto"/>
            <w:right w:val="none" w:sz="0" w:space="0" w:color="auto"/>
          </w:divBdr>
        </w:div>
        <w:div w:id="1890722531">
          <w:marLeft w:val="274"/>
          <w:marRight w:val="0"/>
          <w:marTop w:val="20"/>
          <w:marBottom w:val="20"/>
          <w:divBdr>
            <w:top w:val="none" w:sz="0" w:space="0" w:color="auto"/>
            <w:left w:val="none" w:sz="0" w:space="0" w:color="auto"/>
            <w:bottom w:val="none" w:sz="0" w:space="0" w:color="auto"/>
            <w:right w:val="none" w:sz="0" w:space="0" w:color="auto"/>
          </w:divBdr>
        </w:div>
      </w:divsChild>
    </w:div>
    <w:div w:id="413018856">
      <w:bodyDiv w:val="1"/>
      <w:marLeft w:val="0"/>
      <w:marRight w:val="0"/>
      <w:marTop w:val="0"/>
      <w:marBottom w:val="0"/>
      <w:divBdr>
        <w:top w:val="none" w:sz="0" w:space="0" w:color="auto"/>
        <w:left w:val="none" w:sz="0" w:space="0" w:color="auto"/>
        <w:bottom w:val="none" w:sz="0" w:space="0" w:color="auto"/>
        <w:right w:val="none" w:sz="0" w:space="0" w:color="auto"/>
      </w:divBdr>
      <w:divsChild>
        <w:div w:id="256450499">
          <w:marLeft w:val="1051"/>
          <w:marRight w:val="0"/>
          <w:marTop w:val="240"/>
          <w:marBottom w:val="0"/>
          <w:divBdr>
            <w:top w:val="none" w:sz="0" w:space="0" w:color="auto"/>
            <w:left w:val="none" w:sz="0" w:space="0" w:color="auto"/>
            <w:bottom w:val="none" w:sz="0" w:space="0" w:color="auto"/>
            <w:right w:val="none" w:sz="0" w:space="0" w:color="auto"/>
          </w:divBdr>
        </w:div>
        <w:div w:id="274361893">
          <w:marLeft w:val="994"/>
          <w:marRight w:val="0"/>
          <w:marTop w:val="240"/>
          <w:marBottom w:val="0"/>
          <w:divBdr>
            <w:top w:val="none" w:sz="0" w:space="0" w:color="auto"/>
            <w:left w:val="none" w:sz="0" w:space="0" w:color="auto"/>
            <w:bottom w:val="none" w:sz="0" w:space="0" w:color="auto"/>
            <w:right w:val="none" w:sz="0" w:space="0" w:color="auto"/>
          </w:divBdr>
        </w:div>
        <w:div w:id="976881147">
          <w:marLeft w:val="994"/>
          <w:marRight w:val="0"/>
          <w:marTop w:val="240"/>
          <w:marBottom w:val="0"/>
          <w:divBdr>
            <w:top w:val="none" w:sz="0" w:space="0" w:color="auto"/>
            <w:left w:val="none" w:sz="0" w:space="0" w:color="auto"/>
            <w:bottom w:val="none" w:sz="0" w:space="0" w:color="auto"/>
            <w:right w:val="none" w:sz="0" w:space="0" w:color="auto"/>
          </w:divBdr>
        </w:div>
        <w:div w:id="1122185423">
          <w:marLeft w:val="360"/>
          <w:marRight w:val="0"/>
          <w:marTop w:val="240"/>
          <w:marBottom w:val="0"/>
          <w:divBdr>
            <w:top w:val="none" w:sz="0" w:space="0" w:color="auto"/>
            <w:left w:val="none" w:sz="0" w:space="0" w:color="auto"/>
            <w:bottom w:val="none" w:sz="0" w:space="0" w:color="auto"/>
            <w:right w:val="none" w:sz="0" w:space="0" w:color="auto"/>
          </w:divBdr>
        </w:div>
        <w:div w:id="1612977380">
          <w:marLeft w:val="1051"/>
          <w:marRight w:val="0"/>
          <w:marTop w:val="240"/>
          <w:marBottom w:val="0"/>
          <w:divBdr>
            <w:top w:val="none" w:sz="0" w:space="0" w:color="auto"/>
            <w:left w:val="none" w:sz="0" w:space="0" w:color="auto"/>
            <w:bottom w:val="none" w:sz="0" w:space="0" w:color="auto"/>
            <w:right w:val="none" w:sz="0" w:space="0" w:color="auto"/>
          </w:divBdr>
        </w:div>
        <w:div w:id="1641884041">
          <w:marLeft w:val="1051"/>
          <w:marRight w:val="0"/>
          <w:marTop w:val="240"/>
          <w:marBottom w:val="0"/>
          <w:divBdr>
            <w:top w:val="none" w:sz="0" w:space="0" w:color="auto"/>
            <w:left w:val="none" w:sz="0" w:space="0" w:color="auto"/>
            <w:bottom w:val="none" w:sz="0" w:space="0" w:color="auto"/>
            <w:right w:val="none" w:sz="0" w:space="0" w:color="auto"/>
          </w:divBdr>
        </w:div>
        <w:div w:id="1876111012">
          <w:marLeft w:val="1051"/>
          <w:marRight w:val="0"/>
          <w:marTop w:val="240"/>
          <w:marBottom w:val="0"/>
          <w:divBdr>
            <w:top w:val="none" w:sz="0" w:space="0" w:color="auto"/>
            <w:left w:val="none" w:sz="0" w:space="0" w:color="auto"/>
            <w:bottom w:val="none" w:sz="0" w:space="0" w:color="auto"/>
            <w:right w:val="none" w:sz="0" w:space="0" w:color="auto"/>
          </w:divBdr>
        </w:div>
        <w:div w:id="2011442442">
          <w:marLeft w:val="1051"/>
          <w:marRight w:val="0"/>
          <w:marTop w:val="240"/>
          <w:marBottom w:val="0"/>
          <w:divBdr>
            <w:top w:val="none" w:sz="0" w:space="0" w:color="auto"/>
            <w:left w:val="none" w:sz="0" w:space="0" w:color="auto"/>
            <w:bottom w:val="none" w:sz="0" w:space="0" w:color="auto"/>
            <w:right w:val="none" w:sz="0" w:space="0" w:color="auto"/>
          </w:divBdr>
        </w:div>
      </w:divsChild>
    </w:div>
    <w:div w:id="428158165">
      <w:bodyDiv w:val="1"/>
      <w:marLeft w:val="0"/>
      <w:marRight w:val="0"/>
      <w:marTop w:val="0"/>
      <w:marBottom w:val="0"/>
      <w:divBdr>
        <w:top w:val="none" w:sz="0" w:space="0" w:color="auto"/>
        <w:left w:val="none" w:sz="0" w:space="0" w:color="auto"/>
        <w:bottom w:val="none" w:sz="0" w:space="0" w:color="auto"/>
        <w:right w:val="none" w:sz="0" w:space="0" w:color="auto"/>
      </w:divBdr>
    </w:div>
    <w:div w:id="434329911">
      <w:bodyDiv w:val="1"/>
      <w:marLeft w:val="0"/>
      <w:marRight w:val="0"/>
      <w:marTop w:val="0"/>
      <w:marBottom w:val="0"/>
      <w:divBdr>
        <w:top w:val="none" w:sz="0" w:space="0" w:color="auto"/>
        <w:left w:val="none" w:sz="0" w:space="0" w:color="auto"/>
        <w:bottom w:val="none" w:sz="0" w:space="0" w:color="auto"/>
        <w:right w:val="none" w:sz="0" w:space="0" w:color="auto"/>
      </w:divBdr>
    </w:div>
    <w:div w:id="440607274">
      <w:bodyDiv w:val="1"/>
      <w:marLeft w:val="0"/>
      <w:marRight w:val="0"/>
      <w:marTop w:val="0"/>
      <w:marBottom w:val="0"/>
      <w:divBdr>
        <w:top w:val="none" w:sz="0" w:space="0" w:color="auto"/>
        <w:left w:val="none" w:sz="0" w:space="0" w:color="auto"/>
        <w:bottom w:val="none" w:sz="0" w:space="0" w:color="auto"/>
        <w:right w:val="none" w:sz="0" w:space="0" w:color="auto"/>
      </w:divBdr>
    </w:div>
    <w:div w:id="441461216">
      <w:bodyDiv w:val="1"/>
      <w:marLeft w:val="0"/>
      <w:marRight w:val="0"/>
      <w:marTop w:val="0"/>
      <w:marBottom w:val="0"/>
      <w:divBdr>
        <w:top w:val="none" w:sz="0" w:space="0" w:color="auto"/>
        <w:left w:val="none" w:sz="0" w:space="0" w:color="auto"/>
        <w:bottom w:val="none" w:sz="0" w:space="0" w:color="auto"/>
        <w:right w:val="none" w:sz="0" w:space="0" w:color="auto"/>
      </w:divBdr>
    </w:div>
    <w:div w:id="462505402">
      <w:bodyDiv w:val="1"/>
      <w:marLeft w:val="0"/>
      <w:marRight w:val="0"/>
      <w:marTop w:val="0"/>
      <w:marBottom w:val="0"/>
      <w:divBdr>
        <w:top w:val="none" w:sz="0" w:space="0" w:color="auto"/>
        <w:left w:val="none" w:sz="0" w:space="0" w:color="auto"/>
        <w:bottom w:val="none" w:sz="0" w:space="0" w:color="auto"/>
        <w:right w:val="none" w:sz="0" w:space="0" w:color="auto"/>
      </w:divBdr>
      <w:divsChild>
        <w:div w:id="27726112">
          <w:marLeft w:val="274"/>
          <w:marRight w:val="0"/>
          <w:marTop w:val="0"/>
          <w:marBottom w:val="0"/>
          <w:divBdr>
            <w:top w:val="none" w:sz="0" w:space="0" w:color="auto"/>
            <w:left w:val="none" w:sz="0" w:space="0" w:color="auto"/>
            <w:bottom w:val="none" w:sz="0" w:space="0" w:color="auto"/>
            <w:right w:val="none" w:sz="0" w:space="0" w:color="auto"/>
          </w:divBdr>
        </w:div>
        <w:div w:id="58675834">
          <w:marLeft w:val="274"/>
          <w:marRight w:val="0"/>
          <w:marTop w:val="0"/>
          <w:marBottom w:val="0"/>
          <w:divBdr>
            <w:top w:val="none" w:sz="0" w:space="0" w:color="auto"/>
            <w:left w:val="none" w:sz="0" w:space="0" w:color="auto"/>
            <w:bottom w:val="none" w:sz="0" w:space="0" w:color="auto"/>
            <w:right w:val="none" w:sz="0" w:space="0" w:color="auto"/>
          </w:divBdr>
        </w:div>
        <w:div w:id="166018522">
          <w:marLeft w:val="274"/>
          <w:marRight w:val="0"/>
          <w:marTop w:val="0"/>
          <w:marBottom w:val="0"/>
          <w:divBdr>
            <w:top w:val="none" w:sz="0" w:space="0" w:color="auto"/>
            <w:left w:val="none" w:sz="0" w:space="0" w:color="auto"/>
            <w:bottom w:val="none" w:sz="0" w:space="0" w:color="auto"/>
            <w:right w:val="none" w:sz="0" w:space="0" w:color="auto"/>
          </w:divBdr>
        </w:div>
        <w:div w:id="253166871">
          <w:marLeft w:val="274"/>
          <w:marRight w:val="0"/>
          <w:marTop w:val="0"/>
          <w:marBottom w:val="0"/>
          <w:divBdr>
            <w:top w:val="none" w:sz="0" w:space="0" w:color="auto"/>
            <w:left w:val="none" w:sz="0" w:space="0" w:color="auto"/>
            <w:bottom w:val="none" w:sz="0" w:space="0" w:color="auto"/>
            <w:right w:val="none" w:sz="0" w:space="0" w:color="auto"/>
          </w:divBdr>
        </w:div>
        <w:div w:id="307975894">
          <w:marLeft w:val="274"/>
          <w:marRight w:val="0"/>
          <w:marTop w:val="0"/>
          <w:marBottom w:val="0"/>
          <w:divBdr>
            <w:top w:val="none" w:sz="0" w:space="0" w:color="auto"/>
            <w:left w:val="none" w:sz="0" w:space="0" w:color="auto"/>
            <w:bottom w:val="none" w:sz="0" w:space="0" w:color="auto"/>
            <w:right w:val="none" w:sz="0" w:space="0" w:color="auto"/>
          </w:divBdr>
        </w:div>
        <w:div w:id="341323895">
          <w:marLeft w:val="274"/>
          <w:marRight w:val="0"/>
          <w:marTop w:val="0"/>
          <w:marBottom w:val="0"/>
          <w:divBdr>
            <w:top w:val="none" w:sz="0" w:space="0" w:color="auto"/>
            <w:left w:val="none" w:sz="0" w:space="0" w:color="auto"/>
            <w:bottom w:val="none" w:sz="0" w:space="0" w:color="auto"/>
            <w:right w:val="none" w:sz="0" w:space="0" w:color="auto"/>
          </w:divBdr>
        </w:div>
        <w:div w:id="404690536">
          <w:marLeft w:val="274"/>
          <w:marRight w:val="0"/>
          <w:marTop w:val="0"/>
          <w:marBottom w:val="0"/>
          <w:divBdr>
            <w:top w:val="none" w:sz="0" w:space="0" w:color="auto"/>
            <w:left w:val="none" w:sz="0" w:space="0" w:color="auto"/>
            <w:bottom w:val="none" w:sz="0" w:space="0" w:color="auto"/>
            <w:right w:val="none" w:sz="0" w:space="0" w:color="auto"/>
          </w:divBdr>
        </w:div>
        <w:div w:id="490221059">
          <w:marLeft w:val="274"/>
          <w:marRight w:val="0"/>
          <w:marTop w:val="0"/>
          <w:marBottom w:val="0"/>
          <w:divBdr>
            <w:top w:val="none" w:sz="0" w:space="0" w:color="auto"/>
            <w:left w:val="none" w:sz="0" w:space="0" w:color="auto"/>
            <w:bottom w:val="none" w:sz="0" w:space="0" w:color="auto"/>
            <w:right w:val="none" w:sz="0" w:space="0" w:color="auto"/>
          </w:divBdr>
        </w:div>
        <w:div w:id="595141110">
          <w:marLeft w:val="274"/>
          <w:marRight w:val="0"/>
          <w:marTop w:val="0"/>
          <w:marBottom w:val="0"/>
          <w:divBdr>
            <w:top w:val="none" w:sz="0" w:space="0" w:color="auto"/>
            <w:left w:val="none" w:sz="0" w:space="0" w:color="auto"/>
            <w:bottom w:val="none" w:sz="0" w:space="0" w:color="auto"/>
            <w:right w:val="none" w:sz="0" w:space="0" w:color="auto"/>
          </w:divBdr>
        </w:div>
        <w:div w:id="624115888">
          <w:marLeft w:val="274"/>
          <w:marRight w:val="0"/>
          <w:marTop w:val="0"/>
          <w:marBottom w:val="0"/>
          <w:divBdr>
            <w:top w:val="none" w:sz="0" w:space="0" w:color="auto"/>
            <w:left w:val="none" w:sz="0" w:space="0" w:color="auto"/>
            <w:bottom w:val="none" w:sz="0" w:space="0" w:color="auto"/>
            <w:right w:val="none" w:sz="0" w:space="0" w:color="auto"/>
          </w:divBdr>
        </w:div>
        <w:div w:id="689720529">
          <w:marLeft w:val="274"/>
          <w:marRight w:val="0"/>
          <w:marTop w:val="0"/>
          <w:marBottom w:val="0"/>
          <w:divBdr>
            <w:top w:val="none" w:sz="0" w:space="0" w:color="auto"/>
            <w:left w:val="none" w:sz="0" w:space="0" w:color="auto"/>
            <w:bottom w:val="none" w:sz="0" w:space="0" w:color="auto"/>
            <w:right w:val="none" w:sz="0" w:space="0" w:color="auto"/>
          </w:divBdr>
        </w:div>
        <w:div w:id="783768501">
          <w:marLeft w:val="274"/>
          <w:marRight w:val="0"/>
          <w:marTop w:val="0"/>
          <w:marBottom w:val="0"/>
          <w:divBdr>
            <w:top w:val="none" w:sz="0" w:space="0" w:color="auto"/>
            <w:left w:val="none" w:sz="0" w:space="0" w:color="auto"/>
            <w:bottom w:val="none" w:sz="0" w:space="0" w:color="auto"/>
            <w:right w:val="none" w:sz="0" w:space="0" w:color="auto"/>
          </w:divBdr>
        </w:div>
        <w:div w:id="822351366">
          <w:marLeft w:val="274"/>
          <w:marRight w:val="0"/>
          <w:marTop w:val="0"/>
          <w:marBottom w:val="0"/>
          <w:divBdr>
            <w:top w:val="none" w:sz="0" w:space="0" w:color="auto"/>
            <w:left w:val="none" w:sz="0" w:space="0" w:color="auto"/>
            <w:bottom w:val="none" w:sz="0" w:space="0" w:color="auto"/>
            <w:right w:val="none" w:sz="0" w:space="0" w:color="auto"/>
          </w:divBdr>
        </w:div>
        <w:div w:id="872618144">
          <w:marLeft w:val="274"/>
          <w:marRight w:val="0"/>
          <w:marTop w:val="0"/>
          <w:marBottom w:val="0"/>
          <w:divBdr>
            <w:top w:val="none" w:sz="0" w:space="0" w:color="auto"/>
            <w:left w:val="none" w:sz="0" w:space="0" w:color="auto"/>
            <w:bottom w:val="none" w:sz="0" w:space="0" w:color="auto"/>
            <w:right w:val="none" w:sz="0" w:space="0" w:color="auto"/>
          </w:divBdr>
        </w:div>
        <w:div w:id="873810484">
          <w:marLeft w:val="274"/>
          <w:marRight w:val="0"/>
          <w:marTop w:val="0"/>
          <w:marBottom w:val="0"/>
          <w:divBdr>
            <w:top w:val="none" w:sz="0" w:space="0" w:color="auto"/>
            <w:left w:val="none" w:sz="0" w:space="0" w:color="auto"/>
            <w:bottom w:val="none" w:sz="0" w:space="0" w:color="auto"/>
            <w:right w:val="none" w:sz="0" w:space="0" w:color="auto"/>
          </w:divBdr>
        </w:div>
        <w:div w:id="879128892">
          <w:marLeft w:val="274"/>
          <w:marRight w:val="0"/>
          <w:marTop w:val="0"/>
          <w:marBottom w:val="0"/>
          <w:divBdr>
            <w:top w:val="none" w:sz="0" w:space="0" w:color="auto"/>
            <w:left w:val="none" w:sz="0" w:space="0" w:color="auto"/>
            <w:bottom w:val="none" w:sz="0" w:space="0" w:color="auto"/>
            <w:right w:val="none" w:sz="0" w:space="0" w:color="auto"/>
          </w:divBdr>
        </w:div>
        <w:div w:id="926884299">
          <w:marLeft w:val="274"/>
          <w:marRight w:val="0"/>
          <w:marTop w:val="0"/>
          <w:marBottom w:val="0"/>
          <w:divBdr>
            <w:top w:val="none" w:sz="0" w:space="0" w:color="auto"/>
            <w:left w:val="none" w:sz="0" w:space="0" w:color="auto"/>
            <w:bottom w:val="none" w:sz="0" w:space="0" w:color="auto"/>
            <w:right w:val="none" w:sz="0" w:space="0" w:color="auto"/>
          </w:divBdr>
        </w:div>
        <w:div w:id="1025713133">
          <w:marLeft w:val="274"/>
          <w:marRight w:val="0"/>
          <w:marTop w:val="0"/>
          <w:marBottom w:val="0"/>
          <w:divBdr>
            <w:top w:val="none" w:sz="0" w:space="0" w:color="auto"/>
            <w:left w:val="none" w:sz="0" w:space="0" w:color="auto"/>
            <w:bottom w:val="none" w:sz="0" w:space="0" w:color="auto"/>
            <w:right w:val="none" w:sz="0" w:space="0" w:color="auto"/>
          </w:divBdr>
        </w:div>
        <w:div w:id="1102843650">
          <w:marLeft w:val="274"/>
          <w:marRight w:val="0"/>
          <w:marTop w:val="0"/>
          <w:marBottom w:val="0"/>
          <w:divBdr>
            <w:top w:val="none" w:sz="0" w:space="0" w:color="auto"/>
            <w:left w:val="none" w:sz="0" w:space="0" w:color="auto"/>
            <w:bottom w:val="none" w:sz="0" w:space="0" w:color="auto"/>
            <w:right w:val="none" w:sz="0" w:space="0" w:color="auto"/>
          </w:divBdr>
        </w:div>
        <w:div w:id="1114710533">
          <w:marLeft w:val="274"/>
          <w:marRight w:val="0"/>
          <w:marTop w:val="0"/>
          <w:marBottom w:val="0"/>
          <w:divBdr>
            <w:top w:val="none" w:sz="0" w:space="0" w:color="auto"/>
            <w:left w:val="none" w:sz="0" w:space="0" w:color="auto"/>
            <w:bottom w:val="none" w:sz="0" w:space="0" w:color="auto"/>
            <w:right w:val="none" w:sz="0" w:space="0" w:color="auto"/>
          </w:divBdr>
        </w:div>
        <w:div w:id="1265503320">
          <w:marLeft w:val="274"/>
          <w:marRight w:val="0"/>
          <w:marTop w:val="0"/>
          <w:marBottom w:val="0"/>
          <w:divBdr>
            <w:top w:val="none" w:sz="0" w:space="0" w:color="auto"/>
            <w:left w:val="none" w:sz="0" w:space="0" w:color="auto"/>
            <w:bottom w:val="none" w:sz="0" w:space="0" w:color="auto"/>
            <w:right w:val="none" w:sz="0" w:space="0" w:color="auto"/>
          </w:divBdr>
        </w:div>
        <w:div w:id="1271815441">
          <w:marLeft w:val="274"/>
          <w:marRight w:val="0"/>
          <w:marTop w:val="0"/>
          <w:marBottom w:val="0"/>
          <w:divBdr>
            <w:top w:val="none" w:sz="0" w:space="0" w:color="auto"/>
            <w:left w:val="none" w:sz="0" w:space="0" w:color="auto"/>
            <w:bottom w:val="none" w:sz="0" w:space="0" w:color="auto"/>
            <w:right w:val="none" w:sz="0" w:space="0" w:color="auto"/>
          </w:divBdr>
        </w:div>
        <w:div w:id="1299872290">
          <w:marLeft w:val="274"/>
          <w:marRight w:val="0"/>
          <w:marTop w:val="0"/>
          <w:marBottom w:val="0"/>
          <w:divBdr>
            <w:top w:val="none" w:sz="0" w:space="0" w:color="auto"/>
            <w:left w:val="none" w:sz="0" w:space="0" w:color="auto"/>
            <w:bottom w:val="none" w:sz="0" w:space="0" w:color="auto"/>
            <w:right w:val="none" w:sz="0" w:space="0" w:color="auto"/>
          </w:divBdr>
        </w:div>
        <w:div w:id="1386442573">
          <w:marLeft w:val="274"/>
          <w:marRight w:val="0"/>
          <w:marTop w:val="0"/>
          <w:marBottom w:val="0"/>
          <w:divBdr>
            <w:top w:val="none" w:sz="0" w:space="0" w:color="auto"/>
            <w:left w:val="none" w:sz="0" w:space="0" w:color="auto"/>
            <w:bottom w:val="none" w:sz="0" w:space="0" w:color="auto"/>
            <w:right w:val="none" w:sz="0" w:space="0" w:color="auto"/>
          </w:divBdr>
        </w:div>
        <w:div w:id="1471363119">
          <w:marLeft w:val="274"/>
          <w:marRight w:val="0"/>
          <w:marTop w:val="0"/>
          <w:marBottom w:val="0"/>
          <w:divBdr>
            <w:top w:val="none" w:sz="0" w:space="0" w:color="auto"/>
            <w:left w:val="none" w:sz="0" w:space="0" w:color="auto"/>
            <w:bottom w:val="none" w:sz="0" w:space="0" w:color="auto"/>
            <w:right w:val="none" w:sz="0" w:space="0" w:color="auto"/>
          </w:divBdr>
        </w:div>
        <w:div w:id="1500461431">
          <w:marLeft w:val="274"/>
          <w:marRight w:val="0"/>
          <w:marTop w:val="0"/>
          <w:marBottom w:val="0"/>
          <w:divBdr>
            <w:top w:val="none" w:sz="0" w:space="0" w:color="auto"/>
            <w:left w:val="none" w:sz="0" w:space="0" w:color="auto"/>
            <w:bottom w:val="none" w:sz="0" w:space="0" w:color="auto"/>
            <w:right w:val="none" w:sz="0" w:space="0" w:color="auto"/>
          </w:divBdr>
        </w:div>
        <w:div w:id="1572811776">
          <w:marLeft w:val="274"/>
          <w:marRight w:val="0"/>
          <w:marTop w:val="0"/>
          <w:marBottom w:val="0"/>
          <w:divBdr>
            <w:top w:val="none" w:sz="0" w:space="0" w:color="auto"/>
            <w:left w:val="none" w:sz="0" w:space="0" w:color="auto"/>
            <w:bottom w:val="none" w:sz="0" w:space="0" w:color="auto"/>
            <w:right w:val="none" w:sz="0" w:space="0" w:color="auto"/>
          </w:divBdr>
        </w:div>
        <w:div w:id="1576892368">
          <w:marLeft w:val="274"/>
          <w:marRight w:val="0"/>
          <w:marTop w:val="0"/>
          <w:marBottom w:val="0"/>
          <w:divBdr>
            <w:top w:val="none" w:sz="0" w:space="0" w:color="auto"/>
            <w:left w:val="none" w:sz="0" w:space="0" w:color="auto"/>
            <w:bottom w:val="none" w:sz="0" w:space="0" w:color="auto"/>
            <w:right w:val="none" w:sz="0" w:space="0" w:color="auto"/>
          </w:divBdr>
        </w:div>
        <w:div w:id="1831361930">
          <w:marLeft w:val="274"/>
          <w:marRight w:val="0"/>
          <w:marTop w:val="0"/>
          <w:marBottom w:val="0"/>
          <w:divBdr>
            <w:top w:val="none" w:sz="0" w:space="0" w:color="auto"/>
            <w:left w:val="none" w:sz="0" w:space="0" w:color="auto"/>
            <w:bottom w:val="none" w:sz="0" w:space="0" w:color="auto"/>
            <w:right w:val="none" w:sz="0" w:space="0" w:color="auto"/>
          </w:divBdr>
        </w:div>
        <w:div w:id="1888177143">
          <w:marLeft w:val="274"/>
          <w:marRight w:val="0"/>
          <w:marTop w:val="0"/>
          <w:marBottom w:val="0"/>
          <w:divBdr>
            <w:top w:val="none" w:sz="0" w:space="0" w:color="auto"/>
            <w:left w:val="none" w:sz="0" w:space="0" w:color="auto"/>
            <w:bottom w:val="none" w:sz="0" w:space="0" w:color="auto"/>
            <w:right w:val="none" w:sz="0" w:space="0" w:color="auto"/>
          </w:divBdr>
        </w:div>
        <w:div w:id="1893345909">
          <w:marLeft w:val="274"/>
          <w:marRight w:val="0"/>
          <w:marTop w:val="0"/>
          <w:marBottom w:val="0"/>
          <w:divBdr>
            <w:top w:val="none" w:sz="0" w:space="0" w:color="auto"/>
            <w:left w:val="none" w:sz="0" w:space="0" w:color="auto"/>
            <w:bottom w:val="none" w:sz="0" w:space="0" w:color="auto"/>
            <w:right w:val="none" w:sz="0" w:space="0" w:color="auto"/>
          </w:divBdr>
        </w:div>
        <w:div w:id="1921868457">
          <w:marLeft w:val="274"/>
          <w:marRight w:val="0"/>
          <w:marTop w:val="0"/>
          <w:marBottom w:val="0"/>
          <w:divBdr>
            <w:top w:val="none" w:sz="0" w:space="0" w:color="auto"/>
            <w:left w:val="none" w:sz="0" w:space="0" w:color="auto"/>
            <w:bottom w:val="none" w:sz="0" w:space="0" w:color="auto"/>
            <w:right w:val="none" w:sz="0" w:space="0" w:color="auto"/>
          </w:divBdr>
        </w:div>
        <w:div w:id="1968733784">
          <w:marLeft w:val="274"/>
          <w:marRight w:val="0"/>
          <w:marTop w:val="0"/>
          <w:marBottom w:val="0"/>
          <w:divBdr>
            <w:top w:val="none" w:sz="0" w:space="0" w:color="auto"/>
            <w:left w:val="none" w:sz="0" w:space="0" w:color="auto"/>
            <w:bottom w:val="none" w:sz="0" w:space="0" w:color="auto"/>
            <w:right w:val="none" w:sz="0" w:space="0" w:color="auto"/>
          </w:divBdr>
        </w:div>
        <w:div w:id="1976175494">
          <w:marLeft w:val="274"/>
          <w:marRight w:val="0"/>
          <w:marTop w:val="0"/>
          <w:marBottom w:val="0"/>
          <w:divBdr>
            <w:top w:val="none" w:sz="0" w:space="0" w:color="auto"/>
            <w:left w:val="none" w:sz="0" w:space="0" w:color="auto"/>
            <w:bottom w:val="none" w:sz="0" w:space="0" w:color="auto"/>
            <w:right w:val="none" w:sz="0" w:space="0" w:color="auto"/>
          </w:divBdr>
        </w:div>
        <w:div w:id="2093117993">
          <w:marLeft w:val="274"/>
          <w:marRight w:val="0"/>
          <w:marTop w:val="0"/>
          <w:marBottom w:val="0"/>
          <w:divBdr>
            <w:top w:val="none" w:sz="0" w:space="0" w:color="auto"/>
            <w:left w:val="none" w:sz="0" w:space="0" w:color="auto"/>
            <w:bottom w:val="none" w:sz="0" w:space="0" w:color="auto"/>
            <w:right w:val="none" w:sz="0" w:space="0" w:color="auto"/>
          </w:divBdr>
        </w:div>
        <w:div w:id="2093962582">
          <w:marLeft w:val="274"/>
          <w:marRight w:val="0"/>
          <w:marTop w:val="0"/>
          <w:marBottom w:val="0"/>
          <w:divBdr>
            <w:top w:val="none" w:sz="0" w:space="0" w:color="auto"/>
            <w:left w:val="none" w:sz="0" w:space="0" w:color="auto"/>
            <w:bottom w:val="none" w:sz="0" w:space="0" w:color="auto"/>
            <w:right w:val="none" w:sz="0" w:space="0" w:color="auto"/>
          </w:divBdr>
        </w:div>
      </w:divsChild>
    </w:div>
    <w:div w:id="472411460">
      <w:bodyDiv w:val="1"/>
      <w:marLeft w:val="0"/>
      <w:marRight w:val="0"/>
      <w:marTop w:val="0"/>
      <w:marBottom w:val="0"/>
      <w:divBdr>
        <w:top w:val="none" w:sz="0" w:space="0" w:color="auto"/>
        <w:left w:val="none" w:sz="0" w:space="0" w:color="auto"/>
        <w:bottom w:val="none" w:sz="0" w:space="0" w:color="auto"/>
        <w:right w:val="none" w:sz="0" w:space="0" w:color="auto"/>
      </w:divBdr>
    </w:div>
    <w:div w:id="472604939">
      <w:bodyDiv w:val="1"/>
      <w:marLeft w:val="0"/>
      <w:marRight w:val="0"/>
      <w:marTop w:val="0"/>
      <w:marBottom w:val="0"/>
      <w:divBdr>
        <w:top w:val="none" w:sz="0" w:space="0" w:color="auto"/>
        <w:left w:val="none" w:sz="0" w:space="0" w:color="auto"/>
        <w:bottom w:val="none" w:sz="0" w:space="0" w:color="auto"/>
        <w:right w:val="none" w:sz="0" w:space="0" w:color="auto"/>
      </w:divBdr>
    </w:div>
    <w:div w:id="483007989">
      <w:bodyDiv w:val="1"/>
      <w:marLeft w:val="0"/>
      <w:marRight w:val="0"/>
      <w:marTop w:val="0"/>
      <w:marBottom w:val="0"/>
      <w:divBdr>
        <w:top w:val="none" w:sz="0" w:space="0" w:color="auto"/>
        <w:left w:val="none" w:sz="0" w:space="0" w:color="auto"/>
        <w:bottom w:val="none" w:sz="0" w:space="0" w:color="auto"/>
        <w:right w:val="none" w:sz="0" w:space="0" w:color="auto"/>
      </w:divBdr>
    </w:div>
    <w:div w:id="500506028">
      <w:bodyDiv w:val="1"/>
      <w:marLeft w:val="0"/>
      <w:marRight w:val="0"/>
      <w:marTop w:val="0"/>
      <w:marBottom w:val="0"/>
      <w:divBdr>
        <w:top w:val="none" w:sz="0" w:space="0" w:color="auto"/>
        <w:left w:val="none" w:sz="0" w:space="0" w:color="auto"/>
        <w:bottom w:val="none" w:sz="0" w:space="0" w:color="auto"/>
        <w:right w:val="none" w:sz="0" w:space="0" w:color="auto"/>
      </w:divBdr>
    </w:div>
    <w:div w:id="502817516">
      <w:bodyDiv w:val="1"/>
      <w:marLeft w:val="0"/>
      <w:marRight w:val="0"/>
      <w:marTop w:val="0"/>
      <w:marBottom w:val="0"/>
      <w:divBdr>
        <w:top w:val="none" w:sz="0" w:space="0" w:color="auto"/>
        <w:left w:val="none" w:sz="0" w:space="0" w:color="auto"/>
        <w:bottom w:val="none" w:sz="0" w:space="0" w:color="auto"/>
        <w:right w:val="none" w:sz="0" w:space="0" w:color="auto"/>
      </w:divBdr>
      <w:divsChild>
        <w:div w:id="774401713">
          <w:marLeft w:val="274"/>
          <w:marRight w:val="0"/>
          <w:marTop w:val="0"/>
          <w:marBottom w:val="120"/>
          <w:divBdr>
            <w:top w:val="none" w:sz="0" w:space="0" w:color="auto"/>
            <w:left w:val="none" w:sz="0" w:space="0" w:color="auto"/>
            <w:bottom w:val="none" w:sz="0" w:space="0" w:color="auto"/>
            <w:right w:val="none" w:sz="0" w:space="0" w:color="auto"/>
          </w:divBdr>
        </w:div>
        <w:div w:id="1599676758">
          <w:marLeft w:val="274"/>
          <w:marRight w:val="0"/>
          <w:marTop w:val="0"/>
          <w:marBottom w:val="120"/>
          <w:divBdr>
            <w:top w:val="none" w:sz="0" w:space="0" w:color="auto"/>
            <w:left w:val="none" w:sz="0" w:space="0" w:color="auto"/>
            <w:bottom w:val="none" w:sz="0" w:space="0" w:color="auto"/>
            <w:right w:val="none" w:sz="0" w:space="0" w:color="auto"/>
          </w:divBdr>
        </w:div>
      </w:divsChild>
    </w:div>
    <w:div w:id="524944024">
      <w:bodyDiv w:val="1"/>
      <w:marLeft w:val="0"/>
      <w:marRight w:val="0"/>
      <w:marTop w:val="0"/>
      <w:marBottom w:val="0"/>
      <w:divBdr>
        <w:top w:val="none" w:sz="0" w:space="0" w:color="auto"/>
        <w:left w:val="none" w:sz="0" w:space="0" w:color="auto"/>
        <w:bottom w:val="none" w:sz="0" w:space="0" w:color="auto"/>
        <w:right w:val="none" w:sz="0" w:space="0" w:color="auto"/>
      </w:divBdr>
    </w:div>
    <w:div w:id="528642550">
      <w:bodyDiv w:val="1"/>
      <w:marLeft w:val="0"/>
      <w:marRight w:val="0"/>
      <w:marTop w:val="0"/>
      <w:marBottom w:val="0"/>
      <w:divBdr>
        <w:top w:val="none" w:sz="0" w:space="0" w:color="auto"/>
        <w:left w:val="none" w:sz="0" w:space="0" w:color="auto"/>
        <w:bottom w:val="none" w:sz="0" w:space="0" w:color="auto"/>
        <w:right w:val="none" w:sz="0" w:space="0" w:color="auto"/>
      </w:divBdr>
      <w:divsChild>
        <w:div w:id="262228260">
          <w:marLeft w:val="274"/>
          <w:marRight w:val="0"/>
          <w:marTop w:val="0"/>
          <w:marBottom w:val="120"/>
          <w:divBdr>
            <w:top w:val="none" w:sz="0" w:space="0" w:color="auto"/>
            <w:left w:val="none" w:sz="0" w:space="0" w:color="auto"/>
            <w:bottom w:val="none" w:sz="0" w:space="0" w:color="auto"/>
            <w:right w:val="none" w:sz="0" w:space="0" w:color="auto"/>
          </w:divBdr>
        </w:div>
        <w:div w:id="474300129">
          <w:marLeft w:val="274"/>
          <w:marRight w:val="0"/>
          <w:marTop w:val="0"/>
          <w:marBottom w:val="120"/>
          <w:divBdr>
            <w:top w:val="none" w:sz="0" w:space="0" w:color="auto"/>
            <w:left w:val="none" w:sz="0" w:space="0" w:color="auto"/>
            <w:bottom w:val="none" w:sz="0" w:space="0" w:color="auto"/>
            <w:right w:val="none" w:sz="0" w:space="0" w:color="auto"/>
          </w:divBdr>
        </w:div>
        <w:div w:id="988361327">
          <w:marLeft w:val="274"/>
          <w:marRight w:val="0"/>
          <w:marTop w:val="0"/>
          <w:marBottom w:val="120"/>
          <w:divBdr>
            <w:top w:val="none" w:sz="0" w:space="0" w:color="auto"/>
            <w:left w:val="none" w:sz="0" w:space="0" w:color="auto"/>
            <w:bottom w:val="none" w:sz="0" w:space="0" w:color="auto"/>
            <w:right w:val="none" w:sz="0" w:space="0" w:color="auto"/>
          </w:divBdr>
        </w:div>
        <w:div w:id="1246575374">
          <w:marLeft w:val="274"/>
          <w:marRight w:val="0"/>
          <w:marTop w:val="0"/>
          <w:marBottom w:val="120"/>
          <w:divBdr>
            <w:top w:val="none" w:sz="0" w:space="0" w:color="auto"/>
            <w:left w:val="none" w:sz="0" w:space="0" w:color="auto"/>
            <w:bottom w:val="none" w:sz="0" w:space="0" w:color="auto"/>
            <w:right w:val="none" w:sz="0" w:space="0" w:color="auto"/>
          </w:divBdr>
        </w:div>
      </w:divsChild>
    </w:div>
    <w:div w:id="537089956">
      <w:bodyDiv w:val="1"/>
      <w:marLeft w:val="0"/>
      <w:marRight w:val="0"/>
      <w:marTop w:val="0"/>
      <w:marBottom w:val="0"/>
      <w:divBdr>
        <w:top w:val="none" w:sz="0" w:space="0" w:color="auto"/>
        <w:left w:val="none" w:sz="0" w:space="0" w:color="auto"/>
        <w:bottom w:val="none" w:sz="0" w:space="0" w:color="auto"/>
        <w:right w:val="none" w:sz="0" w:space="0" w:color="auto"/>
      </w:divBdr>
    </w:div>
    <w:div w:id="537278619">
      <w:bodyDiv w:val="1"/>
      <w:marLeft w:val="0"/>
      <w:marRight w:val="0"/>
      <w:marTop w:val="0"/>
      <w:marBottom w:val="0"/>
      <w:divBdr>
        <w:top w:val="none" w:sz="0" w:space="0" w:color="auto"/>
        <w:left w:val="none" w:sz="0" w:space="0" w:color="auto"/>
        <w:bottom w:val="none" w:sz="0" w:space="0" w:color="auto"/>
        <w:right w:val="none" w:sz="0" w:space="0" w:color="auto"/>
      </w:divBdr>
    </w:div>
    <w:div w:id="539980034">
      <w:bodyDiv w:val="1"/>
      <w:marLeft w:val="0"/>
      <w:marRight w:val="0"/>
      <w:marTop w:val="0"/>
      <w:marBottom w:val="0"/>
      <w:divBdr>
        <w:top w:val="none" w:sz="0" w:space="0" w:color="auto"/>
        <w:left w:val="none" w:sz="0" w:space="0" w:color="auto"/>
        <w:bottom w:val="none" w:sz="0" w:space="0" w:color="auto"/>
        <w:right w:val="none" w:sz="0" w:space="0" w:color="auto"/>
      </w:divBdr>
    </w:div>
    <w:div w:id="540023333">
      <w:bodyDiv w:val="1"/>
      <w:marLeft w:val="0"/>
      <w:marRight w:val="0"/>
      <w:marTop w:val="0"/>
      <w:marBottom w:val="0"/>
      <w:divBdr>
        <w:top w:val="none" w:sz="0" w:space="0" w:color="auto"/>
        <w:left w:val="none" w:sz="0" w:space="0" w:color="auto"/>
        <w:bottom w:val="none" w:sz="0" w:space="0" w:color="auto"/>
        <w:right w:val="none" w:sz="0" w:space="0" w:color="auto"/>
      </w:divBdr>
    </w:div>
    <w:div w:id="540942731">
      <w:bodyDiv w:val="1"/>
      <w:marLeft w:val="0"/>
      <w:marRight w:val="0"/>
      <w:marTop w:val="0"/>
      <w:marBottom w:val="0"/>
      <w:divBdr>
        <w:top w:val="none" w:sz="0" w:space="0" w:color="auto"/>
        <w:left w:val="none" w:sz="0" w:space="0" w:color="auto"/>
        <w:bottom w:val="none" w:sz="0" w:space="0" w:color="auto"/>
        <w:right w:val="none" w:sz="0" w:space="0" w:color="auto"/>
      </w:divBdr>
      <w:divsChild>
        <w:div w:id="673843251">
          <w:marLeft w:val="274"/>
          <w:marRight w:val="0"/>
          <w:marTop w:val="0"/>
          <w:marBottom w:val="109"/>
          <w:divBdr>
            <w:top w:val="none" w:sz="0" w:space="0" w:color="auto"/>
            <w:left w:val="none" w:sz="0" w:space="0" w:color="auto"/>
            <w:bottom w:val="none" w:sz="0" w:space="0" w:color="auto"/>
            <w:right w:val="none" w:sz="0" w:space="0" w:color="auto"/>
          </w:divBdr>
        </w:div>
        <w:div w:id="885484207">
          <w:marLeft w:val="274"/>
          <w:marRight w:val="0"/>
          <w:marTop w:val="0"/>
          <w:marBottom w:val="109"/>
          <w:divBdr>
            <w:top w:val="none" w:sz="0" w:space="0" w:color="auto"/>
            <w:left w:val="none" w:sz="0" w:space="0" w:color="auto"/>
            <w:bottom w:val="none" w:sz="0" w:space="0" w:color="auto"/>
            <w:right w:val="none" w:sz="0" w:space="0" w:color="auto"/>
          </w:divBdr>
        </w:div>
        <w:div w:id="1550263569">
          <w:marLeft w:val="274"/>
          <w:marRight w:val="0"/>
          <w:marTop w:val="0"/>
          <w:marBottom w:val="109"/>
          <w:divBdr>
            <w:top w:val="none" w:sz="0" w:space="0" w:color="auto"/>
            <w:left w:val="none" w:sz="0" w:space="0" w:color="auto"/>
            <w:bottom w:val="none" w:sz="0" w:space="0" w:color="auto"/>
            <w:right w:val="none" w:sz="0" w:space="0" w:color="auto"/>
          </w:divBdr>
        </w:div>
      </w:divsChild>
    </w:div>
    <w:div w:id="551115565">
      <w:bodyDiv w:val="1"/>
      <w:marLeft w:val="0"/>
      <w:marRight w:val="0"/>
      <w:marTop w:val="0"/>
      <w:marBottom w:val="0"/>
      <w:divBdr>
        <w:top w:val="none" w:sz="0" w:space="0" w:color="auto"/>
        <w:left w:val="none" w:sz="0" w:space="0" w:color="auto"/>
        <w:bottom w:val="none" w:sz="0" w:space="0" w:color="auto"/>
        <w:right w:val="none" w:sz="0" w:space="0" w:color="auto"/>
      </w:divBdr>
      <w:divsChild>
        <w:div w:id="533616156">
          <w:marLeft w:val="274"/>
          <w:marRight w:val="0"/>
          <w:marTop w:val="0"/>
          <w:marBottom w:val="60"/>
          <w:divBdr>
            <w:top w:val="none" w:sz="0" w:space="0" w:color="auto"/>
            <w:left w:val="none" w:sz="0" w:space="0" w:color="auto"/>
            <w:bottom w:val="none" w:sz="0" w:space="0" w:color="auto"/>
            <w:right w:val="none" w:sz="0" w:space="0" w:color="auto"/>
          </w:divBdr>
        </w:div>
        <w:div w:id="893928799">
          <w:marLeft w:val="274"/>
          <w:marRight w:val="0"/>
          <w:marTop w:val="0"/>
          <w:marBottom w:val="60"/>
          <w:divBdr>
            <w:top w:val="none" w:sz="0" w:space="0" w:color="auto"/>
            <w:left w:val="none" w:sz="0" w:space="0" w:color="auto"/>
            <w:bottom w:val="none" w:sz="0" w:space="0" w:color="auto"/>
            <w:right w:val="none" w:sz="0" w:space="0" w:color="auto"/>
          </w:divBdr>
        </w:div>
        <w:div w:id="1325283186">
          <w:marLeft w:val="274"/>
          <w:marRight w:val="0"/>
          <w:marTop w:val="0"/>
          <w:marBottom w:val="60"/>
          <w:divBdr>
            <w:top w:val="none" w:sz="0" w:space="0" w:color="auto"/>
            <w:left w:val="none" w:sz="0" w:space="0" w:color="auto"/>
            <w:bottom w:val="none" w:sz="0" w:space="0" w:color="auto"/>
            <w:right w:val="none" w:sz="0" w:space="0" w:color="auto"/>
          </w:divBdr>
        </w:div>
        <w:div w:id="1366365954">
          <w:marLeft w:val="274"/>
          <w:marRight w:val="0"/>
          <w:marTop w:val="0"/>
          <w:marBottom w:val="60"/>
          <w:divBdr>
            <w:top w:val="none" w:sz="0" w:space="0" w:color="auto"/>
            <w:left w:val="none" w:sz="0" w:space="0" w:color="auto"/>
            <w:bottom w:val="none" w:sz="0" w:space="0" w:color="auto"/>
            <w:right w:val="none" w:sz="0" w:space="0" w:color="auto"/>
          </w:divBdr>
        </w:div>
        <w:div w:id="1544512694">
          <w:marLeft w:val="274"/>
          <w:marRight w:val="0"/>
          <w:marTop w:val="0"/>
          <w:marBottom w:val="60"/>
          <w:divBdr>
            <w:top w:val="none" w:sz="0" w:space="0" w:color="auto"/>
            <w:left w:val="none" w:sz="0" w:space="0" w:color="auto"/>
            <w:bottom w:val="none" w:sz="0" w:space="0" w:color="auto"/>
            <w:right w:val="none" w:sz="0" w:space="0" w:color="auto"/>
          </w:divBdr>
        </w:div>
        <w:div w:id="1625191483">
          <w:marLeft w:val="274"/>
          <w:marRight w:val="0"/>
          <w:marTop w:val="0"/>
          <w:marBottom w:val="60"/>
          <w:divBdr>
            <w:top w:val="none" w:sz="0" w:space="0" w:color="auto"/>
            <w:left w:val="none" w:sz="0" w:space="0" w:color="auto"/>
            <w:bottom w:val="none" w:sz="0" w:space="0" w:color="auto"/>
            <w:right w:val="none" w:sz="0" w:space="0" w:color="auto"/>
          </w:divBdr>
        </w:div>
      </w:divsChild>
    </w:div>
    <w:div w:id="578489053">
      <w:bodyDiv w:val="1"/>
      <w:marLeft w:val="0"/>
      <w:marRight w:val="0"/>
      <w:marTop w:val="0"/>
      <w:marBottom w:val="0"/>
      <w:divBdr>
        <w:top w:val="none" w:sz="0" w:space="0" w:color="auto"/>
        <w:left w:val="none" w:sz="0" w:space="0" w:color="auto"/>
        <w:bottom w:val="none" w:sz="0" w:space="0" w:color="auto"/>
        <w:right w:val="none" w:sz="0" w:space="0" w:color="auto"/>
      </w:divBdr>
    </w:div>
    <w:div w:id="587661688">
      <w:bodyDiv w:val="1"/>
      <w:marLeft w:val="0"/>
      <w:marRight w:val="0"/>
      <w:marTop w:val="0"/>
      <w:marBottom w:val="0"/>
      <w:divBdr>
        <w:top w:val="none" w:sz="0" w:space="0" w:color="auto"/>
        <w:left w:val="none" w:sz="0" w:space="0" w:color="auto"/>
        <w:bottom w:val="none" w:sz="0" w:space="0" w:color="auto"/>
        <w:right w:val="none" w:sz="0" w:space="0" w:color="auto"/>
      </w:divBdr>
      <w:divsChild>
        <w:div w:id="259072334">
          <w:marLeft w:val="274"/>
          <w:marRight w:val="0"/>
          <w:marTop w:val="40"/>
          <w:marBottom w:val="40"/>
          <w:divBdr>
            <w:top w:val="none" w:sz="0" w:space="0" w:color="auto"/>
            <w:left w:val="none" w:sz="0" w:space="0" w:color="auto"/>
            <w:bottom w:val="none" w:sz="0" w:space="0" w:color="auto"/>
            <w:right w:val="none" w:sz="0" w:space="0" w:color="auto"/>
          </w:divBdr>
        </w:div>
        <w:div w:id="369456400">
          <w:marLeft w:val="274"/>
          <w:marRight w:val="0"/>
          <w:marTop w:val="40"/>
          <w:marBottom w:val="40"/>
          <w:divBdr>
            <w:top w:val="none" w:sz="0" w:space="0" w:color="auto"/>
            <w:left w:val="none" w:sz="0" w:space="0" w:color="auto"/>
            <w:bottom w:val="none" w:sz="0" w:space="0" w:color="auto"/>
            <w:right w:val="none" w:sz="0" w:space="0" w:color="auto"/>
          </w:divBdr>
        </w:div>
        <w:div w:id="1093210918">
          <w:marLeft w:val="274"/>
          <w:marRight w:val="0"/>
          <w:marTop w:val="40"/>
          <w:marBottom w:val="40"/>
          <w:divBdr>
            <w:top w:val="none" w:sz="0" w:space="0" w:color="auto"/>
            <w:left w:val="none" w:sz="0" w:space="0" w:color="auto"/>
            <w:bottom w:val="none" w:sz="0" w:space="0" w:color="auto"/>
            <w:right w:val="none" w:sz="0" w:space="0" w:color="auto"/>
          </w:divBdr>
        </w:div>
        <w:div w:id="1114715640">
          <w:marLeft w:val="274"/>
          <w:marRight w:val="0"/>
          <w:marTop w:val="40"/>
          <w:marBottom w:val="40"/>
          <w:divBdr>
            <w:top w:val="none" w:sz="0" w:space="0" w:color="auto"/>
            <w:left w:val="none" w:sz="0" w:space="0" w:color="auto"/>
            <w:bottom w:val="none" w:sz="0" w:space="0" w:color="auto"/>
            <w:right w:val="none" w:sz="0" w:space="0" w:color="auto"/>
          </w:divBdr>
        </w:div>
        <w:div w:id="1265529383">
          <w:marLeft w:val="274"/>
          <w:marRight w:val="0"/>
          <w:marTop w:val="40"/>
          <w:marBottom w:val="40"/>
          <w:divBdr>
            <w:top w:val="none" w:sz="0" w:space="0" w:color="auto"/>
            <w:left w:val="none" w:sz="0" w:space="0" w:color="auto"/>
            <w:bottom w:val="none" w:sz="0" w:space="0" w:color="auto"/>
            <w:right w:val="none" w:sz="0" w:space="0" w:color="auto"/>
          </w:divBdr>
        </w:div>
        <w:div w:id="1271165953">
          <w:marLeft w:val="274"/>
          <w:marRight w:val="0"/>
          <w:marTop w:val="40"/>
          <w:marBottom w:val="40"/>
          <w:divBdr>
            <w:top w:val="none" w:sz="0" w:space="0" w:color="auto"/>
            <w:left w:val="none" w:sz="0" w:space="0" w:color="auto"/>
            <w:bottom w:val="none" w:sz="0" w:space="0" w:color="auto"/>
            <w:right w:val="none" w:sz="0" w:space="0" w:color="auto"/>
          </w:divBdr>
        </w:div>
        <w:div w:id="1522668329">
          <w:marLeft w:val="274"/>
          <w:marRight w:val="0"/>
          <w:marTop w:val="40"/>
          <w:marBottom w:val="40"/>
          <w:divBdr>
            <w:top w:val="none" w:sz="0" w:space="0" w:color="auto"/>
            <w:left w:val="none" w:sz="0" w:space="0" w:color="auto"/>
            <w:bottom w:val="none" w:sz="0" w:space="0" w:color="auto"/>
            <w:right w:val="none" w:sz="0" w:space="0" w:color="auto"/>
          </w:divBdr>
        </w:div>
        <w:div w:id="1583491363">
          <w:marLeft w:val="274"/>
          <w:marRight w:val="0"/>
          <w:marTop w:val="40"/>
          <w:marBottom w:val="40"/>
          <w:divBdr>
            <w:top w:val="none" w:sz="0" w:space="0" w:color="auto"/>
            <w:left w:val="none" w:sz="0" w:space="0" w:color="auto"/>
            <w:bottom w:val="none" w:sz="0" w:space="0" w:color="auto"/>
            <w:right w:val="none" w:sz="0" w:space="0" w:color="auto"/>
          </w:divBdr>
        </w:div>
        <w:div w:id="1693141292">
          <w:marLeft w:val="274"/>
          <w:marRight w:val="0"/>
          <w:marTop w:val="40"/>
          <w:marBottom w:val="40"/>
          <w:divBdr>
            <w:top w:val="none" w:sz="0" w:space="0" w:color="auto"/>
            <w:left w:val="none" w:sz="0" w:space="0" w:color="auto"/>
            <w:bottom w:val="none" w:sz="0" w:space="0" w:color="auto"/>
            <w:right w:val="none" w:sz="0" w:space="0" w:color="auto"/>
          </w:divBdr>
        </w:div>
        <w:div w:id="1792164722">
          <w:marLeft w:val="274"/>
          <w:marRight w:val="0"/>
          <w:marTop w:val="40"/>
          <w:marBottom w:val="40"/>
          <w:divBdr>
            <w:top w:val="none" w:sz="0" w:space="0" w:color="auto"/>
            <w:left w:val="none" w:sz="0" w:space="0" w:color="auto"/>
            <w:bottom w:val="none" w:sz="0" w:space="0" w:color="auto"/>
            <w:right w:val="none" w:sz="0" w:space="0" w:color="auto"/>
          </w:divBdr>
        </w:div>
      </w:divsChild>
    </w:div>
    <w:div w:id="601959272">
      <w:bodyDiv w:val="1"/>
      <w:marLeft w:val="0"/>
      <w:marRight w:val="0"/>
      <w:marTop w:val="0"/>
      <w:marBottom w:val="0"/>
      <w:divBdr>
        <w:top w:val="none" w:sz="0" w:space="0" w:color="auto"/>
        <w:left w:val="none" w:sz="0" w:space="0" w:color="auto"/>
        <w:bottom w:val="none" w:sz="0" w:space="0" w:color="auto"/>
        <w:right w:val="none" w:sz="0" w:space="0" w:color="auto"/>
      </w:divBdr>
    </w:div>
    <w:div w:id="607782591">
      <w:bodyDiv w:val="1"/>
      <w:marLeft w:val="0"/>
      <w:marRight w:val="0"/>
      <w:marTop w:val="0"/>
      <w:marBottom w:val="0"/>
      <w:divBdr>
        <w:top w:val="none" w:sz="0" w:space="0" w:color="auto"/>
        <w:left w:val="none" w:sz="0" w:space="0" w:color="auto"/>
        <w:bottom w:val="none" w:sz="0" w:space="0" w:color="auto"/>
        <w:right w:val="none" w:sz="0" w:space="0" w:color="auto"/>
      </w:divBdr>
    </w:div>
    <w:div w:id="623344395">
      <w:bodyDiv w:val="1"/>
      <w:marLeft w:val="0"/>
      <w:marRight w:val="0"/>
      <w:marTop w:val="0"/>
      <w:marBottom w:val="0"/>
      <w:divBdr>
        <w:top w:val="none" w:sz="0" w:space="0" w:color="auto"/>
        <w:left w:val="none" w:sz="0" w:space="0" w:color="auto"/>
        <w:bottom w:val="none" w:sz="0" w:space="0" w:color="auto"/>
        <w:right w:val="none" w:sz="0" w:space="0" w:color="auto"/>
      </w:divBdr>
    </w:div>
    <w:div w:id="629163562">
      <w:bodyDiv w:val="1"/>
      <w:marLeft w:val="0"/>
      <w:marRight w:val="0"/>
      <w:marTop w:val="0"/>
      <w:marBottom w:val="0"/>
      <w:divBdr>
        <w:top w:val="none" w:sz="0" w:space="0" w:color="auto"/>
        <w:left w:val="none" w:sz="0" w:space="0" w:color="auto"/>
        <w:bottom w:val="none" w:sz="0" w:space="0" w:color="auto"/>
        <w:right w:val="none" w:sz="0" w:space="0" w:color="auto"/>
      </w:divBdr>
    </w:div>
    <w:div w:id="640110288">
      <w:bodyDiv w:val="1"/>
      <w:marLeft w:val="0"/>
      <w:marRight w:val="0"/>
      <w:marTop w:val="0"/>
      <w:marBottom w:val="0"/>
      <w:divBdr>
        <w:top w:val="none" w:sz="0" w:space="0" w:color="auto"/>
        <w:left w:val="none" w:sz="0" w:space="0" w:color="auto"/>
        <w:bottom w:val="none" w:sz="0" w:space="0" w:color="auto"/>
        <w:right w:val="none" w:sz="0" w:space="0" w:color="auto"/>
      </w:divBdr>
    </w:div>
    <w:div w:id="651763642">
      <w:bodyDiv w:val="1"/>
      <w:marLeft w:val="0"/>
      <w:marRight w:val="0"/>
      <w:marTop w:val="0"/>
      <w:marBottom w:val="0"/>
      <w:divBdr>
        <w:top w:val="none" w:sz="0" w:space="0" w:color="auto"/>
        <w:left w:val="none" w:sz="0" w:space="0" w:color="auto"/>
        <w:bottom w:val="none" w:sz="0" w:space="0" w:color="auto"/>
        <w:right w:val="none" w:sz="0" w:space="0" w:color="auto"/>
      </w:divBdr>
    </w:div>
    <w:div w:id="675114896">
      <w:bodyDiv w:val="1"/>
      <w:marLeft w:val="0"/>
      <w:marRight w:val="0"/>
      <w:marTop w:val="0"/>
      <w:marBottom w:val="0"/>
      <w:divBdr>
        <w:top w:val="none" w:sz="0" w:space="0" w:color="auto"/>
        <w:left w:val="none" w:sz="0" w:space="0" w:color="auto"/>
        <w:bottom w:val="none" w:sz="0" w:space="0" w:color="auto"/>
        <w:right w:val="none" w:sz="0" w:space="0" w:color="auto"/>
      </w:divBdr>
    </w:div>
    <w:div w:id="689184429">
      <w:bodyDiv w:val="1"/>
      <w:marLeft w:val="0"/>
      <w:marRight w:val="0"/>
      <w:marTop w:val="0"/>
      <w:marBottom w:val="0"/>
      <w:divBdr>
        <w:top w:val="none" w:sz="0" w:space="0" w:color="auto"/>
        <w:left w:val="none" w:sz="0" w:space="0" w:color="auto"/>
        <w:bottom w:val="none" w:sz="0" w:space="0" w:color="auto"/>
        <w:right w:val="none" w:sz="0" w:space="0" w:color="auto"/>
      </w:divBdr>
    </w:div>
    <w:div w:id="697050503">
      <w:bodyDiv w:val="1"/>
      <w:marLeft w:val="0"/>
      <w:marRight w:val="0"/>
      <w:marTop w:val="0"/>
      <w:marBottom w:val="0"/>
      <w:divBdr>
        <w:top w:val="none" w:sz="0" w:space="0" w:color="auto"/>
        <w:left w:val="none" w:sz="0" w:space="0" w:color="auto"/>
        <w:bottom w:val="none" w:sz="0" w:space="0" w:color="auto"/>
        <w:right w:val="none" w:sz="0" w:space="0" w:color="auto"/>
      </w:divBdr>
    </w:div>
    <w:div w:id="706570122">
      <w:bodyDiv w:val="1"/>
      <w:marLeft w:val="0"/>
      <w:marRight w:val="0"/>
      <w:marTop w:val="0"/>
      <w:marBottom w:val="0"/>
      <w:divBdr>
        <w:top w:val="none" w:sz="0" w:space="0" w:color="auto"/>
        <w:left w:val="none" w:sz="0" w:space="0" w:color="auto"/>
        <w:bottom w:val="none" w:sz="0" w:space="0" w:color="auto"/>
        <w:right w:val="none" w:sz="0" w:space="0" w:color="auto"/>
      </w:divBdr>
      <w:divsChild>
        <w:div w:id="104348348">
          <w:marLeft w:val="720"/>
          <w:marRight w:val="0"/>
          <w:marTop w:val="0"/>
          <w:marBottom w:val="0"/>
          <w:divBdr>
            <w:top w:val="none" w:sz="0" w:space="0" w:color="auto"/>
            <w:left w:val="none" w:sz="0" w:space="0" w:color="auto"/>
            <w:bottom w:val="none" w:sz="0" w:space="0" w:color="auto"/>
            <w:right w:val="none" w:sz="0" w:space="0" w:color="auto"/>
          </w:divBdr>
        </w:div>
        <w:div w:id="336227811">
          <w:marLeft w:val="720"/>
          <w:marRight w:val="0"/>
          <w:marTop w:val="0"/>
          <w:marBottom w:val="0"/>
          <w:divBdr>
            <w:top w:val="none" w:sz="0" w:space="0" w:color="auto"/>
            <w:left w:val="none" w:sz="0" w:space="0" w:color="auto"/>
            <w:bottom w:val="none" w:sz="0" w:space="0" w:color="auto"/>
            <w:right w:val="none" w:sz="0" w:space="0" w:color="auto"/>
          </w:divBdr>
        </w:div>
        <w:div w:id="648363885">
          <w:marLeft w:val="720"/>
          <w:marRight w:val="0"/>
          <w:marTop w:val="0"/>
          <w:marBottom w:val="0"/>
          <w:divBdr>
            <w:top w:val="none" w:sz="0" w:space="0" w:color="auto"/>
            <w:left w:val="none" w:sz="0" w:space="0" w:color="auto"/>
            <w:bottom w:val="none" w:sz="0" w:space="0" w:color="auto"/>
            <w:right w:val="none" w:sz="0" w:space="0" w:color="auto"/>
          </w:divBdr>
        </w:div>
        <w:div w:id="1099444015">
          <w:marLeft w:val="720"/>
          <w:marRight w:val="0"/>
          <w:marTop w:val="0"/>
          <w:marBottom w:val="0"/>
          <w:divBdr>
            <w:top w:val="none" w:sz="0" w:space="0" w:color="auto"/>
            <w:left w:val="none" w:sz="0" w:space="0" w:color="auto"/>
            <w:bottom w:val="none" w:sz="0" w:space="0" w:color="auto"/>
            <w:right w:val="none" w:sz="0" w:space="0" w:color="auto"/>
          </w:divBdr>
        </w:div>
        <w:div w:id="1499151853">
          <w:marLeft w:val="720"/>
          <w:marRight w:val="0"/>
          <w:marTop w:val="0"/>
          <w:marBottom w:val="0"/>
          <w:divBdr>
            <w:top w:val="none" w:sz="0" w:space="0" w:color="auto"/>
            <w:left w:val="none" w:sz="0" w:space="0" w:color="auto"/>
            <w:bottom w:val="none" w:sz="0" w:space="0" w:color="auto"/>
            <w:right w:val="none" w:sz="0" w:space="0" w:color="auto"/>
          </w:divBdr>
        </w:div>
        <w:div w:id="1636135586">
          <w:marLeft w:val="720"/>
          <w:marRight w:val="0"/>
          <w:marTop w:val="0"/>
          <w:marBottom w:val="0"/>
          <w:divBdr>
            <w:top w:val="none" w:sz="0" w:space="0" w:color="auto"/>
            <w:left w:val="none" w:sz="0" w:space="0" w:color="auto"/>
            <w:bottom w:val="none" w:sz="0" w:space="0" w:color="auto"/>
            <w:right w:val="none" w:sz="0" w:space="0" w:color="auto"/>
          </w:divBdr>
        </w:div>
        <w:div w:id="1903829060">
          <w:marLeft w:val="720"/>
          <w:marRight w:val="0"/>
          <w:marTop w:val="0"/>
          <w:marBottom w:val="0"/>
          <w:divBdr>
            <w:top w:val="none" w:sz="0" w:space="0" w:color="auto"/>
            <w:left w:val="none" w:sz="0" w:space="0" w:color="auto"/>
            <w:bottom w:val="none" w:sz="0" w:space="0" w:color="auto"/>
            <w:right w:val="none" w:sz="0" w:space="0" w:color="auto"/>
          </w:divBdr>
        </w:div>
        <w:div w:id="2056269773">
          <w:marLeft w:val="720"/>
          <w:marRight w:val="0"/>
          <w:marTop w:val="0"/>
          <w:marBottom w:val="0"/>
          <w:divBdr>
            <w:top w:val="none" w:sz="0" w:space="0" w:color="auto"/>
            <w:left w:val="none" w:sz="0" w:space="0" w:color="auto"/>
            <w:bottom w:val="none" w:sz="0" w:space="0" w:color="auto"/>
            <w:right w:val="none" w:sz="0" w:space="0" w:color="auto"/>
          </w:divBdr>
        </w:div>
        <w:div w:id="2060549885">
          <w:marLeft w:val="720"/>
          <w:marRight w:val="0"/>
          <w:marTop w:val="0"/>
          <w:marBottom w:val="0"/>
          <w:divBdr>
            <w:top w:val="none" w:sz="0" w:space="0" w:color="auto"/>
            <w:left w:val="none" w:sz="0" w:space="0" w:color="auto"/>
            <w:bottom w:val="none" w:sz="0" w:space="0" w:color="auto"/>
            <w:right w:val="none" w:sz="0" w:space="0" w:color="auto"/>
          </w:divBdr>
        </w:div>
      </w:divsChild>
    </w:div>
    <w:div w:id="715356666">
      <w:bodyDiv w:val="1"/>
      <w:marLeft w:val="0"/>
      <w:marRight w:val="0"/>
      <w:marTop w:val="0"/>
      <w:marBottom w:val="0"/>
      <w:divBdr>
        <w:top w:val="none" w:sz="0" w:space="0" w:color="auto"/>
        <w:left w:val="none" w:sz="0" w:space="0" w:color="auto"/>
        <w:bottom w:val="none" w:sz="0" w:space="0" w:color="auto"/>
        <w:right w:val="none" w:sz="0" w:space="0" w:color="auto"/>
      </w:divBdr>
    </w:div>
    <w:div w:id="735590544">
      <w:bodyDiv w:val="1"/>
      <w:marLeft w:val="0"/>
      <w:marRight w:val="0"/>
      <w:marTop w:val="0"/>
      <w:marBottom w:val="0"/>
      <w:divBdr>
        <w:top w:val="none" w:sz="0" w:space="0" w:color="auto"/>
        <w:left w:val="none" w:sz="0" w:space="0" w:color="auto"/>
        <w:bottom w:val="none" w:sz="0" w:space="0" w:color="auto"/>
        <w:right w:val="none" w:sz="0" w:space="0" w:color="auto"/>
      </w:divBdr>
      <w:divsChild>
        <w:div w:id="13120302">
          <w:marLeft w:val="274"/>
          <w:marRight w:val="0"/>
          <w:marTop w:val="0"/>
          <w:marBottom w:val="0"/>
          <w:divBdr>
            <w:top w:val="none" w:sz="0" w:space="0" w:color="auto"/>
            <w:left w:val="none" w:sz="0" w:space="0" w:color="auto"/>
            <w:bottom w:val="none" w:sz="0" w:space="0" w:color="auto"/>
            <w:right w:val="none" w:sz="0" w:space="0" w:color="auto"/>
          </w:divBdr>
        </w:div>
        <w:div w:id="59987240">
          <w:marLeft w:val="274"/>
          <w:marRight w:val="0"/>
          <w:marTop w:val="0"/>
          <w:marBottom w:val="0"/>
          <w:divBdr>
            <w:top w:val="none" w:sz="0" w:space="0" w:color="auto"/>
            <w:left w:val="none" w:sz="0" w:space="0" w:color="auto"/>
            <w:bottom w:val="none" w:sz="0" w:space="0" w:color="auto"/>
            <w:right w:val="none" w:sz="0" w:space="0" w:color="auto"/>
          </w:divBdr>
        </w:div>
        <w:div w:id="78140967">
          <w:marLeft w:val="274"/>
          <w:marRight w:val="0"/>
          <w:marTop w:val="0"/>
          <w:marBottom w:val="0"/>
          <w:divBdr>
            <w:top w:val="none" w:sz="0" w:space="0" w:color="auto"/>
            <w:left w:val="none" w:sz="0" w:space="0" w:color="auto"/>
            <w:bottom w:val="none" w:sz="0" w:space="0" w:color="auto"/>
            <w:right w:val="none" w:sz="0" w:space="0" w:color="auto"/>
          </w:divBdr>
        </w:div>
        <w:div w:id="264073160">
          <w:marLeft w:val="274"/>
          <w:marRight w:val="0"/>
          <w:marTop w:val="0"/>
          <w:marBottom w:val="0"/>
          <w:divBdr>
            <w:top w:val="none" w:sz="0" w:space="0" w:color="auto"/>
            <w:left w:val="none" w:sz="0" w:space="0" w:color="auto"/>
            <w:bottom w:val="none" w:sz="0" w:space="0" w:color="auto"/>
            <w:right w:val="none" w:sz="0" w:space="0" w:color="auto"/>
          </w:divBdr>
        </w:div>
        <w:div w:id="339891620">
          <w:marLeft w:val="274"/>
          <w:marRight w:val="0"/>
          <w:marTop w:val="0"/>
          <w:marBottom w:val="0"/>
          <w:divBdr>
            <w:top w:val="none" w:sz="0" w:space="0" w:color="auto"/>
            <w:left w:val="none" w:sz="0" w:space="0" w:color="auto"/>
            <w:bottom w:val="none" w:sz="0" w:space="0" w:color="auto"/>
            <w:right w:val="none" w:sz="0" w:space="0" w:color="auto"/>
          </w:divBdr>
        </w:div>
        <w:div w:id="392044662">
          <w:marLeft w:val="274"/>
          <w:marRight w:val="0"/>
          <w:marTop w:val="0"/>
          <w:marBottom w:val="0"/>
          <w:divBdr>
            <w:top w:val="none" w:sz="0" w:space="0" w:color="auto"/>
            <w:left w:val="none" w:sz="0" w:space="0" w:color="auto"/>
            <w:bottom w:val="none" w:sz="0" w:space="0" w:color="auto"/>
            <w:right w:val="none" w:sz="0" w:space="0" w:color="auto"/>
          </w:divBdr>
        </w:div>
        <w:div w:id="396443911">
          <w:marLeft w:val="274"/>
          <w:marRight w:val="0"/>
          <w:marTop w:val="0"/>
          <w:marBottom w:val="0"/>
          <w:divBdr>
            <w:top w:val="none" w:sz="0" w:space="0" w:color="auto"/>
            <w:left w:val="none" w:sz="0" w:space="0" w:color="auto"/>
            <w:bottom w:val="none" w:sz="0" w:space="0" w:color="auto"/>
            <w:right w:val="none" w:sz="0" w:space="0" w:color="auto"/>
          </w:divBdr>
        </w:div>
        <w:div w:id="420369472">
          <w:marLeft w:val="274"/>
          <w:marRight w:val="0"/>
          <w:marTop w:val="0"/>
          <w:marBottom w:val="0"/>
          <w:divBdr>
            <w:top w:val="none" w:sz="0" w:space="0" w:color="auto"/>
            <w:left w:val="none" w:sz="0" w:space="0" w:color="auto"/>
            <w:bottom w:val="none" w:sz="0" w:space="0" w:color="auto"/>
            <w:right w:val="none" w:sz="0" w:space="0" w:color="auto"/>
          </w:divBdr>
        </w:div>
        <w:div w:id="464813830">
          <w:marLeft w:val="274"/>
          <w:marRight w:val="0"/>
          <w:marTop w:val="0"/>
          <w:marBottom w:val="0"/>
          <w:divBdr>
            <w:top w:val="none" w:sz="0" w:space="0" w:color="auto"/>
            <w:left w:val="none" w:sz="0" w:space="0" w:color="auto"/>
            <w:bottom w:val="none" w:sz="0" w:space="0" w:color="auto"/>
            <w:right w:val="none" w:sz="0" w:space="0" w:color="auto"/>
          </w:divBdr>
        </w:div>
        <w:div w:id="506796884">
          <w:marLeft w:val="274"/>
          <w:marRight w:val="0"/>
          <w:marTop w:val="0"/>
          <w:marBottom w:val="0"/>
          <w:divBdr>
            <w:top w:val="none" w:sz="0" w:space="0" w:color="auto"/>
            <w:left w:val="none" w:sz="0" w:space="0" w:color="auto"/>
            <w:bottom w:val="none" w:sz="0" w:space="0" w:color="auto"/>
            <w:right w:val="none" w:sz="0" w:space="0" w:color="auto"/>
          </w:divBdr>
        </w:div>
        <w:div w:id="524320501">
          <w:marLeft w:val="274"/>
          <w:marRight w:val="0"/>
          <w:marTop w:val="0"/>
          <w:marBottom w:val="0"/>
          <w:divBdr>
            <w:top w:val="none" w:sz="0" w:space="0" w:color="auto"/>
            <w:left w:val="none" w:sz="0" w:space="0" w:color="auto"/>
            <w:bottom w:val="none" w:sz="0" w:space="0" w:color="auto"/>
            <w:right w:val="none" w:sz="0" w:space="0" w:color="auto"/>
          </w:divBdr>
        </w:div>
        <w:div w:id="576868308">
          <w:marLeft w:val="274"/>
          <w:marRight w:val="0"/>
          <w:marTop w:val="0"/>
          <w:marBottom w:val="0"/>
          <w:divBdr>
            <w:top w:val="none" w:sz="0" w:space="0" w:color="auto"/>
            <w:left w:val="none" w:sz="0" w:space="0" w:color="auto"/>
            <w:bottom w:val="none" w:sz="0" w:space="0" w:color="auto"/>
            <w:right w:val="none" w:sz="0" w:space="0" w:color="auto"/>
          </w:divBdr>
        </w:div>
        <w:div w:id="773748375">
          <w:marLeft w:val="274"/>
          <w:marRight w:val="0"/>
          <w:marTop w:val="0"/>
          <w:marBottom w:val="0"/>
          <w:divBdr>
            <w:top w:val="none" w:sz="0" w:space="0" w:color="auto"/>
            <w:left w:val="none" w:sz="0" w:space="0" w:color="auto"/>
            <w:bottom w:val="none" w:sz="0" w:space="0" w:color="auto"/>
            <w:right w:val="none" w:sz="0" w:space="0" w:color="auto"/>
          </w:divBdr>
        </w:div>
        <w:div w:id="942613258">
          <w:marLeft w:val="274"/>
          <w:marRight w:val="0"/>
          <w:marTop w:val="0"/>
          <w:marBottom w:val="0"/>
          <w:divBdr>
            <w:top w:val="none" w:sz="0" w:space="0" w:color="auto"/>
            <w:left w:val="none" w:sz="0" w:space="0" w:color="auto"/>
            <w:bottom w:val="none" w:sz="0" w:space="0" w:color="auto"/>
            <w:right w:val="none" w:sz="0" w:space="0" w:color="auto"/>
          </w:divBdr>
        </w:div>
        <w:div w:id="1078088919">
          <w:marLeft w:val="274"/>
          <w:marRight w:val="0"/>
          <w:marTop w:val="0"/>
          <w:marBottom w:val="0"/>
          <w:divBdr>
            <w:top w:val="none" w:sz="0" w:space="0" w:color="auto"/>
            <w:left w:val="none" w:sz="0" w:space="0" w:color="auto"/>
            <w:bottom w:val="none" w:sz="0" w:space="0" w:color="auto"/>
            <w:right w:val="none" w:sz="0" w:space="0" w:color="auto"/>
          </w:divBdr>
        </w:div>
        <w:div w:id="1085104062">
          <w:marLeft w:val="274"/>
          <w:marRight w:val="0"/>
          <w:marTop w:val="0"/>
          <w:marBottom w:val="0"/>
          <w:divBdr>
            <w:top w:val="none" w:sz="0" w:space="0" w:color="auto"/>
            <w:left w:val="none" w:sz="0" w:space="0" w:color="auto"/>
            <w:bottom w:val="none" w:sz="0" w:space="0" w:color="auto"/>
            <w:right w:val="none" w:sz="0" w:space="0" w:color="auto"/>
          </w:divBdr>
        </w:div>
        <w:div w:id="1091925288">
          <w:marLeft w:val="274"/>
          <w:marRight w:val="0"/>
          <w:marTop w:val="0"/>
          <w:marBottom w:val="0"/>
          <w:divBdr>
            <w:top w:val="none" w:sz="0" w:space="0" w:color="auto"/>
            <w:left w:val="none" w:sz="0" w:space="0" w:color="auto"/>
            <w:bottom w:val="none" w:sz="0" w:space="0" w:color="auto"/>
            <w:right w:val="none" w:sz="0" w:space="0" w:color="auto"/>
          </w:divBdr>
        </w:div>
        <w:div w:id="1303777998">
          <w:marLeft w:val="274"/>
          <w:marRight w:val="0"/>
          <w:marTop w:val="0"/>
          <w:marBottom w:val="0"/>
          <w:divBdr>
            <w:top w:val="none" w:sz="0" w:space="0" w:color="auto"/>
            <w:left w:val="none" w:sz="0" w:space="0" w:color="auto"/>
            <w:bottom w:val="none" w:sz="0" w:space="0" w:color="auto"/>
            <w:right w:val="none" w:sz="0" w:space="0" w:color="auto"/>
          </w:divBdr>
        </w:div>
        <w:div w:id="1306199293">
          <w:marLeft w:val="274"/>
          <w:marRight w:val="0"/>
          <w:marTop w:val="0"/>
          <w:marBottom w:val="0"/>
          <w:divBdr>
            <w:top w:val="none" w:sz="0" w:space="0" w:color="auto"/>
            <w:left w:val="none" w:sz="0" w:space="0" w:color="auto"/>
            <w:bottom w:val="none" w:sz="0" w:space="0" w:color="auto"/>
            <w:right w:val="none" w:sz="0" w:space="0" w:color="auto"/>
          </w:divBdr>
        </w:div>
        <w:div w:id="1367288865">
          <w:marLeft w:val="274"/>
          <w:marRight w:val="0"/>
          <w:marTop w:val="0"/>
          <w:marBottom w:val="0"/>
          <w:divBdr>
            <w:top w:val="none" w:sz="0" w:space="0" w:color="auto"/>
            <w:left w:val="none" w:sz="0" w:space="0" w:color="auto"/>
            <w:bottom w:val="none" w:sz="0" w:space="0" w:color="auto"/>
            <w:right w:val="none" w:sz="0" w:space="0" w:color="auto"/>
          </w:divBdr>
        </w:div>
        <w:div w:id="1379280287">
          <w:marLeft w:val="274"/>
          <w:marRight w:val="0"/>
          <w:marTop w:val="0"/>
          <w:marBottom w:val="0"/>
          <w:divBdr>
            <w:top w:val="none" w:sz="0" w:space="0" w:color="auto"/>
            <w:left w:val="none" w:sz="0" w:space="0" w:color="auto"/>
            <w:bottom w:val="none" w:sz="0" w:space="0" w:color="auto"/>
            <w:right w:val="none" w:sz="0" w:space="0" w:color="auto"/>
          </w:divBdr>
        </w:div>
        <w:div w:id="1426264562">
          <w:marLeft w:val="274"/>
          <w:marRight w:val="0"/>
          <w:marTop w:val="0"/>
          <w:marBottom w:val="0"/>
          <w:divBdr>
            <w:top w:val="none" w:sz="0" w:space="0" w:color="auto"/>
            <w:left w:val="none" w:sz="0" w:space="0" w:color="auto"/>
            <w:bottom w:val="none" w:sz="0" w:space="0" w:color="auto"/>
            <w:right w:val="none" w:sz="0" w:space="0" w:color="auto"/>
          </w:divBdr>
        </w:div>
        <w:div w:id="1508053332">
          <w:marLeft w:val="274"/>
          <w:marRight w:val="0"/>
          <w:marTop w:val="0"/>
          <w:marBottom w:val="0"/>
          <w:divBdr>
            <w:top w:val="none" w:sz="0" w:space="0" w:color="auto"/>
            <w:left w:val="none" w:sz="0" w:space="0" w:color="auto"/>
            <w:bottom w:val="none" w:sz="0" w:space="0" w:color="auto"/>
            <w:right w:val="none" w:sz="0" w:space="0" w:color="auto"/>
          </w:divBdr>
        </w:div>
        <w:div w:id="1525629054">
          <w:marLeft w:val="274"/>
          <w:marRight w:val="0"/>
          <w:marTop w:val="0"/>
          <w:marBottom w:val="0"/>
          <w:divBdr>
            <w:top w:val="none" w:sz="0" w:space="0" w:color="auto"/>
            <w:left w:val="none" w:sz="0" w:space="0" w:color="auto"/>
            <w:bottom w:val="none" w:sz="0" w:space="0" w:color="auto"/>
            <w:right w:val="none" w:sz="0" w:space="0" w:color="auto"/>
          </w:divBdr>
        </w:div>
        <w:div w:id="1575894118">
          <w:marLeft w:val="274"/>
          <w:marRight w:val="0"/>
          <w:marTop w:val="0"/>
          <w:marBottom w:val="0"/>
          <w:divBdr>
            <w:top w:val="none" w:sz="0" w:space="0" w:color="auto"/>
            <w:left w:val="none" w:sz="0" w:space="0" w:color="auto"/>
            <w:bottom w:val="none" w:sz="0" w:space="0" w:color="auto"/>
            <w:right w:val="none" w:sz="0" w:space="0" w:color="auto"/>
          </w:divBdr>
        </w:div>
        <w:div w:id="1595478972">
          <w:marLeft w:val="274"/>
          <w:marRight w:val="0"/>
          <w:marTop w:val="0"/>
          <w:marBottom w:val="0"/>
          <w:divBdr>
            <w:top w:val="none" w:sz="0" w:space="0" w:color="auto"/>
            <w:left w:val="none" w:sz="0" w:space="0" w:color="auto"/>
            <w:bottom w:val="none" w:sz="0" w:space="0" w:color="auto"/>
            <w:right w:val="none" w:sz="0" w:space="0" w:color="auto"/>
          </w:divBdr>
        </w:div>
        <w:div w:id="1811943676">
          <w:marLeft w:val="274"/>
          <w:marRight w:val="0"/>
          <w:marTop w:val="0"/>
          <w:marBottom w:val="0"/>
          <w:divBdr>
            <w:top w:val="none" w:sz="0" w:space="0" w:color="auto"/>
            <w:left w:val="none" w:sz="0" w:space="0" w:color="auto"/>
            <w:bottom w:val="none" w:sz="0" w:space="0" w:color="auto"/>
            <w:right w:val="none" w:sz="0" w:space="0" w:color="auto"/>
          </w:divBdr>
        </w:div>
        <w:div w:id="1855873483">
          <w:marLeft w:val="274"/>
          <w:marRight w:val="0"/>
          <w:marTop w:val="0"/>
          <w:marBottom w:val="0"/>
          <w:divBdr>
            <w:top w:val="none" w:sz="0" w:space="0" w:color="auto"/>
            <w:left w:val="none" w:sz="0" w:space="0" w:color="auto"/>
            <w:bottom w:val="none" w:sz="0" w:space="0" w:color="auto"/>
            <w:right w:val="none" w:sz="0" w:space="0" w:color="auto"/>
          </w:divBdr>
        </w:div>
        <w:div w:id="1937399153">
          <w:marLeft w:val="274"/>
          <w:marRight w:val="0"/>
          <w:marTop w:val="0"/>
          <w:marBottom w:val="0"/>
          <w:divBdr>
            <w:top w:val="none" w:sz="0" w:space="0" w:color="auto"/>
            <w:left w:val="none" w:sz="0" w:space="0" w:color="auto"/>
            <w:bottom w:val="none" w:sz="0" w:space="0" w:color="auto"/>
            <w:right w:val="none" w:sz="0" w:space="0" w:color="auto"/>
          </w:divBdr>
        </w:div>
        <w:div w:id="1962610163">
          <w:marLeft w:val="274"/>
          <w:marRight w:val="0"/>
          <w:marTop w:val="0"/>
          <w:marBottom w:val="0"/>
          <w:divBdr>
            <w:top w:val="none" w:sz="0" w:space="0" w:color="auto"/>
            <w:left w:val="none" w:sz="0" w:space="0" w:color="auto"/>
            <w:bottom w:val="none" w:sz="0" w:space="0" w:color="auto"/>
            <w:right w:val="none" w:sz="0" w:space="0" w:color="auto"/>
          </w:divBdr>
        </w:div>
        <w:div w:id="2098666803">
          <w:marLeft w:val="274"/>
          <w:marRight w:val="0"/>
          <w:marTop w:val="0"/>
          <w:marBottom w:val="0"/>
          <w:divBdr>
            <w:top w:val="none" w:sz="0" w:space="0" w:color="auto"/>
            <w:left w:val="none" w:sz="0" w:space="0" w:color="auto"/>
            <w:bottom w:val="none" w:sz="0" w:space="0" w:color="auto"/>
            <w:right w:val="none" w:sz="0" w:space="0" w:color="auto"/>
          </w:divBdr>
        </w:div>
      </w:divsChild>
    </w:div>
    <w:div w:id="743651953">
      <w:bodyDiv w:val="1"/>
      <w:marLeft w:val="0"/>
      <w:marRight w:val="0"/>
      <w:marTop w:val="0"/>
      <w:marBottom w:val="0"/>
      <w:divBdr>
        <w:top w:val="none" w:sz="0" w:space="0" w:color="auto"/>
        <w:left w:val="none" w:sz="0" w:space="0" w:color="auto"/>
        <w:bottom w:val="none" w:sz="0" w:space="0" w:color="auto"/>
        <w:right w:val="none" w:sz="0" w:space="0" w:color="auto"/>
      </w:divBdr>
    </w:div>
    <w:div w:id="746537510">
      <w:bodyDiv w:val="1"/>
      <w:marLeft w:val="0"/>
      <w:marRight w:val="0"/>
      <w:marTop w:val="0"/>
      <w:marBottom w:val="0"/>
      <w:divBdr>
        <w:top w:val="none" w:sz="0" w:space="0" w:color="auto"/>
        <w:left w:val="none" w:sz="0" w:space="0" w:color="auto"/>
        <w:bottom w:val="none" w:sz="0" w:space="0" w:color="auto"/>
        <w:right w:val="none" w:sz="0" w:space="0" w:color="auto"/>
      </w:divBdr>
      <w:divsChild>
        <w:div w:id="4133462">
          <w:marLeft w:val="274"/>
          <w:marRight w:val="0"/>
          <w:marTop w:val="0"/>
          <w:marBottom w:val="0"/>
          <w:divBdr>
            <w:top w:val="none" w:sz="0" w:space="0" w:color="auto"/>
            <w:left w:val="none" w:sz="0" w:space="0" w:color="auto"/>
            <w:bottom w:val="none" w:sz="0" w:space="0" w:color="auto"/>
            <w:right w:val="none" w:sz="0" w:space="0" w:color="auto"/>
          </w:divBdr>
        </w:div>
        <w:div w:id="27534117">
          <w:marLeft w:val="274"/>
          <w:marRight w:val="0"/>
          <w:marTop w:val="0"/>
          <w:marBottom w:val="0"/>
          <w:divBdr>
            <w:top w:val="none" w:sz="0" w:space="0" w:color="auto"/>
            <w:left w:val="none" w:sz="0" w:space="0" w:color="auto"/>
            <w:bottom w:val="none" w:sz="0" w:space="0" w:color="auto"/>
            <w:right w:val="none" w:sz="0" w:space="0" w:color="auto"/>
          </w:divBdr>
        </w:div>
        <w:div w:id="45492273">
          <w:marLeft w:val="274"/>
          <w:marRight w:val="0"/>
          <w:marTop w:val="0"/>
          <w:marBottom w:val="0"/>
          <w:divBdr>
            <w:top w:val="none" w:sz="0" w:space="0" w:color="auto"/>
            <w:left w:val="none" w:sz="0" w:space="0" w:color="auto"/>
            <w:bottom w:val="none" w:sz="0" w:space="0" w:color="auto"/>
            <w:right w:val="none" w:sz="0" w:space="0" w:color="auto"/>
          </w:divBdr>
        </w:div>
        <w:div w:id="165752826">
          <w:marLeft w:val="274"/>
          <w:marRight w:val="0"/>
          <w:marTop w:val="0"/>
          <w:marBottom w:val="0"/>
          <w:divBdr>
            <w:top w:val="none" w:sz="0" w:space="0" w:color="auto"/>
            <w:left w:val="none" w:sz="0" w:space="0" w:color="auto"/>
            <w:bottom w:val="none" w:sz="0" w:space="0" w:color="auto"/>
            <w:right w:val="none" w:sz="0" w:space="0" w:color="auto"/>
          </w:divBdr>
        </w:div>
        <w:div w:id="214778655">
          <w:marLeft w:val="274"/>
          <w:marRight w:val="0"/>
          <w:marTop w:val="0"/>
          <w:marBottom w:val="0"/>
          <w:divBdr>
            <w:top w:val="none" w:sz="0" w:space="0" w:color="auto"/>
            <w:left w:val="none" w:sz="0" w:space="0" w:color="auto"/>
            <w:bottom w:val="none" w:sz="0" w:space="0" w:color="auto"/>
            <w:right w:val="none" w:sz="0" w:space="0" w:color="auto"/>
          </w:divBdr>
        </w:div>
        <w:div w:id="220211168">
          <w:marLeft w:val="274"/>
          <w:marRight w:val="0"/>
          <w:marTop w:val="0"/>
          <w:marBottom w:val="0"/>
          <w:divBdr>
            <w:top w:val="none" w:sz="0" w:space="0" w:color="auto"/>
            <w:left w:val="none" w:sz="0" w:space="0" w:color="auto"/>
            <w:bottom w:val="none" w:sz="0" w:space="0" w:color="auto"/>
            <w:right w:val="none" w:sz="0" w:space="0" w:color="auto"/>
          </w:divBdr>
        </w:div>
        <w:div w:id="235819376">
          <w:marLeft w:val="274"/>
          <w:marRight w:val="0"/>
          <w:marTop w:val="0"/>
          <w:marBottom w:val="0"/>
          <w:divBdr>
            <w:top w:val="none" w:sz="0" w:space="0" w:color="auto"/>
            <w:left w:val="none" w:sz="0" w:space="0" w:color="auto"/>
            <w:bottom w:val="none" w:sz="0" w:space="0" w:color="auto"/>
            <w:right w:val="none" w:sz="0" w:space="0" w:color="auto"/>
          </w:divBdr>
        </w:div>
        <w:div w:id="256409575">
          <w:marLeft w:val="274"/>
          <w:marRight w:val="0"/>
          <w:marTop w:val="0"/>
          <w:marBottom w:val="0"/>
          <w:divBdr>
            <w:top w:val="none" w:sz="0" w:space="0" w:color="auto"/>
            <w:left w:val="none" w:sz="0" w:space="0" w:color="auto"/>
            <w:bottom w:val="none" w:sz="0" w:space="0" w:color="auto"/>
            <w:right w:val="none" w:sz="0" w:space="0" w:color="auto"/>
          </w:divBdr>
        </w:div>
        <w:div w:id="373233589">
          <w:marLeft w:val="274"/>
          <w:marRight w:val="0"/>
          <w:marTop w:val="0"/>
          <w:marBottom w:val="0"/>
          <w:divBdr>
            <w:top w:val="none" w:sz="0" w:space="0" w:color="auto"/>
            <w:left w:val="none" w:sz="0" w:space="0" w:color="auto"/>
            <w:bottom w:val="none" w:sz="0" w:space="0" w:color="auto"/>
            <w:right w:val="none" w:sz="0" w:space="0" w:color="auto"/>
          </w:divBdr>
        </w:div>
        <w:div w:id="463232495">
          <w:marLeft w:val="274"/>
          <w:marRight w:val="0"/>
          <w:marTop w:val="0"/>
          <w:marBottom w:val="0"/>
          <w:divBdr>
            <w:top w:val="none" w:sz="0" w:space="0" w:color="auto"/>
            <w:left w:val="none" w:sz="0" w:space="0" w:color="auto"/>
            <w:bottom w:val="none" w:sz="0" w:space="0" w:color="auto"/>
            <w:right w:val="none" w:sz="0" w:space="0" w:color="auto"/>
          </w:divBdr>
        </w:div>
        <w:div w:id="468058264">
          <w:marLeft w:val="274"/>
          <w:marRight w:val="0"/>
          <w:marTop w:val="0"/>
          <w:marBottom w:val="0"/>
          <w:divBdr>
            <w:top w:val="none" w:sz="0" w:space="0" w:color="auto"/>
            <w:left w:val="none" w:sz="0" w:space="0" w:color="auto"/>
            <w:bottom w:val="none" w:sz="0" w:space="0" w:color="auto"/>
            <w:right w:val="none" w:sz="0" w:space="0" w:color="auto"/>
          </w:divBdr>
        </w:div>
        <w:div w:id="560793009">
          <w:marLeft w:val="274"/>
          <w:marRight w:val="0"/>
          <w:marTop w:val="0"/>
          <w:marBottom w:val="0"/>
          <w:divBdr>
            <w:top w:val="none" w:sz="0" w:space="0" w:color="auto"/>
            <w:left w:val="none" w:sz="0" w:space="0" w:color="auto"/>
            <w:bottom w:val="none" w:sz="0" w:space="0" w:color="auto"/>
            <w:right w:val="none" w:sz="0" w:space="0" w:color="auto"/>
          </w:divBdr>
        </w:div>
        <w:div w:id="679047979">
          <w:marLeft w:val="274"/>
          <w:marRight w:val="0"/>
          <w:marTop w:val="0"/>
          <w:marBottom w:val="0"/>
          <w:divBdr>
            <w:top w:val="none" w:sz="0" w:space="0" w:color="auto"/>
            <w:left w:val="none" w:sz="0" w:space="0" w:color="auto"/>
            <w:bottom w:val="none" w:sz="0" w:space="0" w:color="auto"/>
            <w:right w:val="none" w:sz="0" w:space="0" w:color="auto"/>
          </w:divBdr>
        </w:div>
        <w:div w:id="745610692">
          <w:marLeft w:val="274"/>
          <w:marRight w:val="0"/>
          <w:marTop w:val="0"/>
          <w:marBottom w:val="0"/>
          <w:divBdr>
            <w:top w:val="none" w:sz="0" w:space="0" w:color="auto"/>
            <w:left w:val="none" w:sz="0" w:space="0" w:color="auto"/>
            <w:bottom w:val="none" w:sz="0" w:space="0" w:color="auto"/>
            <w:right w:val="none" w:sz="0" w:space="0" w:color="auto"/>
          </w:divBdr>
        </w:div>
        <w:div w:id="826701913">
          <w:marLeft w:val="274"/>
          <w:marRight w:val="0"/>
          <w:marTop w:val="0"/>
          <w:marBottom w:val="0"/>
          <w:divBdr>
            <w:top w:val="none" w:sz="0" w:space="0" w:color="auto"/>
            <w:left w:val="none" w:sz="0" w:space="0" w:color="auto"/>
            <w:bottom w:val="none" w:sz="0" w:space="0" w:color="auto"/>
            <w:right w:val="none" w:sz="0" w:space="0" w:color="auto"/>
          </w:divBdr>
        </w:div>
        <w:div w:id="972563265">
          <w:marLeft w:val="274"/>
          <w:marRight w:val="0"/>
          <w:marTop w:val="0"/>
          <w:marBottom w:val="0"/>
          <w:divBdr>
            <w:top w:val="none" w:sz="0" w:space="0" w:color="auto"/>
            <w:left w:val="none" w:sz="0" w:space="0" w:color="auto"/>
            <w:bottom w:val="none" w:sz="0" w:space="0" w:color="auto"/>
            <w:right w:val="none" w:sz="0" w:space="0" w:color="auto"/>
          </w:divBdr>
        </w:div>
        <w:div w:id="974525833">
          <w:marLeft w:val="274"/>
          <w:marRight w:val="0"/>
          <w:marTop w:val="0"/>
          <w:marBottom w:val="0"/>
          <w:divBdr>
            <w:top w:val="none" w:sz="0" w:space="0" w:color="auto"/>
            <w:left w:val="none" w:sz="0" w:space="0" w:color="auto"/>
            <w:bottom w:val="none" w:sz="0" w:space="0" w:color="auto"/>
            <w:right w:val="none" w:sz="0" w:space="0" w:color="auto"/>
          </w:divBdr>
        </w:div>
        <w:div w:id="990140107">
          <w:marLeft w:val="274"/>
          <w:marRight w:val="0"/>
          <w:marTop w:val="0"/>
          <w:marBottom w:val="0"/>
          <w:divBdr>
            <w:top w:val="none" w:sz="0" w:space="0" w:color="auto"/>
            <w:left w:val="none" w:sz="0" w:space="0" w:color="auto"/>
            <w:bottom w:val="none" w:sz="0" w:space="0" w:color="auto"/>
            <w:right w:val="none" w:sz="0" w:space="0" w:color="auto"/>
          </w:divBdr>
        </w:div>
        <w:div w:id="997536824">
          <w:marLeft w:val="274"/>
          <w:marRight w:val="0"/>
          <w:marTop w:val="0"/>
          <w:marBottom w:val="0"/>
          <w:divBdr>
            <w:top w:val="none" w:sz="0" w:space="0" w:color="auto"/>
            <w:left w:val="none" w:sz="0" w:space="0" w:color="auto"/>
            <w:bottom w:val="none" w:sz="0" w:space="0" w:color="auto"/>
            <w:right w:val="none" w:sz="0" w:space="0" w:color="auto"/>
          </w:divBdr>
        </w:div>
        <w:div w:id="1025329012">
          <w:marLeft w:val="274"/>
          <w:marRight w:val="0"/>
          <w:marTop w:val="0"/>
          <w:marBottom w:val="0"/>
          <w:divBdr>
            <w:top w:val="none" w:sz="0" w:space="0" w:color="auto"/>
            <w:left w:val="none" w:sz="0" w:space="0" w:color="auto"/>
            <w:bottom w:val="none" w:sz="0" w:space="0" w:color="auto"/>
            <w:right w:val="none" w:sz="0" w:space="0" w:color="auto"/>
          </w:divBdr>
        </w:div>
        <w:div w:id="1036613774">
          <w:marLeft w:val="274"/>
          <w:marRight w:val="0"/>
          <w:marTop w:val="0"/>
          <w:marBottom w:val="0"/>
          <w:divBdr>
            <w:top w:val="none" w:sz="0" w:space="0" w:color="auto"/>
            <w:left w:val="none" w:sz="0" w:space="0" w:color="auto"/>
            <w:bottom w:val="none" w:sz="0" w:space="0" w:color="auto"/>
            <w:right w:val="none" w:sz="0" w:space="0" w:color="auto"/>
          </w:divBdr>
        </w:div>
        <w:div w:id="1048338462">
          <w:marLeft w:val="274"/>
          <w:marRight w:val="0"/>
          <w:marTop w:val="0"/>
          <w:marBottom w:val="0"/>
          <w:divBdr>
            <w:top w:val="none" w:sz="0" w:space="0" w:color="auto"/>
            <w:left w:val="none" w:sz="0" w:space="0" w:color="auto"/>
            <w:bottom w:val="none" w:sz="0" w:space="0" w:color="auto"/>
            <w:right w:val="none" w:sz="0" w:space="0" w:color="auto"/>
          </w:divBdr>
        </w:div>
        <w:div w:id="1058433343">
          <w:marLeft w:val="274"/>
          <w:marRight w:val="0"/>
          <w:marTop w:val="0"/>
          <w:marBottom w:val="0"/>
          <w:divBdr>
            <w:top w:val="none" w:sz="0" w:space="0" w:color="auto"/>
            <w:left w:val="none" w:sz="0" w:space="0" w:color="auto"/>
            <w:bottom w:val="none" w:sz="0" w:space="0" w:color="auto"/>
            <w:right w:val="none" w:sz="0" w:space="0" w:color="auto"/>
          </w:divBdr>
        </w:div>
        <w:div w:id="1074936545">
          <w:marLeft w:val="274"/>
          <w:marRight w:val="0"/>
          <w:marTop w:val="0"/>
          <w:marBottom w:val="0"/>
          <w:divBdr>
            <w:top w:val="none" w:sz="0" w:space="0" w:color="auto"/>
            <w:left w:val="none" w:sz="0" w:space="0" w:color="auto"/>
            <w:bottom w:val="none" w:sz="0" w:space="0" w:color="auto"/>
            <w:right w:val="none" w:sz="0" w:space="0" w:color="auto"/>
          </w:divBdr>
        </w:div>
        <w:div w:id="1085763077">
          <w:marLeft w:val="274"/>
          <w:marRight w:val="0"/>
          <w:marTop w:val="0"/>
          <w:marBottom w:val="0"/>
          <w:divBdr>
            <w:top w:val="none" w:sz="0" w:space="0" w:color="auto"/>
            <w:left w:val="none" w:sz="0" w:space="0" w:color="auto"/>
            <w:bottom w:val="none" w:sz="0" w:space="0" w:color="auto"/>
            <w:right w:val="none" w:sz="0" w:space="0" w:color="auto"/>
          </w:divBdr>
        </w:div>
        <w:div w:id="1180461566">
          <w:marLeft w:val="274"/>
          <w:marRight w:val="0"/>
          <w:marTop w:val="0"/>
          <w:marBottom w:val="0"/>
          <w:divBdr>
            <w:top w:val="none" w:sz="0" w:space="0" w:color="auto"/>
            <w:left w:val="none" w:sz="0" w:space="0" w:color="auto"/>
            <w:bottom w:val="none" w:sz="0" w:space="0" w:color="auto"/>
            <w:right w:val="none" w:sz="0" w:space="0" w:color="auto"/>
          </w:divBdr>
        </w:div>
        <w:div w:id="1195922178">
          <w:marLeft w:val="274"/>
          <w:marRight w:val="0"/>
          <w:marTop w:val="0"/>
          <w:marBottom w:val="0"/>
          <w:divBdr>
            <w:top w:val="none" w:sz="0" w:space="0" w:color="auto"/>
            <w:left w:val="none" w:sz="0" w:space="0" w:color="auto"/>
            <w:bottom w:val="none" w:sz="0" w:space="0" w:color="auto"/>
            <w:right w:val="none" w:sz="0" w:space="0" w:color="auto"/>
          </w:divBdr>
        </w:div>
        <w:div w:id="1234657216">
          <w:marLeft w:val="274"/>
          <w:marRight w:val="0"/>
          <w:marTop w:val="0"/>
          <w:marBottom w:val="0"/>
          <w:divBdr>
            <w:top w:val="none" w:sz="0" w:space="0" w:color="auto"/>
            <w:left w:val="none" w:sz="0" w:space="0" w:color="auto"/>
            <w:bottom w:val="none" w:sz="0" w:space="0" w:color="auto"/>
            <w:right w:val="none" w:sz="0" w:space="0" w:color="auto"/>
          </w:divBdr>
        </w:div>
        <w:div w:id="1250971065">
          <w:marLeft w:val="274"/>
          <w:marRight w:val="0"/>
          <w:marTop w:val="0"/>
          <w:marBottom w:val="0"/>
          <w:divBdr>
            <w:top w:val="none" w:sz="0" w:space="0" w:color="auto"/>
            <w:left w:val="none" w:sz="0" w:space="0" w:color="auto"/>
            <w:bottom w:val="none" w:sz="0" w:space="0" w:color="auto"/>
            <w:right w:val="none" w:sz="0" w:space="0" w:color="auto"/>
          </w:divBdr>
        </w:div>
        <w:div w:id="1324891181">
          <w:marLeft w:val="274"/>
          <w:marRight w:val="0"/>
          <w:marTop w:val="0"/>
          <w:marBottom w:val="0"/>
          <w:divBdr>
            <w:top w:val="none" w:sz="0" w:space="0" w:color="auto"/>
            <w:left w:val="none" w:sz="0" w:space="0" w:color="auto"/>
            <w:bottom w:val="none" w:sz="0" w:space="0" w:color="auto"/>
            <w:right w:val="none" w:sz="0" w:space="0" w:color="auto"/>
          </w:divBdr>
        </w:div>
        <w:div w:id="1344548381">
          <w:marLeft w:val="274"/>
          <w:marRight w:val="0"/>
          <w:marTop w:val="0"/>
          <w:marBottom w:val="0"/>
          <w:divBdr>
            <w:top w:val="none" w:sz="0" w:space="0" w:color="auto"/>
            <w:left w:val="none" w:sz="0" w:space="0" w:color="auto"/>
            <w:bottom w:val="none" w:sz="0" w:space="0" w:color="auto"/>
            <w:right w:val="none" w:sz="0" w:space="0" w:color="auto"/>
          </w:divBdr>
        </w:div>
        <w:div w:id="1346707847">
          <w:marLeft w:val="274"/>
          <w:marRight w:val="0"/>
          <w:marTop w:val="0"/>
          <w:marBottom w:val="0"/>
          <w:divBdr>
            <w:top w:val="none" w:sz="0" w:space="0" w:color="auto"/>
            <w:left w:val="none" w:sz="0" w:space="0" w:color="auto"/>
            <w:bottom w:val="none" w:sz="0" w:space="0" w:color="auto"/>
            <w:right w:val="none" w:sz="0" w:space="0" w:color="auto"/>
          </w:divBdr>
        </w:div>
        <w:div w:id="1355154129">
          <w:marLeft w:val="274"/>
          <w:marRight w:val="0"/>
          <w:marTop w:val="0"/>
          <w:marBottom w:val="0"/>
          <w:divBdr>
            <w:top w:val="none" w:sz="0" w:space="0" w:color="auto"/>
            <w:left w:val="none" w:sz="0" w:space="0" w:color="auto"/>
            <w:bottom w:val="none" w:sz="0" w:space="0" w:color="auto"/>
            <w:right w:val="none" w:sz="0" w:space="0" w:color="auto"/>
          </w:divBdr>
        </w:div>
        <w:div w:id="1586109841">
          <w:marLeft w:val="274"/>
          <w:marRight w:val="0"/>
          <w:marTop w:val="0"/>
          <w:marBottom w:val="0"/>
          <w:divBdr>
            <w:top w:val="none" w:sz="0" w:space="0" w:color="auto"/>
            <w:left w:val="none" w:sz="0" w:space="0" w:color="auto"/>
            <w:bottom w:val="none" w:sz="0" w:space="0" w:color="auto"/>
            <w:right w:val="none" w:sz="0" w:space="0" w:color="auto"/>
          </w:divBdr>
        </w:div>
        <w:div w:id="1601184243">
          <w:marLeft w:val="274"/>
          <w:marRight w:val="0"/>
          <w:marTop w:val="0"/>
          <w:marBottom w:val="0"/>
          <w:divBdr>
            <w:top w:val="none" w:sz="0" w:space="0" w:color="auto"/>
            <w:left w:val="none" w:sz="0" w:space="0" w:color="auto"/>
            <w:bottom w:val="none" w:sz="0" w:space="0" w:color="auto"/>
            <w:right w:val="none" w:sz="0" w:space="0" w:color="auto"/>
          </w:divBdr>
        </w:div>
        <w:div w:id="1682009445">
          <w:marLeft w:val="274"/>
          <w:marRight w:val="0"/>
          <w:marTop w:val="0"/>
          <w:marBottom w:val="0"/>
          <w:divBdr>
            <w:top w:val="none" w:sz="0" w:space="0" w:color="auto"/>
            <w:left w:val="none" w:sz="0" w:space="0" w:color="auto"/>
            <w:bottom w:val="none" w:sz="0" w:space="0" w:color="auto"/>
            <w:right w:val="none" w:sz="0" w:space="0" w:color="auto"/>
          </w:divBdr>
        </w:div>
        <w:div w:id="1959875808">
          <w:marLeft w:val="274"/>
          <w:marRight w:val="0"/>
          <w:marTop w:val="0"/>
          <w:marBottom w:val="0"/>
          <w:divBdr>
            <w:top w:val="none" w:sz="0" w:space="0" w:color="auto"/>
            <w:left w:val="none" w:sz="0" w:space="0" w:color="auto"/>
            <w:bottom w:val="none" w:sz="0" w:space="0" w:color="auto"/>
            <w:right w:val="none" w:sz="0" w:space="0" w:color="auto"/>
          </w:divBdr>
        </w:div>
        <w:div w:id="1975331316">
          <w:marLeft w:val="274"/>
          <w:marRight w:val="0"/>
          <w:marTop w:val="0"/>
          <w:marBottom w:val="0"/>
          <w:divBdr>
            <w:top w:val="none" w:sz="0" w:space="0" w:color="auto"/>
            <w:left w:val="none" w:sz="0" w:space="0" w:color="auto"/>
            <w:bottom w:val="none" w:sz="0" w:space="0" w:color="auto"/>
            <w:right w:val="none" w:sz="0" w:space="0" w:color="auto"/>
          </w:divBdr>
        </w:div>
        <w:div w:id="2000696012">
          <w:marLeft w:val="274"/>
          <w:marRight w:val="0"/>
          <w:marTop w:val="0"/>
          <w:marBottom w:val="0"/>
          <w:divBdr>
            <w:top w:val="none" w:sz="0" w:space="0" w:color="auto"/>
            <w:left w:val="none" w:sz="0" w:space="0" w:color="auto"/>
            <w:bottom w:val="none" w:sz="0" w:space="0" w:color="auto"/>
            <w:right w:val="none" w:sz="0" w:space="0" w:color="auto"/>
          </w:divBdr>
        </w:div>
        <w:div w:id="2102724658">
          <w:marLeft w:val="274"/>
          <w:marRight w:val="0"/>
          <w:marTop w:val="0"/>
          <w:marBottom w:val="0"/>
          <w:divBdr>
            <w:top w:val="none" w:sz="0" w:space="0" w:color="auto"/>
            <w:left w:val="none" w:sz="0" w:space="0" w:color="auto"/>
            <w:bottom w:val="none" w:sz="0" w:space="0" w:color="auto"/>
            <w:right w:val="none" w:sz="0" w:space="0" w:color="auto"/>
          </w:divBdr>
        </w:div>
        <w:div w:id="2112165281">
          <w:marLeft w:val="274"/>
          <w:marRight w:val="0"/>
          <w:marTop w:val="0"/>
          <w:marBottom w:val="0"/>
          <w:divBdr>
            <w:top w:val="none" w:sz="0" w:space="0" w:color="auto"/>
            <w:left w:val="none" w:sz="0" w:space="0" w:color="auto"/>
            <w:bottom w:val="none" w:sz="0" w:space="0" w:color="auto"/>
            <w:right w:val="none" w:sz="0" w:space="0" w:color="auto"/>
          </w:divBdr>
        </w:div>
        <w:div w:id="2117559117">
          <w:marLeft w:val="274"/>
          <w:marRight w:val="0"/>
          <w:marTop w:val="0"/>
          <w:marBottom w:val="0"/>
          <w:divBdr>
            <w:top w:val="none" w:sz="0" w:space="0" w:color="auto"/>
            <w:left w:val="none" w:sz="0" w:space="0" w:color="auto"/>
            <w:bottom w:val="none" w:sz="0" w:space="0" w:color="auto"/>
            <w:right w:val="none" w:sz="0" w:space="0" w:color="auto"/>
          </w:divBdr>
        </w:div>
      </w:divsChild>
    </w:div>
    <w:div w:id="776095660">
      <w:bodyDiv w:val="1"/>
      <w:marLeft w:val="0"/>
      <w:marRight w:val="0"/>
      <w:marTop w:val="0"/>
      <w:marBottom w:val="0"/>
      <w:divBdr>
        <w:top w:val="none" w:sz="0" w:space="0" w:color="auto"/>
        <w:left w:val="none" w:sz="0" w:space="0" w:color="auto"/>
        <w:bottom w:val="none" w:sz="0" w:space="0" w:color="auto"/>
        <w:right w:val="none" w:sz="0" w:space="0" w:color="auto"/>
      </w:divBdr>
    </w:div>
    <w:div w:id="789127306">
      <w:bodyDiv w:val="1"/>
      <w:marLeft w:val="0"/>
      <w:marRight w:val="0"/>
      <w:marTop w:val="0"/>
      <w:marBottom w:val="0"/>
      <w:divBdr>
        <w:top w:val="none" w:sz="0" w:space="0" w:color="auto"/>
        <w:left w:val="none" w:sz="0" w:space="0" w:color="auto"/>
        <w:bottom w:val="none" w:sz="0" w:space="0" w:color="auto"/>
        <w:right w:val="none" w:sz="0" w:space="0" w:color="auto"/>
      </w:divBdr>
    </w:div>
    <w:div w:id="793476126">
      <w:bodyDiv w:val="1"/>
      <w:marLeft w:val="0"/>
      <w:marRight w:val="0"/>
      <w:marTop w:val="0"/>
      <w:marBottom w:val="0"/>
      <w:divBdr>
        <w:top w:val="none" w:sz="0" w:space="0" w:color="auto"/>
        <w:left w:val="none" w:sz="0" w:space="0" w:color="auto"/>
        <w:bottom w:val="none" w:sz="0" w:space="0" w:color="auto"/>
        <w:right w:val="none" w:sz="0" w:space="0" w:color="auto"/>
      </w:divBdr>
    </w:div>
    <w:div w:id="800728987">
      <w:bodyDiv w:val="1"/>
      <w:marLeft w:val="0"/>
      <w:marRight w:val="0"/>
      <w:marTop w:val="0"/>
      <w:marBottom w:val="0"/>
      <w:divBdr>
        <w:top w:val="none" w:sz="0" w:space="0" w:color="auto"/>
        <w:left w:val="none" w:sz="0" w:space="0" w:color="auto"/>
        <w:bottom w:val="none" w:sz="0" w:space="0" w:color="auto"/>
        <w:right w:val="none" w:sz="0" w:space="0" w:color="auto"/>
      </w:divBdr>
    </w:div>
    <w:div w:id="806509506">
      <w:bodyDiv w:val="1"/>
      <w:marLeft w:val="0"/>
      <w:marRight w:val="0"/>
      <w:marTop w:val="0"/>
      <w:marBottom w:val="0"/>
      <w:divBdr>
        <w:top w:val="none" w:sz="0" w:space="0" w:color="auto"/>
        <w:left w:val="none" w:sz="0" w:space="0" w:color="auto"/>
        <w:bottom w:val="none" w:sz="0" w:space="0" w:color="auto"/>
        <w:right w:val="none" w:sz="0" w:space="0" w:color="auto"/>
      </w:divBdr>
    </w:div>
    <w:div w:id="812141038">
      <w:bodyDiv w:val="1"/>
      <w:marLeft w:val="0"/>
      <w:marRight w:val="0"/>
      <w:marTop w:val="0"/>
      <w:marBottom w:val="0"/>
      <w:divBdr>
        <w:top w:val="none" w:sz="0" w:space="0" w:color="auto"/>
        <w:left w:val="none" w:sz="0" w:space="0" w:color="auto"/>
        <w:bottom w:val="none" w:sz="0" w:space="0" w:color="auto"/>
        <w:right w:val="none" w:sz="0" w:space="0" w:color="auto"/>
      </w:divBdr>
      <w:divsChild>
        <w:div w:id="338167873">
          <w:marLeft w:val="0"/>
          <w:marRight w:val="0"/>
          <w:marTop w:val="105"/>
          <w:marBottom w:val="105"/>
          <w:divBdr>
            <w:top w:val="none" w:sz="0" w:space="0" w:color="auto"/>
            <w:left w:val="none" w:sz="0" w:space="0" w:color="auto"/>
            <w:bottom w:val="none" w:sz="0" w:space="0" w:color="auto"/>
            <w:right w:val="none" w:sz="0" w:space="0" w:color="auto"/>
          </w:divBdr>
        </w:div>
      </w:divsChild>
    </w:div>
    <w:div w:id="825392979">
      <w:bodyDiv w:val="1"/>
      <w:marLeft w:val="0"/>
      <w:marRight w:val="0"/>
      <w:marTop w:val="0"/>
      <w:marBottom w:val="0"/>
      <w:divBdr>
        <w:top w:val="none" w:sz="0" w:space="0" w:color="auto"/>
        <w:left w:val="none" w:sz="0" w:space="0" w:color="auto"/>
        <w:bottom w:val="none" w:sz="0" w:space="0" w:color="auto"/>
        <w:right w:val="none" w:sz="0" w:space="0" w:color="auto"/>
      </w:divBdr>
    </w:div>
    <w:div w:id="850946478">
      <w:bodyDiv w:val="1"/>
      <w:marLeft w:val="0"/>
      <w:marRight w:val="0"/>
      <w:marTop w:val="0"/>
      <w:marBottom w:val="0"/>
      <w:divBdr>
        <w:top w:val="none" w:sz="0" w:space="0" w:color="auto"/>
        <w:left w:val="none" w:sz="0" w:space="0" w:color="auto"/>
        <w:bottom w:val="none" w:sz="0" w:space="0" w:color="auto"/>
        <w:right w:val="none" w:sz="0" w:space="0" w:color="auto"/>
      </w:divBdr>
      <w:divsChild>
        <w:div w:id="104807443">
          <w:marLeft w:val="1051"/>
          <w:marRight w:val="0"/>
          <w:marTop w:val="240"/>
          <w:marBottom w:val="0"/>
          <w:divBdr>
            <w:top w:val="none" w:sz="0" w:space="0" w:color="auto"/>
            <w:left w:val="none" w:sz="0" w:space="0" w:color="auto"/>
            <w:bottom w:val="none" w:sz="0" w:space="0" w:color="auto"/>
            <w:right w:val="none" w:sz="0" w:space="0" w:color="auto"/>
          </w:divBdr>
        </w:div>
        <w:div w:id="363290575">
          <w:marLeft w:val="1051"/>
          <w:marRight w:val="0"/>
          <w:marTop w:val="240"/>
          <w:marBottom w:val="0"/>
          <w:divBdr>
            <w:top w:val="none" w:sz="0" w:space="0" w:color="auto"/>
            <w:left w:val="none" w:sz="0" w:space="0" w:color="auto"/>
            <w:bottom w:val="none" w:sz="0" w:space="0" w:color="auto"/>
            <w:right w:val="none" w:sz="0" w:space="0" w:color="auto"/>
          </w:divBdr>
        </w:div>
        <w:div w:id="402610322">
          <w:marLeft w:val="1051"/>
          <w:marRight w:val="0"/>
          <w:marTop w:val="240"/>
          <w:marBottom w:val="0"/>
          <w:divBdr>
            <w:top w:val="none" w:sz="0" w:space="0" w:color="auto"/>
            <w:left w:val="none" w:sz="0" w:space="0" w:color="auto"/>
            <w:bottom w:val="none" w:sz="0" w:space="0" w:color="auto"/>
            <w:right w:val="none" w:sz="0" w:space="0" w:color="auto"/>
          </w:divBdr>
        </w:div>
        <w:div w:id="731076708">
          <w:marLeft w:val="1051"/>
          <w:marRight w:val="0"/>
          <w:marTop w:val="240"/>
          <w:marBottom w:val="0"/>
          <w:divBdr>
            <w:top w:val="none" w:sz="0" w:space="0" w:color="auto"/>
            <w:left w:val="none" w:sz="0" w:space="0" w:color="auto"/>
            <w:bottom w:val="none" w:sz="0" w:space="0" w:color="auto"/>
            <w:right w:val="none" w:sz="0" w:space="0" w:color="auto"/>
          </w:divBdr>
        </w:div>
        <w:div w:id="1010907421">
          <w:marLeft w:val="994"/>
          <w:marRight w:val="0"/>
          <w:marTop w:val="240"/>
          <w:marBottom w:val="0"/>
          <w:divBdr>
            <w:top w:val="none" w:sz="0" w:space="0" w:color="auto"/>
            <w:left w:val="none" w:sz="0" w:space="0" w:color="auto"/>
            <w:bottom w:val="none" w:sz="0" w:space="0" w:color="auto"/>
            <w:right w:val="none" w:sz="0" w:space="0" w:color="auto"/>
          </w:divBdr>
        </w:div>
        <w:div w:id="1153449020">
          <w:marLeft w:val="1051"/>
          <w:marRight w:val="0"/>
          <w:marTop w:val="240"/>
          <w:marBottom w:val="0"/>
          <w:divBdr>
            <w:top w:val="none" w:sz="0" w:space="0" w:color="auto"/>
            <w:left w:val="none" w:sz="0" w:space="0" w:color="auto"/>
            <w:bottom w:val="none" w:sz="0" w:space="0" w:color="auto"/>
            <w:right w:val="none" w:sz="0" w:space="0" w:color="auto"/>
          </w:divBdr>
        </w:div>
        <w:div w:id="1183275429">
          <w:marLeft w:val="1051"/>
          <w:marRight w:val="0"/>
          <w:marTop w:val="240"/>
          <w:marBottom w:val="0"/>
          <w:divBdr>
            <w:top w:val="none" w:sz="0" w:space="0" w:color="auto"/>
            <w:left w:val="none" w:sz="0" w:space="0" w:color="auto"/>
            <w:bottom w:val="none" w:sz="0" w:space="0" w:color="auto"/>
            <w:right w:val="none" w:sz="0" w:space="0" w:color="auto"/>
          </w:divBdr>
        </w:div>
        <w:div w:id="1208684849">
          <w:marLeft w:val="1051"/>
          <w:marRight w:val="0"/>
          <w:marTop w:val="240"/>
          <w:marBottom w:val="0"/>
          <w:divBdr>
            <w:top w:val="none" w:sz="0" w:space="0" w:color="auto"/>
            <w:left w:val="none" w:sz="0" w:space="0" w:color="auto"/>
            <w:bottom w:val="none" w:sz="0" w:space="0" w:color="auto"/>
            <w:right w:val="none" w:sz="0" w:space="0" w:color="auto"/>
          </w:divBdr>
        </w:div>
        <w:div w:id="1237402022">
          <w:marLeft w:val="360"/>
          <w:marRight w:val="0"/>
          <w:marTop w:val="240"/>
          <w:marBottom w:val="0"/>
          <w:divBdr>
            <w:top w:val="none" w:sz="0" w:space="0" w:color="auto"/>
            <w:left w:val="none" w:sz="0" w:space="0" w:color="auto"/>
            <w:bottom w:val="none" w:sz="0" w:space="0" w:color="auto"/>
            <w:right w:val="none" w:sz="0" w:space="0" w:color="auto"/>
          </w:divBdr>
        </w:div>
        <w:div w:id="1249778462">
          <w:marLeft w:val="1051"/>
          <w:marRight w:val="0"/>
          <w:marTop w:val="240"/>
          <w:marBottom w:val="0"/>
          <w:divBdr>
            <w:top w:val="none" w:sz="0" w:space="0" w:color="auto"/>
            <w:left w:val="none" w:sz="0" w:space="0" w:color="auto"/>
            <w:bottom w:val="none" w:sz="0" w:space="0" w:color="auto"/>
            <w:right w:val="none" w:sz="0" w:space="0" w:color="auto"/>
          </w:divBdr>
        </w:div>
        <w:div w:id="1313753498">
          <w:marLeft w:val="994"/>
          <w:marRight w:val="0"/>
          <w:marTop w:val="240"/>
          <w:marBottom w:val="0"/>
          <w:divBdr>
            <w:top w:val="none" w:sz="0" w:space="0" w:color="auto"/>
            <w:left w:val="none" w:sz="0" w:space="0" w:color="auto"/>
            <w:bottom w:val="none" w:sz="0" w:space="0" w:color="auto"/>
            <w:right w:val="none" w:sz="0" w:space="0" w:color="auto"/>
          </w:divBdr>
        </w:div>
        <w:div w:id="1419209030">
          <w:marLeft w:val="360"/>
          <w:marRight w:val="0"/>
          <w:marTop w:val="240"/>
          <w:marBottom w:val="0"/>
          <w:divBdr>
            <w:top w:val="none" w:sz="0" w:space="0" w:color="auto"/>
            <w:left w:val="none" w:sz="0" w:space="0" w:color="auto"/>
            <w:bottom w:val="none" w:sz="0" w:space="0" w:color="auto"/>
            <w:right w:val="none" w:sz="0" w:space="0" w:color="auto"/>
          </w:divBdr>
        </w:div>
        <w:div w:id="1509755738">
          <w:marLeft w:val="1051"/>
          <w:marRight w:val="0"/>
          <w:marTop w:val="240"/>
          <w:marBottom w:val="0"/>
          <w:divBdr>
            <w:top w:val="none" w:sz="0" w:space="0" w:color="auto"/>
            <w:left w:val="none" w:sz="0" w:space="0" w:color="auto"/>
            <w:bottom w:val="none" w:sz="0" w:space="0" w:color="auto"/>
            <w:right w:val="none" w:sz="0" w:space="0" w:color="auto"/>
          </w:divBdr>
        </w:div>
        <w:div w:id="1727142715">
          <w:marLeft w:val="1051"/>
          <w:marRight w:val="0"/>
          <w:marTop w:val="240"/>
          <w:marBottom w:val="0"/>
          <w:divBdr>
            <w:top w:val="none" w:sz="0" w:space="0" w:color="auto"/>
            <w:left w:val="none" w:sz="0" w:space="0" w:color="auto"/>
            <w:bottom w:val="none" w:sz="0" w:space="0" w:color="auto"/>
            <w:right w:val="none" w:sz="0" w:space="0" w:color="auto"/>
          </w:divBdr>
        </w:div>
        <w:div w:id="1829905857">
          <w:marLeft w:val="1051"/>
          <w:marRight w:val="0"/>
          <w:marTop w:val="240"/>
          <w:marBottom w:val="0"/>
          <w:divBdr>
            <w:top w:val="none" w:sz="0" w:space="0" w:color="auto"/>
            <w:left w:val="none" w:sz="0" w:space="0" w:color="auto"/>
            <w:bottom w:val="none" w:sz="0" w:space="0" w:color="auto"/>
            <w:right w:val="none" w:sz="0" w:space="0" w:color="auto"/>
          </w:divBdr>
        </w:div>
      </w:divsChild>
    </w:div>
    <w:div w:id="851997348">
      <w:bodyDiv w:val="1"/>
      <w:marLeft w:val="0"/>
      <w:marRight w:val="0"/>
      <w:marTop w:val="0"/>
      <w:marBottom w:val="0"/>
      <w:divBdr>
        <w:top w:val="none" w:sz="0" w:space="0" w:color="auto"/>
        <w:left w:val="none" w:sz="0" w:space="0" w:color="auto"/>
        <w:bottom w:val="none" w:sz="0" w:space="0" w:color="auto"/>
        <w:right w:val="none" w:sz="0" w:space="0" w:color="auto"/>
      </w:divBdr>
    </w:div>
    <w:div w:id="868377872">
      <w:bodyDiv w:val="1"/>
      <w:marLeft w:val="0"/>
      <w:marRight w:val="0"/>
      <w:marTop w:val="0"/>
      <w:marBottom w:val="0"/>
      <w:divBdr>
        <w:top w:val="none" w:sz="0" w:space="0" w:color="auto"/>
        <w:left w:val="none" w:sz="0" w:space="0" w:color="auto"/>
        <w:bottom w:val="none" w:sz="0" w:space="0" w:color="auto"/>
        <w:right w:val="none" w:sz="0" w:space="0" w:color="auto"/>
      </w:divBdr>
    </w:div>
    <w:div w:id="874925716">
      <w:bodyDiv w:val="1"/>
      <w:marLeft w:val="0"/>
      <w:marRight w:val="0"/>
      <w:marTop w:val="0"/>
      <w:marBottom w:val="0"/>
      <w:divBdr>
        <w:top w:val="none" w:sz="0" w:space="0" w:color="auto"/>
        <w:left w:val="none" w:sz="0" w:space="0" w:color="auto"/>
        <w:bottom w:val="none" w:sz="0" w:space="0" w:color="auto"/>
        <w:right w:val="none" w:sz="0" w:space="0" w:color="auto"/>
      </w:divBdr>
    </w:div>
    <w:div w:id="887374037">
      <w:bodyDiv w:val="1"/>
      <w:marLeft w:val="0"/>
      <w:marRight w:val="0"/>
      <w:marTop w:val="0"/>
      <w:marBottom w:val="0"/>
      <w:divBdr>
        <w:top w:val="none" w:sz="0" w:space="0" w:color="auto"/>
        <w:left w:val="none" w:sz="0" w:space="0" w:color="auto"/>
        <w:bottom w:val="none" w:sz="0" w:space="0" w:color="auto"/>
        <w:right w:val="none" w:sz="0" w:space="0" w:color="auto"/>
      </w:divBdr>
    </w:div>
    <w:div w:id="903951303">
      <w:bodyDiv w:val="1"/>
      <w:marLeft w:val="0"/>
      <w:marRight w:val="0"/>
      <w:marTop w:val="0"/>
      <w:marBottom w:val="0"/>
      <w:divBdr>
        <w:top w:val="none" w:sz="0" w:space="0" w:color="auto"/>
        <w:left w:val="none" w:sz="0" w:space="0" w:color="auto"/>
        <w:bottom w:val="none" w:sz="0" w:space="0" w:color="auto"/>
        <w:right w:val="none" w:sz="0" w:space="0" w:color="auto"/>
      </w:divBdr>
    </w:div>
    <w:div w:id="906036762">
      <w:bodyDiv w:val="1"/>
      <w:marLeft w:val="0"/>
      <w:marRight w:val="0"/>
      <w:marTop w:val="0"/>
      <w:marBottom w:val="0"/>
      <w:divBdr>
        <w:top w:val="none" w:sz="0" w:space="0" w:color="auto"/>
        <w:left w:val="none" w:sz="0" w:space="0" w:color="auto"/>
        <w:bottom w:val="none" w:sz="0" w:space="0" w:color="auto"/>
        <w:right w:val="none" w:sz="0" w:space="0" w:color="auto"/>
      </w:divBdr>
    </w:div>
    <w:div w:id="927890735">
      <w:bodyDiv w:val="1"/>
      <w:marLeft w:val="0"/>
      <w:marRight w:val="0"/>
      <w:marTop w:val="0"/>
      <w:marBottom w:val="0"/>
      <w:divBdr>
        <w:top w:val="none" w:sz="0" w:space="0" w:color="auto"/>
        <w:left w:val="none" w:sz="0" w:space="0" w:color="auto"/>
        <w:bottom w:val="none" w:sz="0" w:space="0" w:color="auto"/>
        <w:right w:val="none" w:sz="0" w:space="0" w:color="auto"/>
      </w:divBdr>
    </w:div>
    <w:div w:id="935868505">
      <w:bodyDiv w:val="1"/>
      <w:marLeft w:val="0"/>
      <w:marRight w:val="0"/>
      <w:marTop w:val="0"/>
      <w:marBottom w:val="0"/>
      <w:divBdr>
        <w:top w:val="none" w:sz="0" w:space="0" w:color="auto"/>
        <w:left w:val="none" w:sz="0" w:space="0" w:color="auto"/>
        <w:bottom w:val="none" w:sz="0" w:space="0" w:color="auto"/>
        <w:right w:val="none" w:sz="0" w:space="0" w:color="auto"/>
      </w:divBdr>
      <w:divsChild>
        <w:div w:id="934631335">
          <w:marLeft w:val="274"/>
          <w:marRight w:val="0"/>
          <w:marTop w:val="0"/>
          <w:marBottom w:val="109"/>
          <w:divBdr>
            <w:top w:val="none" w:sz="0" w:space="0" w:color="auto"/>
            <w:left w:val="none" w:sz="0" w:space="0" w:color="auto"/>
            <w:bottom w:val="none" w:sz="0" w:space="0" w:color="auto"/>
            <w:right w:val="none" w:sz="0" w:space="0" w:color="auto"/>
          </w:divBdr>
        </w:div>
      </w:divsChild>
    </w:div>
    <w:div w:id="949163831">
      <w:bodyDiv w:val="1"/>
      <w:marLeft w:val="0"/>
      <w:marRight w:val="0"/>
      <w:marTop w:val="0"/>
      <w:marBottom w:val="0"/>
      <w:divBdr>
        <w:top w:val="none" w:sz="0" w:space="0" w:color="auto"/>
        <w:left w:val="none" w:sz="0" w:space="0" w:color="auto"/>
        <w:bottom w:val="none" w:sz="0" w:space="0" w:color="auto"/>
        <w:right w:val="none" w:sz="0" w:space="0" w:color="auto"/>
      </w:divBdr>
    </w:div>
    <w:div w:id="950742819">
      <w:bodyDiv w:val="1"/>
      <w:marLeft w:val="0"/>
      <w:marRight w:val="0"/>
      <w:marTop w:val="0"/>
      <w:marBottom w:val="0"/>
      <w:divBdr>
        <w:top w:val="none" w:sz="0" w:space="0" w:color="auto"/>
        <w:left w:val="none" w:sz="0" w:space="0" w:color="auto"/>
        <w:bottom w:val="none" w:sz="0" w:space="0" w:color="auto"/>
        <w:right w:val="none" w:sz="0" w:space="0" w:color="auto"/>
      </w:divBdr>
      <w:divsChild>
        <w:div w:id="1569613058">
          <w:marLeft w:val="274"/>
          <w:marRight w:val="0"/>
          <w:marTop w:val="0"/>
          <w:marBottom w:val="0"/>
          <w:divBdr>
            <w:top w:val="none" w:sz="0" w:space="0" w:color="auto"/>
            <w:left w:val="none" w:sz="0" w:space="0" w:color="auto"/>
            <w:bottom w:val="none" w:sz="0" w:space="0" w:color="auto"/>
            <w:right w:val="none" w:sz="0" w:space="0" w:color="auto"/>
          </w:divBdr>
        </w:div>
        <w:div w:id="1887065867">
          <w:marLeft w:val="274"/>
          <w:marRight w:val="0"/>
          <w:marTop w:val="0"/>
          <w:marBottom w:val="0"/>
          <w:divBdr>
            <w:top w:val="none" w:sz="0" w:space="0" w:color="auto"/>
            <w:left w:val="none" w:sz="0" w:space="0" w:color="auto"/>
            <w:bottom w:val="none" w:sz="0" w:space="0" w:color="auto"/>
            <w:right w:val="none" w:sz="0" w:space="0" w:color="auto"/>
          </w:divBdr>
        </w:div>
        <w:div w:id="1901400187">
          <w:marLeft w:val="274"/>
          <w:marRight w:val="0"/>
          <w:marTop w:val="0"/>
          <w:marBottom w:val="0"/>
          <w:divBdr>
            <w:top w:val="none" w:sz="0" w:space="0" w:color="auto"/>
            <w:left w:val="none" w:sz="0" w:space="0" w:color="auto"/>
            <w:bottom w:val="none" w:sz="0" w:space="0" w:color="auto"/>
            <w:right w:val="none" w:sz="0" w:space="0" w:color="auto"/>
          </w:divBdr>
        </w:div>
      </w:divsChild>
    </w:div>
    <w:div w:id="959410115">
      <w:bodyDiv w:val="1"/>
      <w:marLeft w:val="0"/>
      <w:marRight w:val="0"/>
      <w:marTop w:val="0"/>
      <w:marBottom w:val="0"/>
      <w:divBdr>
        <w:top w:val="none" w:sz="0" w:space="0" w:color="auto"/>
        <w:left w:val="none" w:sz="0" w:space="0" w:color="auto"/>
        <w:bottom w:val="none" w:sz="0" w:space="0" w:color="auto"/>
        <w:right w:val="none" w:sz="0" w:space="0" w:color="auto"/>
      </w:divBdr>
      <w:divsChild>
        <w:div w:id="180631521">
          <w:marLeft w:val="274"/>
          <w:marRight w:val="0"/>
          <w:marTop w:val="60"/>
          <w:marBottom w:val="0"/>
          <w:divBdr>
            <w:top w:val="none" w:sz="0" w:space="0" w:color="auto"/>
            <w:left w:val="none" w:sz="0" w:space="0" w:color="auto"/>
            <w:bottom w:val="none" w:sz="0" w:space="0" w:color="auto"/>
            <w:right w:val="none" w:sz="0" w:space="0" w:color="auto"/>
          </w:divBdr>
        </w:div>
        <w:div w:id="1210260061">
          <w:marLeft w:val="274"/>
          <w:marRight w:val="0"/>
          <w:marTop w:val="60"/>
          <w:marBottom w:val="0"/>
          <w:divBdr>
            <w:top w:val="none" w:sz="0" w:space="0" w:color="auto"/>
            <w:left w:val="none" w:sz="0" w:space="0" w:color="auto"/>
            <w:bottom w:val="none" w:sz="0" w:space="0" w:color="auto"/>
            <w:right w:val="none" w:sz="0" w:space="0" w:color="auto"/>
          </w:divBdr>
        </w:div>
        <w:div w:id="1228492050">
          <w:marLeft w:val="274"/>
          <w:marRight w:val="0"/>
          <w:marTop w:val="60"/>
          <w:marBottom w:val="0"/>
          <w:divBdr>
            <w:top w:val="none" w:sz="0" w:space="0" w:color="auto"/>
            <w:left w:val="none" w:sz="0" w:space="0" w:color="auto"/>
            <w:bottom w:val="none" w:sz="0" w:space="0" w:color="auto"/>
            <w:right w:val="none" w:sz="0" w:space="0" w:color="auto"/>
          </w:divBdr>
        </w:div>
      </w:divsChild>
    </w:div>
    <w:div w:id="959605246">
      <w:bodyDiv w:val="1"/>
      <w:marLeft w:val="0"/>
      <w:marRight w:val="0"/>
      <w:marTop w:val="0"/>
      <w:marBottom w:val="0"/>
      <w:divBdr>
        <w:top w:val="none" w:sz="0" w:space="0" w:color="auto"/>
        <w:left w:val="none" w:sz="0" w:space="0" w:color="auto"/>
        <w:bottom w:val="none" w:sz="0" w:space="0" w:color="auto"/>
        <w:right w:val="none" w:sz="0" w:space="0" w:color="auto"/>
      </w:divBdr>
      <w:divsChild>
        <w:div w:id="104883392">
          <w:marLeft w:val="274"/>
          <w:marRight w:val="0"/>
          <w:marTop w:val="0"/>
          <w:marBottom w:val="120"/>
          <w:divBdr>
            <w:top w:val="none" w:sz="0" w:space="0" w:color="auto"/>
            <w:left w:val="none" w:sz="0" w:space="0" w:color="auto"/>
            <w:bottom w:val="none" w:sz="0" w:space="0" w:color="auto"/>
            <w:right w:val="none" w:sz="0" w:space="0" w:color="auto"/>
          </w:divBdr>
        </w:div>
        <w:div w:id="310331091">
          <w:marLeft w:val="274"/>
          <w:marRight w:val="0"/>
          <w:marTop w:val="0"/>
          <w:marBottom w:val="120"/>
          <w:divBdr>
            <w:top w:val="none" w:sz="0" w:space="0" w:color="auto"/>
            <w:left w:val="none" w:sz="0" w:space="0" w:color="auto"/>
            <w:bottom w:val="none" w:sz="0" w:space="0" w:color="auto"/>
            <w:right w:val="none" w:sz="0" w:space="0" w:color="auto"/>
          </w:divBdr>
        </w:div>
        <w:div w:id="516584295">
          <w:marLeft w:val="274"/>
          <w:marRight w:val="0"/>
          <w:marTop w:val="0"/>
          <w:marBottom w:val="120"/>
          <w:divBdr>
            <w:top w:val="none" w:sz="0" w:space="0" w:color="auto"/>
            <w:left w:val="none" w:sz="0" w:space="0" w:color="auto"/>
            <w:bottom w:val="none" w:sz="0" w:space="0" w:color="auto"/>
            <w:right w:val="none" w:sz="0" w:space="0" w:color="auto"/>
          </w:divBdr>
        </w:div>
        <w:div w:id="849101703">
          <w:marLeft w:val="274"/>
          <w:marRight w:val="0"/>
          <w:marTop w:val="0"/>
          <w:marBottom w:val="120"/>
          <w:divBdr>
            <w:top w:val="none" w:sz="0" w:space="0" w:color="auto"/>
            <w:left w:val="none" w:sz="0" w:space="0" w:color="auto"/>
            <w:bottom w:val="none" w:sz="0" w:space="0" w:color="auto"/>
            <w:right w:val="none" w:sz="0" w:space="0" w:color="auto"/>
          </w:divBdr>
        </w:div>
        <w:div w:id="931861669">
          <w:marLeft w:val="274"/>
          <w:marRight w:val="0"/>
          <w:marTop w:val="0"/>
          <w:marBottom w:val="120"/>
          <w:divBdr>
            <w:top w:val="none" w:sz="0" w:space="0" w:color="auto"/>
            <w:left w:val="none" w:sz="0" w:space="0" w:color="auto"/>
            <w:bottom w:val="none" w:sz="0" w:space="0" w:color="auto"/>
            <w:right w:val="none" w:sz="0" w:space="0" w:color="auto"/>
          </w:divBdr>
        </w:div>
        <w:div w:id="1013453339">
          <w:marLeft w:val="274"/>
          <w:marRight w:val="0"/>
          <w:marTop w:val="0"/>
          <w:marBottom w:val="120"/>
          <w:divBdr>
            <w:top w:val="none" w:sz="0" w:space="0" w:color="auto"/>
            <w:left w:val="none" w:sz="0" w:space="0" w:color="auto"/>
            <w:bottom w:val="none" w:sz="0" w:space="0" w:color="auto"/>
            <w:right w:val="none" w:sz="0" w:space="0" w:color="auto"/>
          </w:divBdr>
        </w:div>
        <w:div w:id="1217817931">
          <w:marLeft w:val="274"/>
          <w:marRight w:val="0"/>
          <w:marTop w:val="0"/>
          <w:marBottom w:val="120"/>
          <w:divBdr>
            <w:top w:val="none" w:sz="0" w:space="0" w:color="auto"/>
            <w:left w:val="none" w:sz="0" w:space="0" w:color="auto"/>
            <w:bottom w:val="none" w:sz="0" w:space="0" w:color="auto"/>
            <w:right w:val="none" w:sz="0" w:space="0" w:color="auto"/>
          </w:divBdr>
        </w:div>
      </w:divsChild>
    </w:div>
    <w:div w:id="1004821060">
      <w:bodyDiv w:val="1"/>
      <w:marLeft w:val="0"/>
      <w:marRight w:val="0"/>
      <w:marTop w:val="0"/>
      <w:marBottom w:val="0"/>
      <w:divBdr>
        <w:top w:val="none" w:sz="0" w:space="0" w:color="auto"/>
        <w:left w:val="none" w:sz="0" w:space="0" w:color="auto"/>
        <w:bottom w:val="none" w:sz="0" w:space="0" w:color="auto"/>
        <w:right w:val="none" w:sz="0" w:space="0" w:color="auto"/>
      </w:divBdr>
      <w:divsChild>
        <w:div w:id="724987567">
          <w:marLeft w:val="274"/>
          <w:marRight w:val="0"/>
          <w:marTop w:val="40"/>
          <w:marBottom w:val="40"/>
          <w:divBdr>
            <w:top w:val="none" w:sz="0" w:space="0" w:color="auto"/>
            <w:left w:val="none" w:sz="0" w:space="0" w:color="auto"/>
            <w:bottom w:val="none" w:sz="0" w:space="0" w:color="auto"/>
            <w:right w:val="none" w:sz="0" w:space="0" w:color="auto"/>
          </w:divBdr>
        </w:div>
        <w:div w:id="842818196">
          <w:marLeft w:val="274"/>
          <w:marRight w:val="0"/>
          <w:marTop w:val="40"/>
          <w:marBottom w:val="40"/>
          <w:divBdr>
            <w:top w:val="none" w:sz="0" w:space="0" w:color="auto"/>
            <w:left w:val="none" w:sz="0" w:space="0" w:color="auto"/>
            <w:bottom w:val="none" w:sz="0" w:space="0" w:color="auto"/>
            <w:right w:val="none" w:sz="0" w:space="0" w:color="auto"/>
          </w:divBdr>
        </w:div>
        <w:div w:id="952323222">
          <w:marLeft w:val="274"/>
          <w:marRight w:val="0"/>
          <w:marTop w:val="40"/>
          <w:marBottom w:val="40"/>
          <w:divBdr>
            <w:top w:val="none" w:sz="0" w:space="0" w:color="auto"/>
            <w:left w:val="none" w:sz="0" w:space="0" w:color="auto"/>
            <w:bottom w:val="none" w:sz="0" w:space="0" w:color="auto"/>
            <w:right w:val="none" w:sz="0" w:space="0" w:color="auto"/>
          </w:divBdr>
        </w:div>
        <w:div w:id="1006131329">
          <w:marLeft w:val="274"/>
          <w:marRight w:val="0"/>
          <w:marTop w:val="40"/>
          <w:marBottom w:val="40"/>
          <w:divBdr>
            <w:top w:val="none" w:sz="0" w:space="0" w:color="auto"/>
            <w:left w:val="none" w:sz="0" w:space="0" w:color="auto"/>
            <w:bottom w:val="none" w:sz="0" w:space="0" w:color="auto"/>
            <w:right w:val="none" w:sz="0" w:space="0" w:color="auto"/>
          </w:divBdr>
        </w:div>
        <w:div w:id="1132480682">
          <w:marLeft w:val="274"/>
          <w:marRight w:val="0"/>
          <w:marTop w:val="40"/>
          <w:marBottom w:val="40"/>
          <w:divBdr>
            <w:top w:val="none" w:sz="0" w:space="0" w:color="auto"/>
            <w:left w:val="none" w:sz="0" w:space="0" w:color="auto"/>
            <w:bottom w:val="none" w:sz="0" w:space="0" w:color="auto"/>
            <w:right w:val="none" w:sz="0" w:space="0" w:color="auto"/>
          </w:divBdr>
        </w:div>
        <w:div w:id="1196574050">
          <w:marLeft w:val="274"/>
          <w:marRight w:val="0"/>
          <w:marTop w:val="40"/>
          <w:marBottom w:val="40"/>
          <w:divBdr>
            <w:top w:val="none" w:sz="0" w:space="0" w:color="auto"/>
            <w:left w:val="none" w:sz="0" w:space="0" w:color="auto"/>
            <w:bottom w:val="none" w:sz="0" w:space="0" w:color="auto"/>
            <w:right w:val="none" w:sz="0" w:space="0" w:color="auto"/>
          </w:divBdr>
        </w:div>
        <w:div w:id="1307513818">
          <w:marLeft w:val="274"/>
          <w:marRight w:val="0"/>
          <w:marTop w:val="40"/>
          <w:marBottom w:val="40"/>
          <w:divBdr>
            <w:top w:val="none" w:sz="0" w:space="0" w:color="auto"/>
            <w:left w:val="none" w:sz="0" w:space="0" w:color="auto"/>
            <w:bottom w:val="none" w:sz="0" w:space="0" w:color="auto"/>
            <w:right w:val="none" w:sz="0" w:space="0" w:color="auto"/>
          </w:divBdr>
        </w:div>
        <w:div w:id="1442720011">
          <w:marLeft w:val="274"/>
          <w:marRight w:val="0"/>
          <w:marTop w:val="40"/>
          <w:marBottom w:val="40"/>
          <w:divBdr>
            <w:top w:val="none" w:sz="0" w:space="0" w:color="auto"/>
            <w:left w:val="none" w:sz="0" w:space="0" w:color="auto"/>
            <w:bottom w:val="none" w:sz="0" w:space="0" w:color="auto"/>
            <w:right w:val="none" w:sz="0" w:space="0" w:color="auto"/>
          </w:divBdr>
        </w:div>
        <w:div w:id="1700427099">
          <w:marLeft w:val="274"/>
          <w:marRight w:val="0"/>
          <w:marTop w:val="40"/>
          <w:marBottom w:val="40"/>
          <w:divBdr>
            <w:top w:val="none" w:sz="0" w:space="0" w:color="auto"/>
            <w:left w:val="none" w:sz="0" w:space="0" w:color="auto"/>
            <w:bottom w:val="none" w:sz="0" w:space="0" w:color="auto"/>
            <w:right w:val="none" w:sz="0" w:space="0" w:color="auto"/>
          </w:divBdr>
        </w:div>
        <w:div w:id="1799375099">
          <w:marLeft w:val="274"/>
          <w:marRight w:val="0"/>
          <w:marTop w:val="40"/>
          <w:marBottom w:val="40"/>
          <w:divBdr>
            <w:top w:val="none" w:sz="0" w:space="0" w:color="auto"/>
            <w:left w:val="none" w:sz="0" w:space="0" w:color="auto"/>
            <w:bottom w:val="none" w:sz="0" w:space="0" w:color="auto"/>
            <w:right w:val="none" w:sz="0" w:space="0" w:color="auto"/>
          </w:divBdr>
        </w:div>
        <w:div w:id="1934584797">
          <w:marLeft w:val="274"/>
          <w:marRight w:val="0"/>
          <w:marTop w:val="40"/>
          <w:marBottom w:val="40"/>
          <w:divBdr>
            <w:top w:val="none" w:sz="0" w:space="0" w:color="auto"/>
            <w:left w:val="none" w:sz="0" w:space="0" w:color="auto"/>
            <w:bottom w:val="none" w:sz="0" w:space="0" w:color="auto"/>
            <w:right w:val="none" w:sz="0" w:space="0" w:color="auto"/>
          </w:divBdr>
        </w:div>
      </w:divsChild>
    </w:div>
    <w:div w:id="1010764918">
      <w:bodyDiv w:val="1"/>
      <w:marLeft w:val="0"/>
      <w:marRight w:val="0"/>
      <w:marTop w:val="0"/>
      <w:marBottom w:val="0"/>
      <w:divBdr>
        <w:top w:val="none" w:sz="0" w:space="0" w:color="auto"/>
        <w:left w:val="none" w:sz="0" w:space="0" w:color="auto"/>
        <w:bottom w:val="none" w:sz="0" w:space="0" w:color="auto"/>
        <w:right w:val="none" w:sz="0" w:space="0" w:color="auto"/>
      </w:divBdr>
    </w:div>
    <w:div w:id="1018889319">
      <w:bodyDiv w:val="1"/>
      <w:marLeft w:val="0"/>
      <w:marRight w:val="0"/>
      <w:marTop w:val="0"/>
      <w:marBottom w:val="0"/>
      <w:divBdr>
        <w:top w:val="none" w:sz="0" w:space="0" w:color="auto"/>
        <w:left w:val="none" w:sz="0" w:space="0" w:color="auto"/>
        <w:bottom w:val="none" w:sz="0" w:space="0" w:color="auto"/>
        <w:right w:val="none" w:sz="0" w:space="0" w:color="auto"/>
      </w:divBdr>
      <w:divsChild>
        <w:div w:id="60761967">
          <w:marLeft w:val="274"/>
          <w:marRight w:val="0"/>
          <w:marTop w:val="0"/>
          <w:marBottom w:val="0"/>
          <w:divBdr>
            <w:top w:val="none" w:sz="0" w:space="0" w:color="auto"/>
            <w:left w:val="none" w:sz="0" w:space="0" w:color="auto"/>
            <w:bottom w:val="none" w:sz="0" w:space="0" w:color="auto"/>
            <w:right w:val="none" w:sz="0" w:space="0" w:color="auto"/>
          </w:divBdr>
        </w:div>
        <w:div w:id="105345616">
          <w:marLeft w:val="274"/>
          <w:marRight w:val="0"/>
          <w:marTop w:val="0"/>
          <w:marBottom w:val="0"/>
          <w:divBdr>
            <w:top w:val="none" w:sz="0" w:space="0" w:color="auto"/>
            <w:left w:val="none" w:sz="0" w:space="0" w:color="auto"/>
            <w:bottom w:val="none" w:sz="0" w:space="0" w:color="auto"/>
            <w:right w:val="none" w:sz="0" w:space="0" w:color="auto"/>
          </w:divBdr>
        </w:div>
        <w:div w:id="121731505">
          <w:marLeft w:val="274"/>
          <w:marRight w:val="0"/>
          <w:marTop w:val="0"/>
          <w:marBottom w:val="0"/>
          <w:divBdr>
            <w:top w:val="none" w:sz="0" w:space="0" w:color="auto"/>
            <w:left w:val="none" w:sz="0" w:space="0" w:color="auto"/>
            <w:bottom w:val="none" w:sz="0" w:space="0" w:color="auto"/>
            <w:right w:val="none" w:sz="0" w:space="0" w:color="auto"/>
          </w:divBdr>
        </w:div>
        <w:div w:id="275990967">
          <w:marLeft w:val="274"/>
          <w:marRight w:val="0"/>
          <w:marTop w:val="0"/>
          <w:marBottom w:val="0"/>
          <w:divBdr>
            <w:top w:val="none" w:sz="0" w:space="0" w:color="auto"/>
            <w:left w:val="none" w:sz="0" w:space="0" w:color="auto"/>
            <w:bottom w:val="none" w:sz="0" w:space="0" w:color="auto"/>
            <w:right w:val="none" w:sz="0" w:space="0" w:color="auto"/>
          </w:divBdr>
        </w:div>
        <w:div w:id="551963571">
          <w:marLeft w:val="274"/>
          <w:marRight w:val="0"/>
          <w:marTop w:val="0"/>
          <w:marBottom w:val="0"/>
          <w:divBdr>
            <w:top w:val="none" w:sz="0" w:space="0" w:color="auto"/>
            <w:left w:val="none" w:sz="0" w:space="0" w:color="auto"/>
            <w:bottom w:val="none" w:sz="0" w:space="0" w:color="auto"/>
            <w:right w:val="none" w:sz="0" w:space="0" w:color="auto"/>
          </w:divBdr>
        </w:div>
        <w:div w:id="619604449">
          <w:marLeft w:val="274"/>
          <w:marRight w:val="0"/>
          <w:marTop w:val="0"/>
          <w:marBottom w:val="0"/>
          <w:divBdr>
            <w:top w:val="none" w:sz="0" w:space="0" w:color="auto"/>
            <w:left w:val="none" w:sz="0" w:space="0" w:color="auto"/>
            <w:bottom w:val="none" w:sz="0" w:space="0" w:color="auto"/>
            <w:right w:val="none" w:sz="0" w:space="0" w:color="auto"/>
          </w:divBdr>
        </w:div>
        <w:div w:id="742340349">
          <w:marLeft w:val="274"/>
          <w:marRight w:val="0"/>
          <w:marTop w:val="0"/>
          <w:marBottom w:val="0"/>
          <w:divBdr>
            <w:top w:val="none" w:sz="0" w:space="0" w:color="auto"/>
            <w:left w:val="none" w:sz="0" w:space="0" w:color="auto"/>
            <w:bottom w:val="none" w:sz="0" w:space="0" w:color="auto"/>
            <w:right w:val="none" w:sz="0" w:space="0" w:color="auto"/>
          </w:divBdr>
        </w:div>
        <w:div w:id="768279301">
          <w:marLeft w:val="274"/>
          <w:marRight w:val="0"/>
          <w:marTop w:val="0"/>
          <w:marBottom w:val="0"/>
          <w:divBdr>
            <w:top w:val="none" w:sz="0" w:space="0" w:color="auto"/>
            <w:left w:val="none" w:sz="0" w:space="0" w:color="auto"/>
            <w:bottom w:val="none" w:sz="0" w:space="0" w:color="auto"/>
            <w:right w:val="none" w:sz="0" w:space="0" w:color="auto"/>
          </w:divBdr>
        </w:div>
        <w:div w:id="811293487">
          <w:marLeft w:val="274"/>
          <w:marRight w:val="0"/>
          <w:marTop w:val="0"/>
          <w:marBottom w:val="0"/>
          <w:divBdr>
            <w:top w:val="none" w:sz="0" w:space="0" w:color="auto"/>
            <w:left w:val="none" w:sz="0" w:space="0" w:color="auto"/>
            <w:bottom w:val="none" w:sz="0" w:space="0" w:color="auto"/>
            <w:right w:val="none" w:sz="0" w:space="0" w:color="auto"/>
          </w:divBdr>
        </w:div>
        <w:div w:id="850952128">
          <w:marLeft w:val="274"/>
          <w:marRight w:val="0"/>
          <w:marTop w:val="0"/>
          <w:marBottom w:val="0"/>
          <w:divBdr>
            <w:top w:val="none" w:sz="0" w:space="0" w:color="auto"/>
            <w:left w:val="none" w:sz="0" w:space="0" w:color="auto"/>
            <w:bottom w:val="none" w:sz="0" w:space="0" w:color="auto"/>
            <w:right w:val="none" w:sz="0" w:space="0" w:color="auto"/>
          </w:divBdr>
        </w:div>
        <w:div w:id="873079908">
          <w:marLeft w:val="274"/>
          <w:marRight w:val="0"/>
          <w:marTop w:val="0"/>
          <w:marBottom w:val="0"/>
          <w:divBdr>
            <w:top w:val="none" w:sz="0" w:space="0" w:color="auto"/>
            <w:left w:val="none" w:sz="0" w:space="0" w:color="auto"/>
            <w:bottom w:val="none" w:sz="0" w:space="0" w:color="auto"/>
            <w:right w:val="none" w:sz="0" w:space="0" w:color="auto"/>
          </w:divBdr>
        </w:div>
        <w:div w:id="948202817">
          <w:marLeft w:val="274"/>
          <w:marRight w:val="0"/>
          <w:marTop w:val="0"/>
          <w:marBottom w:val="0"/>
          <w:divBdr>
            <w:top w:val="none" w:sz="0" w:space="0" w:color="auto"/>
            <w:left w:val="none" w:sz="0" w:space="0" w:color="auto"/>
            <w:bottom w:val="none" w:sz="0" w:space="0" w:color="auto"/>
            <w:right w:val="none" w:sz="0" w:space="0" w:color="auto"/>
          </w:divBdr>
        </w:div>
        <w:div w:id="1165389852">
          <w:marLeft w:val="274"/>
          <w:marRight w:val="0"/>
          <w:marTop w:val="0"/>
          <w:marBottom w:val="0"/>
          <w:divBdr>
            <w:top w:val="none" w:sz="0" w:space="0" w:color="auto"/>
            <w:left w:val="none" w:sz="0" w:space="0" w:color="auto"/>
            <w:bottom w:val="none" w:sz="0" w:space="0" w:color="auto"/>
            <w:right w:val="none" w:sz="0" w:space="0" w:color="auto"/>
          </w:divBdr>
        </w:div>
        <w:div w:id="1171485602">
          <w:marLeft w:val="274"/>
          <w:marRight w:val="0"/>
          <w:marTop w:val="0"/>
          <w:marBottom w:val="0"/>
          <w:divBdr>
            <w:top w:val="none" w:sz="0" w:space="0" w:color="auto"/>
            <w:left w:val="none" w:sz="0" w:space="0" w:color="auto"/>
            <w:bottom w:val="none" w:sz="0" w:space="0" w:color="auto"/>
            <w:right w:val="none" w:sz="0" w:space="0" w:color="auto"/>
          </w:divBdr>
        </w:div>
        <w:div w:id="1426220080">
          <w:marLeft w:val="274"/>
          <w:marRight w:val="0"/>
          <w:marTop w:val="0"/>
          <w:marBottom w:val="0"/>
          <w:divBdr>
            <w:top w:val="none" w:sz="0" w:space="0" w:color="auto"/>
            <w:left w:val="none" w:sz="0" w:space="0" w:color="auto"/>
            <w:bottom w:val="none" w:sz="0" w:space="0" w:color="auto"/>
            <w:right w:val="none" w:sz="0" w:space="0" w:color="auto"/>
          </w:divBdr>
        </w:div>
        <w:div w:id="1471358892">
          <w:marLeft w:val="274"/>
          <w:marRight w:val="0"/>
          <w:marTop w:val="0"/>
          <w:marBottom w:val="0"/>
          <w:divBdr>
            <w:top w:val="none" w:sz="0" w:space="0" w:color="auto"/>
            <w:left w:val="none" w:sz="0" w:space="0" w:color="auto"/>
            <w:bottom w:val="none" w:sz="0" w:space="0" w:color="auto"/>
            <w:right w:val="none" w:sz="0" w:space="0" w:color="auto"/>
          </w:divBdr>
        </w:div>
        <w:div w:id="1537890559">
          <w:marLeft w:val="274"/>
          <w:marRight w:val="0"/>
          <w:marTop w:val="0"/>
          <w:marBottom w:val="0"/>
          <w:divBdr>
            <w:top w:val="none" w:sz="0" w:space="0" w:color="auto"/>
            <w:left w:val="none" w:sz="0" w:space="0" w:color="auto"/>
            <w:bottom w:val="none" w:sz="0" w:space="0" w:color="auto"/>
            <w:right w:val="none" w:sz="0" w:space="0" w:color="auto"/>
          </w:divBdr>
        </w:div>
        <w:div w:id="1550875092">
          <w:marLeft w:val="274"/>
          <w:marRight w:val="0"/>
          <w:marTop w:val="0"/>
          <w:marBottom w:val="0"/>
          <w:divBdr>
            <w:top w:val="none" w:sz="0" w:space="0" w:color="auto"/>
            <w:left w:val="none" w:sz="0" w:space="0" w:color="auto"/>
            <w:bottom w:val="none" w:sz="0" w:space="0" w:color="auto"/>
            <w:right w:val="none" w:sz="0" w:space="0" w:color="auto"/>
          </w:divBdr>
        </w:div>
        <w:div w:id="1786996365">
          <w:marLeft w:val="274"/>
          <w:marRight w:val="0"/>
          <w:marTop w:val="0"/>
          <w:marBottom w:val="0"/>
          <w:divBdr>
            <w:top w:val="none" w:sz="0" w:space="0" w:color="auto"/>
            <w:left w:val="none" w:sz="0" w:space="0" w:color="auto"/>
            <w:bottom w:val="none" w:sz="0" w:space="0" w:color="auto"/>
            <w:right w:val="none" w:sz="0" w:space="0" w:color="auto"/>
          </w:divBdr>
        </w:div>
        <w:div w:id="1879779898">
          <w:marLeft w:val="274"/>
          <w:marRight w:val="0"/>
          <w:marTop w:val="0"/>
          <w:marBottom w:val="0"/>
          <w:divBdr>
            <w:top w:val="none" w:sz="0" w:space="0" w:color="auto"/>
            <w:left w:val="none" w:sz="0" w:space="0" w:color="auto"/>
            <w:bottom w:val="none" w:sz="0" w:space="0" w:color="auto"/>
            <w:right w:val="none" w:sz="0" w:space="0" w:color="auto"/>
          </w:divBdr>
        </w:div>
        <w:div w:id="1895584033">
          <w:marLeft w:val="274"/>
          <w:marRight w:val="0"/>
          <w:marTop w:val="0"/>
          <w:marBottom w:val="0"/>
          <w:divBdr>
            <w:top w:val="none" w:sz="0" w:space="0" w:color="auto"/>
            <w:left w:val="none" w:sz="0" w:space="0" w:color="auto"/>
            <w:bottom w:val="none" w:sz="0" w:space="0" w:color="auto"/>
            <w:right w:val="none" w:sz="0" w:space="0" w:color="auto"/>
          </w:divBdr>
        </w:div>
        <w:div w:id="1914461842">
          <w:marLeft w:val="274"/>
          <w:marRight w:val="0"/>
          <w:marTop w:val="0"/>
          <w:marBottom w:val="0"/>
          <w:divBdr>
            <w:top w:val="none" w:sz="0" w:space="0" w:color="auto"/>
            <w:left w:val="none" w:sz="0" w:space="0" w:color="auto"/>
            <w:bottom w:val="none" w:sz="0" w:space="0" w:color="auto"/>
            <w:right w:val="none" w:sz="0" w:space="0" w:color="auto"/>
          </w:divBdr>
        </w:div>
        <w:div w:id="1944610068">
          <w:marLeft w:val="274"/>
          <w:marRight w:val="0"/>
          <w:marTop w:val="0"/>
          <w:marBottom w:val="0"/>
          <w:divBdr>
            <w:top w:val="none" w:sz="0" w:space="0" w:color="auto"/>
            <w:left w:val="none" w:sz="0" w:space="0" w:color="auto"/>
            <w:bottom w:val="none" w:sz="0" w:space="0" w:color="auto"/>
            <w:right w:val="none" w:sz="0" w:space="0" w:color="auto"/>
          </w:divBdr>
        </w:div>
        <w:div w:id="1972512681">
          <w:marLeft w:val="274"/>
          <w:marRight w:val="0"/>
          <w:marTop w:val="0"/>
          <w:marBottom w:val="0"/>
          <w:divBdr>
            <w:top w:val="none" w:sz="0" w:space="0" w:color="auto"/>
            <w:left w:val="none" w:sz="0" w:space="0" w:color="auto"/>
            <w:bottom w:val="none" w:sz="0" w:space="0" w:color="auto"/>
            <w:right w:val="none" w:sz="0" w:space="0" w:color="auto"/>
          </w:divBdr>
        </w:div>
      </w:divsChild>
    </w:div>
    <w:div w:id="1021513133">
      <w:bodyDiv w:val="1"/>
      <w:marLeft w:val="0"/>
      <w:marRight w:val="0"/>
      <w:marTop w:val="0"/>
      <w:marBottom w:val="0"/>
      <w:divBdr>
        <w:top w:val="none" w:sz="0" w:space="0" w:color="auto"/>
        <w:left w:val="none" w:sz="0" w:space="0" w:color="auto"/>
        <w:bottom w:val="none" w:sz="0" w:space="0" w:color="auto"/>
        <w:right w:val="none" w:sz="0" w:space="0" w:color="auto"/>
      </w:divBdr>
    </w:div>
    <w:div w:id="1043989580">
      <w:bodyDiv w:val="1"/>
      <w:marLeft w:val="0"/>
      <w:marRight w:val="0"/>
      <w:marTop w:val="0"/>
      <w:marBottom w:val="0"/>
      <w:divBdr>
        <w:top w:val="none" w:sz="0" w:space="0" w:color="auto"/>
        <w:left w:val="none" w:sz="0" w:space="0" w:color="auto"/>
        <w:bottom w:val="none" w:sz="0" w:space="0" w:color="auto"/>
        <w:right w:val="none" w:sz="0" w:space="0" w:color="auto"/>
      </w:divBdr>
    </w:div>
    <w:div w:id="1050543470">
      <w:bodyDiv w:val="1"/>
      <w:marLeft w:val="0"/>
      <w:marRight w:val="0"/>
      <w:marTop w:val="0"/>
      <w:marBottom w:val="0"/>
      <w:divBdr>
        <w:top w:val="none" w:sz="0" w:space="0" w:color="auto"/>
        <w:left w:val="none" w:sz="0" w:space="0" w:color="auto"/>
        <w:bottom w:val="none" w:sz="0" w:space="0" w:color="auto"/>
        <w:right w:val="none" w:sz="0" w:space="0" w:color="auto"/>
      </w:divBdr>
    </w:div>
    <w:div w:id="1077819836">
      <w:bodyDiv w:val="1"/>
      <w:marLeft w:val="0"/>
      <w:marRight w:val="0"/>
      <w:marTop w:val="0"/>
      <w:marBottom w:val="0"/>
      <w:divBdr>
        <w:top w:val="none" w:sz="0" w:space="0" w:color="auto"/>
        <w:left w:val="none" w:sz="0" w:space="0" w:color="auto"/>
        <w:bottom w:val="none" w:sz="0" w:space="0" w:color="auto"/>
        <w:right w:val="none" w:sz="0" w:space="0" w:color="auto"/>
      </w:divBdr>
      <w:divsChild>
        <w:div w:id="1083062688">
          <w:marLeft w:val="274"/>
          <w:marRight w:val="0"/>
          <w:marTop w:val="0"/>
          <w:marBottom w:val="120"/>
          <w:divBdr>
            <w:top w:val="none" w:sz="0" w:space="0" w:color="auto"/>
            <w:left w:val="none" w:sz="0" w:space="0" w:color="auto"/>
            <w:bottom w:val="none" w:sz="0" w:space="0" w:color="auto"/>
            <w:right w:val="none" w:sz="0" w:space="0" w:color="auto"/>
          </w:divBdr>
        </w:div>
        <w:div w:id="1582786739">
          <w:marLeft w:val="274"/>
          <w:marRight w:val="0"/>
          <w:marTop w:val="0"/>
          <w:marBottom w:val="120"/>
          <w:divBdr>
            <w:top w:val="none" w:sz="0" w:space="0" w:color="auto"/>
            <w:left w:val="none" w:sz="0" w:space="0" w:color="auto"/>
            <w:bottom w:val="none" w:sz="0" w:space="0" w:color="auto"/>
            <w:right w:val="none" w:sz="0" w:space="0" w:color="auto"/>
          </w:divBdr>
        </w:div>
        <w:div w:id="1876845723">
          <w:marLeft w:val="274"/>
          <w:marRight w:val="0"/>
          <w:marTop w:val="0"/>
          <w:marBottom w:val="120"/>
          <w:divBdr>
            <w:top w:val="none" w:sz="0" w:space="0" w:color="auto"/>
            <w:left w:val="none" w:sz="0" w:space="0" w:color="auto"/>
            <w:bottom w:val="none" w:sz="0" w:space="0" w:color="auto"/>
            <w:right w:val="none" w:sz="0" w:space="0" w:color="auto"/>
          </w:divBdr>
        </w:div>
      </w:divsChild>
    </w:div>
    <w:div w:id="1098674334">
      <w:bodyDiv w:val="1"/>
      <w:marLeft w:val="0"/>
      <w:marRight w:val="0"/>
      <w:marTop w:val="0"/>
      <w:marBottom w:val="0"/>
      <w:divBdr>
        <w:top w:val="none" w:sz="0" w:space="0" w:color="auto"/>
        <w:left w:val="none" w:sz="0" w:space="0" w:color="auto"/>
        <w:bottom w:val="none" w:sz="0" w:space="0" w:color="auto"/>
        <w:right w:val="none" w:sz="0" w:space="0" w:color="auto"/>
      </w:divBdr>
    </w:div>
    <w:div w:id="1098789694">
      <w:bodyDiv w:val="1"/>
      <w:marLeft w:val="0"/>
      <w:marRight w:val="0"/>
      <w:marTop w:val="0"/>
      <w:marBottom w:val="0"/>
      <w:divBdr>
        <w:top w:val="none" w:sz="0" w:space="0" w:color="auto"/>
        <w:left w:val="none" w:sz="0" w:space="0" w:color="auto"/>
        <w:bottom w:val="none" w:sz="0" w:space="0" w:color="auto"/>
        <w:right w:val="none" w:sz="0" w:space="0" w:color="auto"/>
      </w:divBdr>
    </w:div>
    <w:div w:id="1103767494">
      <w:bodyDiv w:val="1"/>
      <w:marLeft w:val="0"/>
      <w:marRight w:val="0"/>
      <w:marTop w:val="0"/>
      <w:marBottom w:val="0"/>
      <w:divBdr>
        <w:top w:val="none" w:sz="0" w:space="0" w:color="auto"/>
        <w:left w:val="none" w:sz="0" w:space="0" w:color="auto"/>
        <w:bottom w:val="none" w:sz="0" w:space="0" w:color="auto"/>
        <w:right w:val="none" w:sz="0" w:space="0" w:color="auto"/>
      </w:divBdr>
    </w:div>
    <w:div w:id="1108935347">
      <w:bodyDiv w:val="1"/>
      <w:marLeft w:val="0"/>
      <w:marRight w:val="0"/>
      <w:marTop w:val="0"/>
      <w:marBottom w:val="0"/>
      <w:divBdr>
        <w:top w:val="none" w:sz="0" w:space="0" w:color="auto"/>
        <w:left w:val="none" w:sz="0" w:space="0" w:color="auto"/>
        <w:bottom w:val="none" w:sz="0" w:space="0" w:color="auto"/>
        <w:right w:val="none" w:sz="0" w:space="0" w:color="auto"/>
      </w:divBdr>
    </w:div>
    <w:div w:id="1117261230">
      <w:bodyDiv w:val="1"/>
      <w:marLeft w:val="0"/>
      <w:marRight w:val="0"/>
      <w:marTop w:val="0"/>
      <w:marBottom w:val="0"/>
      <w:divBdr>
        <w:top w:val="none" w:sz="0" w:space="0" w:color="auto"/>
        <w:left w:val="none" w:sz="0" w:space="0" w:color="auto"/>
        <w:bottom w:val="none" w:sz="0" w:space="0" w:color="auto"/>
        <w:right w:val="none" w:sz="0" w:space="0" w:color="auto"/>
      </w:divBdr>
      <w:divsChild>
        <w:div w:id="1753619233">
          <w:marLeft w:val="547"/>
          <w:marRight w:val="0"/>
          <w:marTop w:val="0"/>
          <w:marBottom w:val="0"/>
          <w:divBdr>
            <w:top w:val="none" w:sz="0" w:space="0" w:color="auto"/>
            <w:left w:val="none" w:sz="0" w:space="0" w:color="auto"/>
            <w:bottom w:val="none" w:sz="0" w:space="0" w:color="auto"/>
            <w:right w:val="none" w:sz="0" w:space="0" w:color="auto"/>
          </w:divBdr>
        </w:div>
      </w:divsChild>
    </w:div>
    <w:div w:id="1138840113">
      <w:bodyDiv w:val="1"/>
      <w:marLeft w:val="0"/>
      <w:marRight w:val="0"/>
      <w:marTop w:val="0"/>
      <w:marBottom w:val="0"/>
      <w:divBdr>
        <w:top w:val="none" w:sz="0" w:space="0" w:color="auto"/>
        <w:left w:val="none" w:sz="0" w:space="0" w:color="auto"/>
        <w:bottom w:val="none" w:sz="0" w:space="0" w:color="auto"/>
        <w:right w:val="none" w:sz="0" w:space="0" w:color="auto"/>
      </w:divBdr>
    </w:div>
    <w:div w:id="1140686466">
      <w:bodyDiv w:val="1"/>
      <w:marLeft w:val="0"/>
      <w:marRight w:val="0"/>
      <w:marTop w:val="0"/>
      <w:marBottom w:val="0"/>
      <w:divBdr>
        <w:top w:val="none" w:sz="0" w:space="0" w:color="auto"/>
        <w:left w:val="none" w:sz="0" w:space="0" w:color="auto"/>
        <w:bottom w:val="none" w:sz="0" w:space="0" w:color="auto"/>
        <w:right w:val="none" w:sz="0" w:space="0" w:color="auto"/>
      </w:divBdr>
    </w:div>
    <w:div w:id="1159267954">
      <w:bodyDiv w:val="1"/>
      <w:marLeft w:val="0"/>
      <w:marRight w:val="0"/>
      <w:marTop w:val="0"/>
      <w:marBottom w:val="0"/>
      <w:divBdr>
        <w:top w:val="none" w:sz="0" w:space="0" w:color="auto"/>
        <w:left w:val="none" w:sz="0" w:space="0" w:color="auto"/>
        <w:bottom w:val="none" w:sz="0" w:space="0" w:color="auto"/>
        <w:right w:val="none" w:sz="0" w:space="0" w:color="auto"/>
      </w:divBdr>
    </w:div>
    <w:div w:id="1193611699">
      <w:bodyDiv w:val="1"/>
      <w:marLeft w:val="0"/>
      <w:marRight w:val="0"/>
      <w:marTop w:val="0"/>
      <w:marBottom w:val="0"/>
      <w:divBdr>
        <w:top w:val="none" w:sz="0" w:space="0" w:color="auto"/>
        <w:left w:val="none" w:sz="0" w:space="0" w:color="auto"/>
        <w:bottom w:val="none" w:sz="0" w:space="0" w:color="auto"/>
        <w:right w:val="none" w:sz="0" w:space="0" w:color="auto"/>
      </w:divBdr>
      <w:divsChild>
        <w:div w:id="408041841">
          <w:marLeft w:val="274"/>
          <w:marRight w:val="0"/>
          <w:marTop w:val="0"/>
          <w:marBottom w:val="120"/>
          <w:divBdr>
            <w:top w:val="none" w:sz="0" w:space="0" w:color="auto"/>
            <w:left w:val="none" w:sz="0" w:space="0" w:color="auto"/>
            <w:bottom w:val="none" w:sz="0" w:space="0" w:color="auto"/>
            <w:right w:val="none" w:sz="0" w:space="0" w:color="auto"/>
          </w:divBdr>
        </w:div>
        <w:div w:id="1420566011">
          <w:marLeft w:val="274"/>
          <w:marRight w:val="0"/>
          <w:marTop w:val="0"/>
          <w:marBottom w:val="120"/>
          <w:divBdr>
            <w:top w:val="none" w:sz="0" w:space="0" w:color="auto"/>
            <w:left w:val="none" w:sz="0" w:space="0" w:color="auto"/>
            <w:bottom w:val="none" w:sz="0" w:space="0" w:color="auto"/>
            <w:right w:val="none" w:sz="0" w:space="0" w:color="auto"/>
          </w:divBdr>
        </w:div>
        <w:div w:id="2051029406">
          <w:marLeft w:val="274"/>
          <w:marRight w:val="0"/>
          <w:marTop w:val="0"/>
          <w:marBottom w:val="120"/>
          <w:divBdr>
            <w:top w:val="none" w:sz="0" w:space="0" w:color="auto"/>
            <w:left w:val="none" w:sz="0" w:space="0" w:color="auto"/>
            <w:bottom w:val="none" w:sz="0" w:space="0" w:color="auto"/>
            <w:right w:val="none" w:sz="0" w:space="0" w:color="auto"/>
          </w:divBdr>
        </w:div>
      </w:divsChild>
    </w:div>
    <w:div w:id="1206407545">
      <w:bodyDiv w:val="1"/>
      <w:marLeft w:val="0"/>
      <w:marRight w:val="0"/>
      <w:marTop w:val="0"/>
      <w:marBottom w:val="0"/>
      <w:divBdr>
        <w:top w:val="none" w:sz="0" w:space="0" w:color="auto"/>
        <w:left w:val="none" w:sz="0" w:space="0" w:color="auto"/>
        <w:bottom w:val="none" w:sz="0" w:space="0" w:color="auto"/>
        <w:right w:val="none" w:sz="0" w:space="0" w:color="auto"/>
      </w:divBdr>
    </w:div>
    <w:div w:id="1209878295">
      <w:bodyDiv w:val="1"/>
      <w:marLeft w:val="0"/>
      <w:marRight w:val="0"/>
      <w:marTop w:val="0"/>
      <w:marBottom w:val="0"/>
      <w:divBdr>
        <w:top w:val="none" w:sz="0" w:space="0" w:color="auto"/>
        <w:left w:val="none" w:sz="0" w:space="0" w:color="auto"/>
        <w:bottom w:val="none" w:sz="0" w:space="0" w:color="auto"/>
        <w:right w:val="none" w:sz="0" w:space="0" w:color="auto"/>
      </w:divBdr>
    </w:div>
    <w:div w:id="1226844085">
      <w:bodyDiv w:val="1"/>
      <w:marLeft w:val="0"/>
      <w:marRight w:val="0"/>
      <w:marTop w:val="0"/>
      <w:marBottom w:val="0"/>
      <w:divBdr>
        <w:top w:val="none" w:sz="0" w:space="0" w:color="auto"/>
        <w:left w:val="none" w:sz="0" w:space="0" w:color="auto"/>
        <w:bottom w:val="none" w:sz="0" w:space="0" w:color="auto"/>
        <w:right w:val="none" w:sz="0" w:space="0" w:color="auto"/>
      </w:divBdr>
    </w:div>
    <w:div w:id="1241255466">
      <w:bodyDiv w:val="1"/>
      <w:marLeft w:val="0"/>
      <w:marRight w:val="0"/>
      <w:marTop w:val="0"/>
      <w:marBottom w:val="0"/>
      <w:divBdr>
        <w:top w:val="none" w:sz="0" w:space="0" w:color="auto"/>
        <w:left w:val="none" w:sz="0" w:space="0" w:color="auto"/>
        <w:bottom w:val="none" w:sz="0" w:space="0" w:color="auto"/>
        <w:right w:val="none" w:sz="0" w:space="0" w:color="auto"/>
      </w:divBdr>
    </w:div>
    <w:div w:id="1241908448">
      <w:bodyDiv w:val="1"/>
      <w:marLeft w:val="0"/>
      <w:marRight w:val="0"/>
      <w:marTop w:val="0"/>
      <w:marBottom w:val="0"/>
      <w:divBdr>
        <w:top w:val="none" w:sz="0" w:space="0" w:color="auto"/>
        <w:left w:val="none" w:sz="0" w:space="0" w:color="auto"/>
        <w:bottom w:val="none" w:sz="0" w:space="0" w:color="auto"/>
        <w:right w:val="none" w:sz="0" w:space="0" w:color="auto"/>
      </w:divBdr>
    </w:div>
    <w:div w:id="1242369838">
      <w:bodyDiv w:val="1"/>
      <w:marLeft w:val="0"/>
      <w:marRight w:val="0"/>
      <w:marTop w:val="0"/>
      <w:marBottom w:val="0"/>
      <w:divBdr>
        <w:top w:val="none" w:sz="0" w:space="0" w:color="auto"/>
        <w:left w:val="none" w:sz="0" w:space="0" w:color="auto"/>
        <w:bottom w:val="none" w:sz="0" w:space="0" w:color="auto"/>
        <w:right w:val="none" w:sz="0" w:space="0" w:color="auto"/>
      </w:divBdr>
    </w:div>
    <w:div w:id="1275209863">
      <w:bodyDiv w:val="1"/>
      <w:marLeft w:val="0"/>
      <w:marRight w:val="0"/>
      <w:marTop w:val="0"/>
      <w:marBottom w:val="0"/>
      <w:divBdr>
        <w:top w:val="none" w:sz="0" w:space="0" w:color="auto"/>
        <w:left w:val="none" w:sz="0" w:space="0" w:color="auto"/>
        <w:bottom w:val="none" w:sz="0" w:space="0" w:color="auto"/>
        <w:right w:val="none" w:sz="0" w:space="0" w:color="auto"/>
      </w:divBdr>
      <w:divsChild>
        <w:div w:id="1026447870">
          <w:marLeft w:val="274"/>
          <w:marRight w:val="0"/>
          <w:marTop w:val="0"/>
          <w:marBottom w:val="0"/>
          <w:divBdr>
            <w:top w:val="none" w:sz="0" w:space="0" w:color="auto"/>
            <w:left w:val="none" w:sz="0" w:space="0" w:color="auto"/>
            <w:bottom w:val="none" w:sz="0" w:space="0" w:color="auto"/>
            <w:right w:val="none" w:sz="0" w:space="0" w:color="auto"/>
          </w:divBdr>
        </w:div>
      </w:divsChild>
    </w:div>
    <w:div w:id="1292050285">
      <w:bodyDiv w:val="1"/>
      <w:marLeft w:val="0"/>
      <w:marRight w:val="0"/>
      <w:marTop w:val="0"/>
      <w:marBottom w:val="0"/>
      <w:divBdr>
        <w:top w:val="none" w:sz="0" w:space="0" w:color="auto"/>
        <w:left w:val="none" w:sz="0" w:space="0" w:color="auto"/>
        <w:bottom w:val="none" w:sz="0" w:space="0" w:color="auto"/>
        <w:right w:val="none" w:sz="0" w:space="0" w:color="auto"/>
      </w:divBdr>
      <w:divsChild>
        <w:div w:id="1134526108">
          <w:marLeft w:val="274"/>
          <w:marRight w:val="0"/>
          <w:marTop w:val="0"/>
          <w:marBottom w:val="60"/>
          <w:divBdr>
            <w:top w:val="none" w:sz="0" w:space="0" w:color="auto"/>
            <w:left w:val="none" w:sz="0" w:space="0" w:color="auto"/>
            <w:bottom w:val="none" w:sz="0" w:space="0" w:color="auto"/>
            <w:right w:val="none" w:sz="0" w:space="0" w:color="auto"/>
          </w:divBdr>
        </w:div>
      </w:divsChild>
    </w:div>
    <w:div w:id="1299648547">
      <w:bodyDiv w:val="1"/>
      <w:marLeft w:val="0"/>
      <w:marRight w:val="0"/>
      <w:marTop w:val="0"/>
      <w:marBottom w:val="0"/>
      <w:divBdr>
        <w:top w:val="none" w:sz="0" w:space="0" w:color="auto"/>
        <w:left w:val="none" w:sz="0" w:space="0" w:color="auto"/>
        <w:bottom w:val="none" w:sz="0" w:space="0" w:color="auto"/>
        <w:right w:val="none" w:sz="0" w:space="0" w:color="auto"/>
      </w:divBdr>
      <w:divsChild>
        <w:div w:id="375128832">
          <w:marLeft w:val="274"/>
          <w:marRight w:val="0"/>
          <w:marTop w:val="0"/>
          <w:marBottom w:val="0"/>
          <w:divBdr>
            <w:top w:val="none" w:sz="0" w:space="0" w:color="auto"/>
            <w:left w:val="none" w:sz="0" w:space="0" w:color="auto"/>
            <w:bottom w:val="none" w:sz="0" w:space="0" w:color="auto"/>
            <w:right w:val="none" w:sz="0" w:space="0" w:color="auto"/>
          </w:divBdr>
        </w:div>
        <w:div w:id="414979161">
          <w:marLeft w:val="274"/>
          <w:marRight w:val="0"/>
          <w:marTop w:val="0"/>
          <w:marBottom w:val="0"/>
          <w:divBdr>
            <w:top w:val="none" w:sz="0" w:space="0" w:color="auto"/>
            <w:left w:val="none" w:sz="0" w:space="0" w:color="auto"/>
            <w:bottom w:val="none" w:sz="0" w:space="0" w:color="auto"/>
            <w:right w:val="none" w:sz="0" w:space="0" w:color="auto"/>
          </w:divBdr>
        </w:div>
        <w:div w:id="840897880">
          <w:marLeft w:val="274"/>
          <w:marRight w:val="0"/>
          <w:marTop w:val="0"/>
          <w:marBottom w:val="0"/>
          <w:divBdr>
            <w:top w:val="none" w:sz="0" w:space="0" w:color="auto"/>
            <w:left w:val="none" w:sz="0" w:space="0" w:color="auto"/>
            <w:bottom w:val="none" w:sz="0" w:space="0" w:color="auto"/>
            <w:right w:val="none" w:sz="0" w:space="0" w:color="auto"/>
          </w:divBdr>
        </w:div>
        <w:div w:id="1722048657">
          <w:marLeft w:val="274"/>
          <w:marRight w:val="0"/>
          <w:marTop w:val="0"/>
          <w:marBottom w:val="0"/>
          <w:divBdr>
            <w:top w:val="none" w:sz="0" w:space="0" w:color="auto"/>
            <w:left w:val="none" w:sz="0" w:space="0" w:color="auto"/>
            <w:bottom w:val="none" w:sz="0" w:space="0" w:color="auto"/>
            <w:right w:val="none" w:sz="0" w:space="0" w:color="auto"/>
          </w:divBdr>
        </w:div>
        <w:div w:id="1929458043">
          <w:marLeft w:val="274"/>
          <w:marRight w:val="0"/>
          <w:marTop w:val="0"/>
          <w:marBottom w:val="0"/>
          <w:divBdr>
            <w:top w:val="none" w:sz="0" w:space="0" w:color="auto"/>
            <w:left w:val="none" w:sz="0" w:space="0" w:color="auto"/>
            <w:bottom w:val="none" w:sz="0" w:space="0" w:color="auto"/>
            <w:right w:val="none" w:sz="0" w:space="0" w:color="auto"/>
          </w:divBdr>
        </w:div>
      </w:divsChild>
    </w:div>
    <w:div w:id="1314675380">
      <w:bodyDiv w:val="1"/>
      <w:marLeft w:val="0"/>
      <w:marRight w:val="0"/>
      <w:marTop w:val="0"/>
      <w:marBottom w:val="0"/>
      <w:divBdr>
        <w:top w:val="none" w:sz="0" w:space="0" w:color="auto"/>
        <w:left w:val="none" w:sz="0" w:space="0" w:color="auto"/>
        <w:bottom w:val="none" w:sz="0" w:space="0" w:color="auto"/>
        <w:right w:val="none" w:sz="0" w:space="0" w:color="auto"/>
      </w:divBdr>
    </w:div>
    <w:div w:id="1315380334">
      <w:bodyDiv w:val="1"/>
      <w:marLeft w:val="0"/>
      <w:marRight w:val="0"/>
      <w:marTop w:val="0"/>
      <w:marBottom w:val="0"/>
      <w:divBdr>
        <w:top w:val="none" w:sz="0" w:space="0" w:color="auto"/>
        <w:left w:val="none" w:sz="0" w:space="0" w:color="auto"/>
        <w:bottom w:val="none" w:sz="0" w:space="0" w:color="auto"/>
        <w:right w:val="none" w:sz="0" w:space="0" w:color="auto"/>
      </w:divBdr>
      <w:divsChild>
        <w:div w:id="80567856">
          <w:marLeft w:val="1051"/>
          <w:marRight w:val="0"/>
          <w:marTop w:val="240"/>
          <w:marBottom w:val="0"/>
          <w:divBdr>
            <w:top w:val="none" w:sz="0" w:space="0" w:color="auto"/>
            <w:left w:val="none" w:sz="0" w:space="0" w:color="auto"/>
            <w:bottom w:val="none" w:sz="0" w:space="0" w:color="auto"/>
            <w:right w:val="none" w:sz="0" w:space="0" w:color="auto"/>
          </w:divBdr>
        </w:div>
        <w:div w:id="186338568">
          <w:marLeft w:val="360"/>
          <w:marRight w:val="0"/>
          <w:marTop w:val="240"/>
          <w:marBottom w:val="0"/>
          <w:divBdr>
            <w:top w:val="none" w:sz="0" w:space="0" w:color="auto"/>
            <w:left w:val="none" w:sz="0" w:space="0" w:color="auto"/>
            <w:bottom w:val="none" w:sz="0" w:space="0" w:color="auto"/>
            <w:right w:val="none" w:sz="0" w:space="0" w:color="auto"/>
          </w:divBdr>
        </w:div>
        <w:div w:id="186411132">
          <w:marLeft w:val="1051"/>
          <w:marRight w:val="0"/>
          <w:marTop w:val="240"/>
          <w:marBottom w:val="0"/>
          <w:divBdr>
            <w:top w:val="none" w:sz="0" w:space="0" w:color="auto"/>
            <w:left w:val="none" w:sz="0" w:space="0" w:color="auto"/>
            <w:bottom w:val="none" w:sz="0" w:space="0" w:color="auto"/>
            <w:right w:val="none" w:sz="0" w:space="0" w:color="auto"/>
          </w:divBdr>
        </w:div>
        <w:div w:id="438598723">
          <w:marLeft w:val="1051"/>
          <w:marRight w:val="0"/>
          <w:marTop w:val="240"/>
          <w:marBottom w:val="0"/>
          <w:divBdr>
            <w:top w:val="none" w:sz="0" w:space="0" w:color="auto"/>
            <w:left w:val="none" w:sz="0" w:space="0" w:color="auto"/>
            <w:bottom w:val="none" w:sz="0" w:space="0" w:color="auto"/>
            <w:right w:val="none" w:sz="0" w:space="0" w:color="auto"/>
          </w:divBdr>
        </w:div>
        <w:div w:id="469325143">
          <w:marLeft w:val="360"/>
          <w:marRight w:val="0"/>
          <w:marTop w:val="240"/>
          <w:marBottom w:val="0"/>
          <w:divBdr>
            <w:top w:val="none" w:sz="0" w:space="0" w:color="auto"/>
            <w:left w:val="none" w:sz="0" w:space="0" w:color="auto"/>
            <w:bottom w:val="none" w:sz="0" w:space="0" w:color="auto"/>
            <w:right w:val="none" w:sz="0" w:space="0" w:color="auto"/>
          </w:divBdr>
        </w:div>
        <w:div w:id="736169722">
          <w:marLeft w:val="360"/>
          <w:marRight w:val="0"/>
          <w:marTop w:val="240"/>
          <w:marBottom w:val="0"/>
          <w:divBdr>
            <w:top w:val="none" w:sz="0" w:space="0" w:color="auto"/>
            <w:left w:val="none" w:sz="0" w:space="0" w:color="auto"/>
            <w:bottom w:val="none" w:sz="0" w:space="0" w:color="auto"/>
            <w:right w:val="none" w:sz="0" w:space="0" w:color="auto"/>
          </w:divBdr>
        </w:div>
        <w:div w:id="845824790">
          <w:marLeft w:val="994"/>
          <w:marRight w:val="0"/>
          <w:marTop w:val="240"/>
          <w:marBottom w:val="0"/>
          <w:divBdr>
            <w:top w:val="none" w:sz="0" w:space="0" w:color="auto"/>
            <w:left w:val="none" w:sz="0" w:space="0" w:color="auto"/>
            <w:bottom w:val="none" w:sz="0" w:space="0" w:color="auto"/>
            <w:right w:val="none" w:sz="0" w:space="0" w:color="auto"/>
          </w:divBdr>
        </w:div>
        <w:div w:id="902325934">
          <w:marLeft w:val="1051"/>
          <w:marRight w:val="0"/>
          <w:marTop w:val="240"/>
          <w:marBottom w:val="0"/>
          <w:divBdr>
            <w:top w:val="none" w:sz="0" w:space="0" w:color="auto"/>
            <w:left w:val="none" w:sz="0" w:space="0" w:color="auto"/>
            <w:bottom w:val="none" w:sz="0" w:space="0" w:color="auto"/>
            <w:right w:val="none" w:sz="0" w:space="0" w:color="auto"/>
          </w:divBdr>
        </w:div>
        <w:div w:id="1114057303">
          <w:marLeft w:val="1051"/>
          <w:marRight w:val="0"/>
          <w:marTop w:val="240"/>
          <w:marBottom w:val="0"/>
          <w:divBdr>
            <w:top w:val="none" w:sz="0" w:space="0" w:color="auto"/>
            <w:left w:val="none" w:sz="0" w:space="0" w:color="auto"/>
            <w:bottom w:val="none" w:sz="0" w:space="0" w:color="auto"/>
            <w:right w:val="none" w:sz="0" w:space="0" w:color="auto"/>
          </w:divBdr>
        </w:div>
        <w:div w:id="1145926896">
          <w:marLeft w:val="1051"/>
          <w:marRight w:val="0"/>
          <w:marTop w:val="240"/>
          <w:marBottom w:val="0"/>
          <w:divBdr>
            <w:top w:val="none" w:sz="0" w:space="0" w:color="auto"/>
            <w:left w:val="none" w:sz="0" w:space="0" w:color="auto"/>
            <w:bottom w:val="none" w:sz="0" w:space="0" w:color="auto"/>
            <w:right w:val="none" w:sz="0" w:space="0" w:color="auto"/>
          </w:divBdr>
        </w:div>
        <w:div w:id="1171794097">
          <w:marLeft w:val="994"/>
          <w:marRight w:val="0"/>
          <w:marTop w:val="240"/>
          <w:marBottom w:val="0"/>
          <w:divBdr>
            <w:top w:val="none" w:sz="0" w:space="0" w:color="auto"/>
            <w:left w:val="none" w:sz="0" w:space="0" w:color="auto"/>
            <w:bottom w:val="none" w:sz="0" w:space="0" w:color="auto"/>
            <w:right w:val="none" w:sz="0" w:space="0" w:color="auto"/>
          </w:divBdr>
        </w:div>
        <w:div w:id="1223908236">
          <w:marLeft w:val="1051"/>
          <w:marRight w:val="0"/>
          <w:marTop w:val="240"/>
          <w:marBottom w:val="0"/>
          <w:divBdr>
            <w:top w:val="none" w:sz="0" w:space="0" w:color="auto"/>
            <w:left w:val="none" w:sz="0" w:space="0" w:color="auto"/>
            <w:bottom w:val="none" w:sz="0" w:space="0" w:color="auto"/>
            <w:right w:val="none" w:sz="0" w:space="0" w:color="auto"/>
          </w:divBdr>
        </w:div>
        <w:div w:id="1372806376">
          <w:marLeft w:val="360"/>
          <w:marRight w:val="0"/>
          <w:marTop w:val="240"/>
          <w:marBottom w:val="0"/>
          <w:divBdr>
            <w:top w:val="none" w:sz="0" w:space="0" w:color="auto"/>
            <w:left w:val="none" w:sz="0" w:space="0" w:color="auto"/>
            <w:bottom w:val="none" w:sz="0" w:space="0" w:color="auto"/>
            <w:right w:val="none" w:sz="0" w:space="0" w:color="auto"/>
          </w:divBdr>
        </w:div>
        <w:div w:id="2019190770">
          <w:marLeft w:val="1051"/>
          <w:marRight w:val="0"/>
          <w:marTop w:val="240"/>
          <w:marBottom w:val="0"/>
          <w:divBdr>
            <w:top w:val="none" w:sz="0" w:space="0" w:color="auto"/>
            <w:left w:val="none" w:sz="0" w:space="0" w:color="auto"/>
            <w:bottom w:val="none" w:sz="0" w:space="0" w:color="auto"/>
            <w:right w:val="none" w:sz="0" w:space="0" w:color="auto"/>
          </w:divBdr>
        </w:div>
      </w:divsChild>
    </w:div>
    <w:div w:id="1315766403">
      <w:bodyDiv w:val="1"/>
      <w:marLeft w:val="0"/>
      <w:marRight w:val="0"/>
      <w:marTop w:val="0"/>
      <w:marBottom w:val="0"/>
      <w:divBdr>
        <w:top w:val="none" w:sz="0" w:space="0" w:color="auto"/>
        <w:left w:val="none" w:sz="0" w:space="0" w:color="auto"/>
        <w:bottom w:val="none" w:sz="0" w:space="0" w:color="auto"/>
        <w:right w:val="none" w:sz="0" w:space="0" w:color="auto"/>
      </w:divBdr>
    </w:div>
    <w:div w:id="1318995242">
      <w:bodyDiv w:val="1"/>
      <w:marLeft w:val="0"/>
      <w:marRight w:val="0"/>
      <w:marTop w:val="0"/>
      <w:marBottom w:val="0"/>
      <w:divBdr>
        <w:top w:val="none" w:sz="0" w:space="0" w:color="auto"/>
        <w:left w:val="none" w:sz="0" w:space="0" w:color="auto"/>
        <w:bottom w:val="none" w:sz="0" w:space="0" w:color="auto"/>
        <w:right w:val="none" w:sz="0" w:space="0" w:color="auto"/>
      </w:divBdr>
    </w:div>
    <w:div w:id="1328898830">
      <w:bodyDiv w:val="1"/>
      <w:marLeft w:val="0"/>
      <w:marRight w:val="0"/>
      <w:marTop w:val="0"/>
      <w:marBottom w:val="0"/>
      <w:divBdr>
        <w:top w:val="none" w:sz="0" w:space="0" w:color="auto"/>
        <w:left w:val="none" w:sz="0" w:space="0" w:color="auto"/>
        <w:bottom w:val="none" w:sz="0" w:space="0" w:color="auto"/>
        <w:right w:val="none" w:sz="0" w:space="0" w:color="auto"/>
      </w:divBdr>
    </w:div>
    <w:div w:id="1329554294">
      <w:bodyDiv w:val="1"/>
      <w:marLeft w:val="0"/>
      <w:marRight w:val="0"/>
      <w:marTop w:val="0"/>
      <w:marBottom w:val="0"/>
      <w:divBdr>
        <w:top w:val="none" w:sz="0" w:space="0" w:color="auto"/>
        <w:left w:val="none" w:sz="0" w:space="0" w:color="auto"/>
        <w:bottom w:val="none" w:sz="0" w:space="0" w:color="auto"/>
        <w:right w:val="none" w:sz="0" w:space="0" w:color="auto"/>
      </w:divBdr>
    </w:div>
    <w:div w:id="1335377946">
      <w:bodyDiv w:val="1"/>
      <w:marLeft w:val="0"/>
      <w:marRight w:val="0"/>
      <w:marTop w:val="0"/>
      <w:marBottom w:val="0"/>
      <w:divBdr>
        <w:top w:val="none" w:sz="0" w:space="0" w:color="auto"/>
        <w:left w:val="none" w:sz="0" w:space="0" w:color="auto"/>
        <w:bottom w:val="none" w:sz="0" w:space="0" w:color="auto"/>
        <w:right w:val="none" w:sz="0" w:space="0" w:color="auto"/>
      </w:divBdr>
    </w:div>
    <w:div w:id="1357736908">
      <w:bodyDiv w:val="1"/>
      <w:marLeft w:val="0"/>
      <w:marRight w:val="0"/>
      <w:marTop w:val="0"/>
      <w:marBottom w:val="0"/>
      <w:divBdr>
        <w:top w:val="none" w:sz="0" w:space="0" w:color="auto"/>
        <w:left w:val="none" w:sz="0" w:space="0" w:color="auto"/>
        <w:bottom w:val="none" w:sz="0" w:space="0" w:color="auto"/>
        <w:right w:val="none" w:sz="0" w:space="0" w:color="auto"/>
      </w:divBdr>
    </w:div>
    <w:div w:id="1364475732">
      <w:bodyDiv w:val="1"/>
      <w:marLeft w:val="0"/>
      <w:marRight w:val="0"/>
      <w:marTop w:val="0"/>
      <w:marBottom w:val="0"/>
      <w:divBdr>
        <w:top w:val="none" w:sz="0" w:space="0" w:color="auto"/>
        <w:left w:val="none" w:sz="0" w:space="0" w:color="auto"/>
        <w:bottom w:val="none" w:sz="0" w:space="0" w:color="auto"/>
        <w:right w:val="none" w:sz="0" w:space="0" w:color="auto"/>
      </w:divBdr>
    </w:div>
    <w:div w:id="1370567557">
      <w:bodyDiv w:val="1"/>
      <w:marLeft w:val="0"/>
      <w:marRight w:val="0"/>
      <w:marTop w:val="0"/>
      <w:marBottom w:val="0"/>
      <w:divBdr>
        <w:top w:val="none" w:sz="0" w:space="0" w:color="auto"/>
        <w:left w:val="none" w:sz="0" w:space="0" w:color="auto"/>
        <w:bottom w:val="none" w:sz="0" w:space="0" w:color="auto"/>
        <w:right w:val="none" w:sz="0" w:space="0" w:color="auto"/>
      </w:divBdr>
    </w:div>
    <w:div w:id="1391230151">
      <w:bodyDiv w:val="1"/>
      <w:marLeft w:val="0"/>
      <w:marRight w:val="0"/>
      <w:marTop w:val="0"/>
      <w:marBottom w:val="0"/>
      <w:divBdr>
        <w:top w:val="none" w:sz="0" w:space="0" w:color="auto"/>
        <w:left w:val="none" w:sz="0" w:space="0" w:color="auto"/>
        <w:bottom w:val="none" w:sz="0" w:space="0" w:color="auto"/>
        <w:right w:val="none" w:sz="0" w:space="0" w:color="auto"/>
      </w:divBdr>
    </w:div>
    <w:div w:id="1418939124">
      <w:bodyDiv w:val="1"/>
      <w:marLeft w:val="0"/>
      <w:marRight w:val="0"/>
      <w:marTop w:val="0"/>
      <w:marBottom w:val="0"/>
      <w:divBdr>
        <w:top w:val="none" w:sz="0" w:space="0" w:color="auto"/>
        <w:left w:val="none" w:sz="0" w:space="0" w:color="auto"/>
        <w:bottom w:val="none" w:sz="0" w:space="0" w:color="auto"/>
        <w:right w:val="none" w:sz="0" w:space="0" w:color="auto"/>
      </w:divBdr>
    </w:div>
    <w:div w:id="1423065267">
      <w:bodyDiv w:val="1"/>
      <w:marLeft w:val="0"/>
      <w:marRight w:val="0"/>
      <w:marTop w:val="0"/>
      <w:marBottom w:val="0"/>
      <w:divBdr>
        <w:top w:val="none" w:sz="0" w:space="0" w:color="auto"/>
        <w:left w:val="none" w:sz="0" w:space="0" w:color="auto"/>
        <w:bottom w:val="none" w:sz="0" w:space="0" w:color="auto"/>
        <w:right w:val="none" w:sz="0" w:space="0" w:color="auto"/>
      </w:divBdr>
      <w:divsChild>
        <w:div w:id="1894190637">
          <w:marLeft w:val="547"/>
          <w:marRight w:val="0"/>
          <w:marTop w:val="0"/>
          <w:marBottom w:val="0"/>
          <w:divBdr>
            <w:top w:val="none" w:sz="0" w:space="0" w:color="auto"/>
            <w:left w:val="none" w:sz="0" w:space="0" w:color="auto"/>
            <w:bottom w:val="none" w:sz="0" w:space="0" w:color="auto"/>
            <w:right w:val="none" w:sz="0" w:space="0" w:color="auto"/>
          </w:divBdr>
        </w:div>
      </w:divsChild>
    </w:div>
    <w:div w:id="1430850694">
      <w:bodyDiv w:val="1"/>
      <w:marLeft w:val="0"/>
      <w:marRight w:val="0"/>
      <w:marTop w:val="0"/>
      <w:marBottom w:val="0"/>
      <w:divBdr>
        <w:top w:val="none" w:sz="0" w:space="0" w:color="auto"/>
        <w:left w:val="none" w:sz="0" w:space="0" w:color="auto"/>
        <w:bottom w:val="none" w:sz="0" w:space="0" w:color="auto"/>
        <w:right w:val="none" w:sz="0" w:space="0" w:color="auto"/>
      </w:divBdr>
    </w:div>
    <w:div w:id="1431852236">
      <w:bodyDiv w:val="1"/>
      <w:marLeft w:val="0"/>
      <w:marRight w:val="0"/>
      <w:marTop w:val="0"/>
      <w:marBottom w:val="0"/>
      <w:divBdr>
        <w:top w:val="none" w:sz="0" w:space="0" w:color="auto"/>
        <w:left w:val="none" w:sz="0" w:space="0" w:color="auto"/>
        <w:bottom w:val="none" w:sz="0" w:space="0" w:color="auto"/>
        <w:right w:val="none" w:sz="0" w:space="0" w:color="auto"/>
      </w:divBdr>
    </w:div>
    <w:div w:id="1441804178">
      <w:bodyDiv w:val="1"/>
      <w:marLeft w:val="0"/>
      <w:marRight w:val="0"/>
      <w:marTop w:val="0"/>
      <w:marBottom w:val="0"/>
      <w:divBdr>
        <w:top w:val="none" w:sz="0" w:space="0" w:color="auto"/>
        <w:left w:val="none" w:sz="0" w:space="0" w:color="auto"/>
        <w:bottom w:val="none" w:sz="0" w:space="0" w:color="auto"/>
        <w:right w:val="none" w:sz="0" w:space="0" w:color="auto"/>
      </w:divBdr>
    </w:div>
    <w:div w:id="1443109492">
      <w:bodyDiv w:val="1"/>
      <w:marLeft w:val="0"/>
      <w:marRight w:val="0"/>
      <w:marTop w:val="0"/>
      <w:marBottom w:val="0"/>
      <w:divBdr>
        <w:top w:val="none" w:sz="0" w:space="0" w:color="auto"/>
        <w:left w:val="none" w:sz="0" w:space="0" w:color="auto"/>
        <w:bottom w:val="none" w:sz="0" w:space="0" w:color="auto"/>
        <w:right w:val="none" w:sz="0" w:space="0" w:color="auto"/>
      </w:divBdr>
    </w:div>
    <w:div w:id="1443766756">
      <w:bodyDiv w:val="1"/>
      <w:marLeft w:val="0"/>
      <w:marRight w:val="0"/>
      <w:marTop w:val="0"/>
      <w:marBottom w:val="0"/>
      <w:divBdr>
        <w:top w:val="none" w:sz="0" w:space="0" w:color="auto"/>
        <w:left w:val="none" w:sz="0" w:space="0" w:color="auto"/>
        <w:bottom w:val="none" w:sz="0" w:space="0" w:color="auto"/>
        <w:right w:val="none" w:sz="0" w:space="0" w:color="auto"/>
      </w:divBdr>
    </w:div>
    <w:div w:id="1445228885">
      <w:bodyDiv w:val="1"/>
      <w:marLeft w:val="0"/>
      <w:marRight w:val="0"/>
      <w:marTop w:val="0"/>
      <w:marBottom w:val="0"/>
      <w:divBdr>
        <w:top w:val="none" w:sz="0" w:space="0" w:color="auto"/>
        <w:left w:val="none" w:sz="0" w:space="0" w:color="auto"/>
        <w:bottom w:val="none" w:sz="0" w:space="0" w:color="auto"/>
        <w:right w:val="none" w:sz="0" w:space="0" w:color="auto"/>
      </w:divBdr>
    </w:div>
    <w:div w:id="1448349647">
      <w:bodyDiv w:val="1"/>
      <w:marLeft w:val="0"/>
      <w:marRight w:val="0"/>
      <w:marTop w:val="0"/>
      <w:marBottom w:val="0"/>
      <w:divBdr>
        <w:top w:val="none" w:sz="0" w:space="0" w:color="auto"/>
        <w:left w:val="none" w:sz="0" w:space="0" w:color="auto"/>
        <w:bottom w:val="none" w:sz="0" w:space="0" w:color="auto"/>
        <w:right w:val="none" w:sz="0" w:space="0" w:color="auto"/>
      </w:divBdr>
    </w:div>
    <w:div w:id="1450853295">
      <w:bodyDiv w:val="1"/>
      <w:marLeft w:val="0"/>
      <w:marRight w:val="0"/>
      <w:marTop w:val="0"/>
      <w:marBottom w:val="0"/>
      <w:divBdr>
        <w:top w:val="none" w:sz="0" w:space="0" w:color="auto"/>
        <w:left w:val="none" w:sz="0" w:space="0" w:color="auto"/>
        <w:bottom w:val="none" w:sz="0" w:space="0" w:color="auto"/>
        <w:right w:val="none" w:sz="0" w:space="0" w:color="auto"/>
      </w:divBdr>
      <w:divsChild>
        <w:div w:id="72509524">
          <w:marLeft w:val="360"/>
          <w:marRight w:val="0"/>
          <w:marTop w:val="240"/>
          <w:marBottom w:val="0"/>
          <w:divBdr>
            <w:top w:val="none" w:sz="0" w:space="0" w:color="auto"/>
            <w:left w:val="none" w:sz="0" w:space="0" w:color="auto"/>
            <w:bottom w:val="none" w:sz="0" w:space="0" w:color="auto"/>
            <w:right w:val="none" w:sz="0" w:space="0" w:color="auto"/>
          </w:divBdr>
        </w:div>
        <w:div w:id="105851191">
          <w:marLeft w:val="994"/>
          <w:marRight w:val="0"/>
          <w:marTop w:val="240"/>
          <w:marBottom w:val="0"/>
          <w:divBdr>
            <w:top w:val="none" w:sz="0" w:space="0" w:color="auto"/>
            <w:left w:val="none" w:sz="0" w:space="0" w:color="auto"/>
            <w:bottom w:val="none" w:sz="0" w:space="0" w:color="auto"/>
            <w:right w:val="none" w:sz="0" w:space="0" w:color="auto"/>
          </w:divBdr>
        </w:div>
        <w:div w:id="243036074">
          <w:marLeft w:val="1051"/>
          <w:marRight w:val="0"/>
          <w:marTop w:val="240"/>
          <w:marBottom w:val="0"/>
          <w:divBdr>
            <w:top w:val="none" w:sz="0" w:space="0" w:color="auto"/>
            <w:left w:val="none" w:sz="0" w:space="0" w:color="auto"/>
            <w:bottom w:val="none" w:sz="0" w:space="0" w:color="auto"/>
            <w:right w:val="none" w:sz="0" w:space="0" w:color="auto"/>
          </w:divBdr>
        </w:div>
        <w:div w:id="330446784">
          <w:marLeft w:val="994"/>
          <w:marRight w:val="0"/>
          <w:marTop w:val="240"/>
          <w:marBottom w:val="0"/>
          <w:divBdr>
            <w:top w:val="none" w:sz="0" w:space="0" w:color="auto"/>
            <w:left w:val="none" w:sz="0" w:space="0" w:color="auto"/>
            <w:bottom w:val="none" w:sz="0" w:space="0" w:color="auto"/>
            <w:right w:val="none" w:sz="0" w:space="0" w:color="auto"/>
          </w:divBdr>
        </w:div>
        <w:div w:id="497042059">
          <w:marLeft w:val="994"/>
          <w:marRight w:val="0"/>
          <w:marTop w:val="240"/>
          <w:marBottom w:val="0"/>
          <w:divBdr>
            <w:top w:val="none" w:sz="0" w:space="0" w:color="auto"/>
            <w:left w:val="none" w:sz="0" w:space="0" w:color="auto"/>
            <w:bottom w:val="none" w:sz="0" w:space="0" w:color="auto"/>
            <w:right w:val="none" w:sz="0" w:space="0" w:color="auto"/>
          </w:divBdr>
        </w:div>
        <w:div w:id="538012476">
          <w:marLeft w:val="994"/>
          <w:marRight w:val="0"/>
          <w:marTop w:val="240"/>
          <w:marBottom w:val="0"/>
          <w:divBdr>
            <w:top w:val="none" w:sz="0" w:space="0" w:color="auto"/>
            <w:left w:val="none" w:sz="0" w:space="0" w:color="auto"/>
            <w:bottom w:val="none" w:sz="0" w:space="0" w:color="auto"/>
            <w:right w:val="none" w:sz="0" w:space="0" w:color="auto"/>
          </w:divBdr>
        </w:div>
        <w:div w:id="763192011">
          <w:marLeft w:val="994"/>
          <w:marRight w:val="0"/>
          <w:marTop w:val="240"/>
          <w:marBottom w:val="0"/>
          <w:divBdr>
            <w:top w:val="none" w:sz="0" w:space="0" w:color="auto"/>
            <w:left w:val="none" w:sz="0" w:space="0" w:color="auto"/>
            <w:bottom w:val="none" w:sz="0" w:space="0" w:color="auto"/>
            <w:right w:val="none" w:sz="0" w:space="0" w:color="auto"/>
          </w:divBdr>
        </w:div>
        <w:div w:id="1047292107">
          <w:marLeft w:val="1051"/>
          <w:marRight w:val="0"/>
          <w:marTop w:val="240"/>
          <w:marBottom w:val="0"/>
          <w:divBdr>
            <w:top w:val="none" w:sz="0" w:space="0" w:color="auto"/>
            <w:left w:val="none" w:sz="0" w:space="0" w:color="auto"/>
            <w:bottom w:val="none" w:sz="0" w:space="0" w:color="auto"/>
            <w:right w:val="none" w:sz="0" w:space="0" w:color="auto"/>
          </w:divBdr>
        </w:div>
        <w:div w:id="1147623600">
          <w:marLeft w:val="994"/>
          <w:marRight w:val="0"/>
          <w:marTop w:val="240"/>
          <w:marBottom w:val="0"/>
          <w:divBdr>
            <w:top w:val="none" w:sz="0" w:space="0" w:color="auto"/>
            <w:left w:val="none" w:sz="0" w:space="0" w:color="auto"/>
            <w:bottom w:val="none" w:sz="0" w:space="0" w:color="auto"/>
            <w:right w:val="none" w:sz="0" w:space="0" w:color="auto"/>
          </w:divBdr>
        </w:div>
        <w:div w:id="1606426595">
          <w:marLeft w:val="1051"/>
          <w:marRight w:val="0"/>
          <w:marTop w:val="240"/>
          <w:marBottom w:val="0"/>
          <w:divBdr>
            <w:top w:val="none" w:sz="0" w:space="0" w:color="auto"/>
            <w:left w:val="none" w:sz="0" w:space="0" w:color="auto"/>
            <w:bottom w:val="none" w:sz="0" w:space="0" w:color="auto"/>
            <w:right w:val="none" w:sz="0" w:space="0" w:color="auto"/>
          </w:divBdr>
        </w:div>
        <w:div w:id="1931816408">
          <w:marLeft w:val="994"/>
          <w:marRight w:val="0"/>
          <w:marTop w:val="240"/>
          <w:marBottom w:val="0"/>
          <w:divBdr>
            <w:top w:val="none" w:sz="0" w:space="0" w:color="auto"/>
            <w:left w:val="none" w:sz="0" w:space="0" w:color="auto"/>
            <w:bottom w:val="none" w:sz="0" w:space="0" w:color="auto"/>
            <w:right w:val="none" w:sz="0" w:space="0" w:color="auto"/>
          </w:divBdr>
        </w:div>
      </w:divsChild>
    </w:div>
    <w:div w:id="1463039965">
      <w:bodyDiv w:val="1"/>
      <w:marLeft w:val="0"/>
      <w:marRight w:val="0"/>
      <w:marTop w:val="0"/>
      <w:marBottom w:val="0"/>
      <w:divBdr>
        <w:top w:val="none" w:sz="0" w:space="0" w:color="auto"/>
        <w:left w:val="none" w:sz="0" w:space="0" w:color="auto"/>
        <w:bottom w:val="none" w:sz="0" w:space="0" w:color="auto"/>
        <w:right w:val="none" w:sz="0" w:space="0" w:color="auto"/>
      </w:divBdr>
    </w:div>
    <w:div w:id="1469663642">
      <w:bodyDiv w:val="1"/>
      <w:marLeft w:val="0"/>
      <w:marRight w:val="0"/>
      <w:marTop w:val="0"/>
      <w:marBottom w:val="0"/>
      <w:divBdr>
        <w:top w:val="none" w:sz="0" w:space="0" w:color="auto"/>
        <w:left w:val="none" w:sz="0" w:space="0" w:color="auto"/>
        <w:bottom w:val="none" w:sz="0" w:space="0" w:color="auto"/>
        <w:right w:val="none" w:sz="0" w:space="0" w:color="auto"/>
      </w:divBdr>
    </w:div>
    <w:div w:id="1484661159">
      <w:bodyDiv w:val="1"/>
      <w:marLeft w:val="0"/>
      <w:marRight w:val="0"/>
      <w:marTop w:val="0"/>
      <w:marBottom w:val="0"/>
      <w:divBdr>
        <w:top w:val="none" w:sz="0" w:space="0" w:color="auto"/>
        <w:left w:val="none" w:sz="0" w:space="0" w:color="auto"/>
        <w:bottom w:val="none" w:sz="0" w:space="0" w:color="auto"/>
        <w:right w:val="none" w:sz="0" w:space="0" w:color="auto"/>
      </w:divBdr>
    </w:div>
    <w:div w:id="1512911607">
      <w:bodyDiv w:val="1"/>
      <w:marLeft w:val="0"/>
      <w:marRight w:val="0"/>
      <w:marTop w:val="0"/>
      <w:marBottom w:val="0"/>
      <w:divBdr>
        <w:top w:val="none" w:sz="0" w:space="0" w:color="auto"/>
        <w:left w:val="none" w:sz="0" w:space="0" w:color="auto"/>
        <w:bottom w:val="none" w:sz="0" w:space="0" w:color="auto"/>
        <w:right w:val="none" w:sz="0" w:space="0" w:color="auto"/>
      </w:divBdr>
    </w:div>
    <w:div w:id="1516576291">
      <w:bodyDiv w:val="1"/>
      <w:marLeft w:val="0"/>
      <w:marRight w:val="0"/>
      <w:marTop w:val="0"/>
      <w:marBottom w:val="0"/>
      <w:divBdr>
        <w:top w:val="none" w:sz="0" w:space="0" w:color="auto"/>
        <w:left w:val="none" w:sz="0" w:space="0" w:color="auto"/>
        <w:bottom w:val="none" w:sz="0" w:space="0" w:color="auto"/>
        <w:right w:val="none" w:sz="0" w:space="0" w:color="auto"/>
      </w:divBdr>
      <w:divsChild>
        <w:div w:id="114251837">
          <w:marLeft w:val="274"/>
          <w:marRight w:val="0"/>
          <w:marTop w:val="0"/>
          <w:marBottom w:val="120"/>
          <w:divBdr>
            <w:top w:val="none" w:sz="0" w:space="0" w:color="auto"/>
            <w:left w:val="none" w:sz="0" w:space="0" w:color="auto"/>
            <w:bottom w:val="none" w:sz="0" w:space="0" w:color="auto"/>
            <w:right w:val="none" w:sz="0" w:space="0" w:color="auto"/>
          </w:divBdr>
        </w:div>
        <w:div w:id="648946653">
          <w:marLeft w:val="274"/>
          <w:marRight w:val="0"/>
          <w:marTop w:val="0"/>
          <w:marBottom w:val="120"/>
          <w:divBdr>
            <w:top w:val="none" w:sz="0" w:space="0" w:color="auto"/>
            <w:left w:val="none" w:sz="0" w:space="0" w:color="auto"/>
            <w:bottom w:val="none" w:sz="0" w:space="0" w:color="auto"/>
            <w:right w:val="none" w:sz="0" w:space="0" w:color="auto"/>
          </w:divBdr>
        </w:div>
        <w:div w:id="662855183">
          <w:marLeft w:val="274"/>
          <w:marRight w:val="0"/>
          <w:marTop w:val="0"/>
          <w:marBottom w:val="120"/>
          <w:divBdr>
            <w:top w:val="none" w:sz="0" w:space="0" w:color="auto"/>
            <w:left w:val="none" w:sz="0" w:space="0" w:color="auto"/>
            <w:bottom w:val="none" w:sz="0" w:space="0" w:color="auto"/>
            <w:right w:val="none" w:sz="0" w:space="0" w:color="auto"/>
          </w:divBdr>
        </w:div>
        <w:div w:id="677392419">
          <w:marLeft w:val="274"/>
          <w:marRight w:val="0"/>
          <w:marTop w:val="0"/>
          <w:marBottom w:val="120"/>
          <w:divBdr>
            <w:top w:val="none" w:sz="0" w:space="0" w:color="auto"/>
            <w:left w:val="none" w:sz="0" w:space="0" w:color="auto"/>
            <w:bottom w:val="none" w:sz="0" w:space="0" w:color="auto"/>
            <w:right w:val="none" w:sz="0" w:space="0" w:color="auto"/>
          </w:divBdr>
        </w:div>
        <w:div w:id="2114207950">
          <w:marLeft w:val="274"/>
          <w:marRight w:val="0"/>
          <w:marTop w:val="0"/>
          <w:marBottom w:val="120"/>
          <w:divBdr>
            <w:top w:val="none" w:sz="0" w:space="0" w:color="auto"/>
            <w:left w:val="none" w:sz="0" w:space="0" w:color="auto"/>
            <w:bottom w:val="none" w:sz="0" w:space="0" w:color="auto"/>
            <w:right w:val="none" w:sz="0" w:space="0" w:color="auto"/>
          </w:divBdr>
        </w:div>
      </w:divsChild>
    </w:div>
    <w:div w:id="1563180444">
      <w:bodyDiv w:val="1"/>
      <w:marLeft w:val="0"/>
      <w:marRight w:val="0"/>
      <w:marTop w:val="0"/>
      <w:marBottom w:val="0"/>
      <w:divBdr>
        <w:top w:val="none" w:sz="0" w:space="0" w:color="auto"/>
        <w:left w:val="none" w:sz="0" w:space="0" w:color="auto"/>
        <w:bottom w:val="none" w:sz="0" w:space="0" w:color="auto"/>
        <w:right w:val="none" w:sz="0" w:space="0" w:color="auto"/>
      </w:divBdr>
    </w:div>
    <w:div w:id="1563713239">
      <w:bodyDiv w:val="1"/>
      <w:marLeft w:val="0"/>
      <w:marRight w:val="0"/>
      <w:marTop w:val="0"/>
      <w:marBottom w:val="0"/>
      <w:divBdr>
        <w:top w:val="none" w:sz="0" w:space="0" w:color="auto"/>
        <w:left w:val="none" w:sz="0" w:space="0" w:color="auto"/>
        <w:bottom w:val="none" w:sz="0" w:space="0" w:color="auto"/>
        <w:right w:val="none" w:sz="0" w:space="0" w:color="auto"/>
      </w:divBdr>
    </w:div>
    <w:div w:id="1570844055">
      <w:bodyDiv w:val="1"/>
      <w:marLeft w:val="0"/>
      <w:marRight w:val="0"/>
      <w:marTop w:val="0"/>
      <w:marBottom w:val="0"/>
      <w:divBdr>
        <w:top w:val="none" w:sz="0" w:space="0" w:color="auto"/>
        <w:left w:val="none" w:sz="0" w:space="0" w:color="auto"/>
        <w:bottom w:val="none" w:sz="0" w:space="0" w:color="auto"/>
        <w:right w:val="none" w:sz="0" w:space="0" w:color="auto"/>
      </w:divBdr>
    </w:div>
    <w:div w:id="1574898972">
      <w:bodyDiv w:val="1"/>
      <w:marLeft w:val="0"/>
      <w:marRight w:val="0"/>
      <w:marTop w:val="0"/>
      <w:marBottom w:val="0"/>
      <w:divBdr>
        <w:top w:val="none" w:sz="0" w:space="0" w:color="auto"/>
        <w:left w:val="none" w:sz="0" w:space="0" w:color="auto"/>
        <w:bottom w:val="none" w:sz="0" w:space="0" w:color="auto"/>
        <w:right w:val="none" w:sz="0" w:space="0" w:color="auto"/>
      </w:divBdr>
    </w:div>
    <w:div w:id="1578127157">
      <w:bodyDiv w:val="1"/>
      <w:marLeft w:val="0"/>
      <w:marRight w:val="0"/>
      <w:marTop w:val="0"/>
      <w:marBottom w:val="0"/>
      <w:divBdr>
        <w:top w:val="none" w:sz="0" w:space="0" w:color="auto"/>
        <w:left w:val="none" w:sz="0" w:space="0" w:color="auto"/>
        <w:bottom w:val="none" w:sz="0" w:space="0" w:color="auto"/>
        <w:right w:val="none" w:sz="0" w:space="0" w:color="auto"/>
      </w:divBdr>
      <w:divsChild>
        <w:div w:id="11688131">
          <w:marLeft w:val="1051"/>
          <w:marRight w:val="0"/>
          <w:marTop w:val="240"/>
          <w:marBottom w:val="0"/>
          <w:divBdr>
            <w:top w:val="none" w:sz="0" w:space="0" w:color="auto"/>
            <w:left w:val="none" w:sz="0" w:space="0" w:color="auto"/>
            <w:bottom w:val="none" w:sz="0" w:space="0" w:color="auto"/>
            <w:right w:val="none" w:sz="0" w:space="0" w:color="auto"/>
          </w:divBdr>
        </w:div>
        <w:div w:id="41683191">
          <w:marLeft w:val="1051"/>
          <w:marRight w:val="0"/>
          <w:marTop w:val="240"/>
          <w:marBottom w:val="0"/>
          <w:divBdr>
            <w:top w:val="none" w:sz="0" w:space="0" w:color="auto"/>
            <w:left w:val="none" w:sz="0" w:space="0" w:color="auto"/>
            <w:bottom w:val="none" w:sz="0" w:space="0" w:color="auto"/>
            <w:right w:val="none" w:sz="0" w:space="0" w:color="auto"/>
          </w:divBdr>
        </w:div>
        <w:div w:id="81026911">
          <w:marLeft w:val="360"/>
          <w:marRight w:val="0"/>
          <w:marTop w:val="240"/>
          <w:marBottom w:val="0"/>
          <w:divBdr>
            <w:top w:val="none" w:sz="0" w:space="0" w:color="auto"/>
            <w:left w:val="none" w:sz="0" w:space="0" w:color="auto"/>
            <w:bottom w:val="none" w:sz="0" w:space="0" w:color="auto"/>
            <w:right w:val="none" w:sz="0" w:space="0" w:color="auto"/>
          </w:divBdr>
        </w:div>
        <w:div w:id="397747208">
          <w:marLeft w:val="994"/>
          <w:marRight w:val="0"/>
          <w:marTop w:val="240"/>
          <w:marBottom w:val="0"/>
          <w:divBdr>
            <w:top w:val="none" w:sz="0" w:space="0" w:color="auto"/>
            <w:left w:val="none" w:sz="0" w:space="0" w:color="auto"/>
            <w:bottom w:val="none" w:sz="0" w:space="0" w:color="auto"/>
            <w:right w:val="none" w:sz="0" w:space="0" w:color="auto"/>
          </w:divBdr>
        </w:div>
        <w:div w:id="692732084">
          <w:marLeft w:val="994"/>
          <w:marRight w:val="0"/>
          <w:marTop w:val="240"/>
          <w:marBottom w:val="0"/>
          <w:divBdr>
            <w:top w:val="none" w:sz="0" w:space="0" w:color="auto"/>
            <w:left w:val="none" w:sz="0" w:space="0" w:color="auto"/>
            <w:bottom w:val="none" w:sz="0" w:space="0" w:color="auto"/>
            <w:right w:val="none" w:sz="0" w:space="0" w:color="auto"/>
          </w:divBdr>
        </w:div>
        <w:div w:id="818032470">
          <w:marLeft w:val="994"/>
          <w:marRight w:val="0"/>
          <w:marTop w:val="240"/>
          <w:marBottom w:val="0"/>
          <w:divBdr>
            <w:top w:val="none" w:sz="0" w:space="0" w:color="auto"/>
            <w:left w:val="none" w:sz="0" w:space="0" w:color="auto"/>
            <w:bottom w:val="none" w:sz="0" w:space="0" w:color="auto"/>
            <w:right w:val="none" w:sz="0" w:space="0" w:color="auto"/>
          </w:divBdr>
        </w:div>
        <w:div w:id="1579904012">
          <w:marLeft w:val="994"/>
          <w:marRight w:val="0"/>
          <w:marTop w:val="240"/>
          <w:marBottom w:val="0"/>
          <w:divBdr>
            <w:top w:val="none" w:sz="0" w:space="0" w:color="auto"/>
            <w:left w:val="none" w:sz="0" w:space="0" w:color="auto"/>
            <w:bottom w:val="none" w:sz="0" w:space="0" w:color="auto"/>
            <w:right w:val="none" w:sz="0" w:space="0" w:color="auto"/>
          </w:divBdr>
        </w:div>
        <w:div w:id="1661805383">
          <w:marLeft w:val="994"/>
          <w:marRight w:val="0"/>
          <w:marTop w:val="240"/>
          <w:marBottom w:val="0"/>
          <w:divBdr>
            <w:top w:val="none" w:sz="0" w:space="0" w:color="auto"/>
            <w:left w:val="none" w:sz="0" w:space="0" w:color="auto"/>
            <w:bottom w:val="none" w:sz="0" w:space="0" w:color="auto"/>
            <w:right w:val="none" w:sz="0" w:space="0" w:color="auto"/>
          </w:divBdr>
        </w:div>
        <w:div w:id="1857697617">
          <w:marLeft w:val="994"/>
          <w:marRight w:val="0"/>
          <w:marTop w:val="240"/>
          <w:marBottom w:val="0"/>
          <w:divBdr>
            <w:top w:val="none" w:sz="0" w:space="0" w:color="auto"/>
            <w:left w:val="none" w:sz="0" w:space="0" w:color="auto"/>
            <w:bottom w:val="none" w:sz="0" w:space="0" w:color="auto"/>
            <w:right w:val="none" w:sz="0" w:space="0" w:color="auto"/>
          </w:divBdr>
        </w:div>
        <w:div w:id="1917661985">
          <w:marLeft w:val="994"/>
          <w:marRight w:val="0"/>
          <w:marTop w:val="240"/>
          <w:marBottom w:val="0"/>
          <w:divBdr>
            <w:top w:val="none" w:sz="0" w:space="0" w:color="auto"/>
            <w:left w:val="none" w:sz="0" w:space="0" w:color="auto"/>
            <w:bottom w:val="none" w:sz="0" w:space="0" w:color="auto"/>
            <w:right w:val="none" w:sz="0" w:space="0" w:color="auto"/>
          </w:divBdr>
        </w:div>
        <w:div w:id="2022704551">
          <w:marLeft w:val="1051"/>
          <w:marRight w:val="0"/>
          <w:marTop w:val="240"/>
          <w:marBottom w:val="0"/>
          <w:divBdr>
            <w:top w:val="none" w:sz="0" w:space="0" w:color="auto"/>
            <w:left w:val="none" w:sz="0" w:space="0" w:color="auto"/>
            <w:bottom w:val="none" w:sz="0" w:space="0" w:color="auto"/>
            <w:right w:val="none" w:sz="0" w:space="0" w:color="auto"/>
          </w:divBdr>
        </w:div>
      </w:divsChild>
    </w:div>
    <w:div w:id="1591230278">
      <w:bodyDiv w:val="1"/>
      <w:marLeft w:val="0"/>
      <w:marRight w:val="0"/>
      <w:marTop w:val="0"/>
      <w:marBottom w:val="0"/>
      <w:divBdr>
        <w:top w:val="none" w:sz="0" w:space="0" w:color="auto"/>
        <w:left w:val="none" w:sz="0" w:space="0" w:color="auto"/>
        <w:bottom w:val="none" w:sz="0" w:space="0" w:color="auto"/>
        <w:right w:val="none" w:sz="0" w:space="0" w:color="auto"/>
      </w:divBdr>
    </w:div>
    <w:div w:id="1593122598">
      <w:bodyDiv w:val="1"/>
      <w:marLeft w:val="0"/>
      <w:marRight w:val="0"/>
      <w:marTop w:val="0"/>
      <w:marBottom w:val="0"/>
      <w:divBdr>
        <w:top w:val="none" w:sz="0" w:space="0" w:color="auto"/>
        <w:left w:val="none" w:sz="0" w:space="0" w:color="auto"/>
        <w:bottom w:val="none" w:sz="0" w:space="0" w:color="auto"/>
        <w:right w:val="none" w:sz="0" w:space="0" w:color="auto"/>
      </w:divBdr>
    </w:div>
    <w:div w:id="1605070047">
      <w:bodyDiv w:val="1"/>
      <w:marLeft w:val="0"/>
      <w:marRight w:val="0"/>
      <w:marTop w:val="0"/>
      <w:marBottom w:val="0"/>
      <w:divBdr>
        <w:top w:val="none" w:sz="0" w:space="0" w:color="auto"/>
        <w:left w:val="none" w:sz="0" w:space="0" w:color="auto"/>
        <w:bottom w:val="none" w:sz="0" w:space="0" w:color="auto"/>
        <w:right w:val="none" w:sz="0" w:space="0" w:color="auto"/>
      </w:divBdr>
    </w:div>
    <w:div w:id="1607226064">
      <w:bodyDiv w:val="1"/>
      <w:marLeft w:val="0"/>
      <w:marRight w:val="0"/>
      <w:marTop w:val="0"/>
      <w:marBottom w:val="0"/>
      <w:divBdr>
        <w:top w:val="none" w:sz="0" w:space="0" w:color="auto"/>
        <w:left w:val="none" w:sz="0" w:space="0" w:color="auto"/>
        <w:bottom w:val="none" w:sz="0" w:space="0" w:color="auto"/>
        <w:right w:val="none" w:sz="0" w:space="0" w:color="auto"/>
      </w:divBdr>
    </w:div>
    <w:div w:id="1613587953">
      <w:bodyDiv w:val="1"/>
      <w:marLeft w:val="0"/>
      <w:marRight w:val="0"/>
      <w:marTop w:val="0"/>
      <w:marBottom w:val="0"/>
      <w:divBdr>
        <w:top w:val="none" w:sz="0" w:space="0" w:color="auto"/>
        <w:left w:val="none" w:sz="0" w:space="0" w:color="auto"/>
        <w:bottom w:val="none" w:sz="0" w:space="0" w:color="auto"/>
        <w:right w:val="none" w:sz="0" w:space="0" w:color="auto"/>
      </w:divBdr>
    </w:div>
    <w:div w:id="1617131683">
      <w:bodyDiv w:val="1"/>
      <w:marLeft w:val="0"/>
      <w:marRight w:val="0"/>
      <w:marTop w:val="0"/>
      <w:marBottom w:val="0"/>
      <w:divBdr>
        <w:top w:val="none" w:sz="0" w:space="0" w:color="auto"/>
        <w:left w:val="none" w:sz="0" w:space="0" w:color="auto"/>
        <w:bottom w:val="none" w:sz="0" w:space="0" w:color="auto"/>
        <w:right w:val="none" w:sz="0" w:space="0" w:color="auto"/>
      </w:divBdr>
    </w:div>
    <w:div w:id="1630085823">
      <w:bodyDiv w:val="1"/>
      <w:marLeft w:val="0"/>
      <w:marRight w:val="0"/>
      <w:marTop w:val="0"/>
      <w:marBottom w:val="0"/>
      <w:divBdr>
        <w:top w:val="none" w:sz="0" w:space="0" w:color="auto"/>
        <w:left w:val="none" w:sz="0" w:space="0" w:color="auto"/>
        <w:bottom w:val="none" w:sz="0" w:space="0" w:color="auto"/>
        <w:right w:val="none" w:sz="0" w:space="0" w:color="auto"/>
      </w:divBdr>
    </w:div>
    <w:div w:id="1639993237">
      <w:bodyDiv w:val="1"/>
      <w:marLeft w:val="0"/>
      <w:marRight w:val="0"/>
      <w:marTop w:val="0"/>
      <w:marBottom w:val="0"/>
      <w:divBdr>
        <w:top w:val="none" w:sz="0" w:space="0" w:color="auto"/>
        <w:left w:val="none" w:sz="0" w:space="0" w:color="auto"/>
        <w:bottom w:val="none" w:sz="0" w:space="0" w:color="auto"/>
        <w:right w:val="none" w:sz="0" w:space="0" w:color="auto"/>
      </w:divBdr>
      <w:divsChild>
        <w:div w:id="1229730982">
          <w:marLeft w:val="547"/>
          <w:marRight w:val="0"/>
          <w:marTop w:val="0"/>
          <w:marBottom w:val="0"/>
          <w:divBdr>
            <w:top w:val="none" w:sz="0" w:space="0" w:color="auto"/>
            <w:left w:val="none" w:sz="0" w:space="0" w:color="auto"/>
            <w:bottom w:val="none" w:sz="0" w:space="0" w:color="auto"/>
            <w:right w:val="none" w:sz="0" w:space="0" w:color="auto"/>
          </w:divBdr>
        </w:div>
      </w:divsChild>
    </w:div>
    <w:div w:id="1640645815">
      <w:bodyDiv w:val="1"/>
      <w:marLeft w:val="0"/>
      <w:marRight w:val="0"/>
      <w:marTop w:val="0"/>
      <w:marBottom w:val="0"/>
      <w:divBdr>
        <w:top w:val="none" w:sz="0" w:space="0" w:color="auto"/>
        <w:left w:val="none" w:sz="0" w:space="0" w:color="auto"/>
        <w:bottom w:val="none" w:sz="0" w:space="0" w:color="auto"/>
        <w:right w:val="none" w:sz="0" w:space="0" w:color="auto"/>
      </w:divBdr>
    </w:div>
    <w:div w:id="1654026997">
      <w:bodyDiv w:val="1"/>
      <w:marLeft w:val="0"/>
      <w:marRight w:val="0"/>
      <w:marTop w:val="0"/>
      <w:marBottom w:val="0"/>
      <w:divBdr>
        <w:top w:val="none" w:sz="0" w:space="0" w:color="auto"/>
        <w:left w:val="none" w:sz="0" w:space="0" w:color="auto"/>
        <w:bottom w:val="none" w:sz="0" w:space="0" w:color="auto"/>
        <w:right w:val="none" w:sz="0" w:space="0" w:color="auto"/>
      </w:divBdr>
    </w:div>
    <w:div w:id="1671133892">
      <w:bodyDiv w:val="1"/>
      <w:marLeft w:val="0"/>
      <w:marRight w:val="0"/>
      <w:marTop w:val="0"/>
      <w:marBottom w:val="0"/>
      <w:divBdr>
        <w:top w:val="none" w:sz="0" w:space="0" w:color="auto"/>
        <w:left w:val="none" w:sz="0" w:space="0" w:color="auto"/>
        <w:bottom w:val="none" w:sz="0" w:space="0" w:color="auto"/>
        <w:right w:val="none" w:sz="0" w:space="0" w:color="auto"/>
      </w:divBdr>
    </w:div>
    <w:div w:id="1678849724">
      <w:bodyDiv w:val="1"/>
      <w:marLeft w:val="0"/>
      <w:marRight w:val="0"/>
      <w:marTop w:val="0"/>
      <w:marBottom w:val="0"/>
      <w:divBdr>
        <w:top w:val="none" w:sz="0" w:space="0" w:color="auto"/>
        <w:left w:val="none" w:sz="0" w:space="0" w:color="auto"/>
        <w:bottom w:val="none" w:sz="0" w:space="0" w:color="auto"/>
        <w:right w:val="none" w:sz="0" w:space="0" w:color="auto"/>
      </w:divBdr>
    </w:div>
    <w:div w:id="1679575847">
      <w:bodyDiv w:val="1"/>
      <w:marLeft w:val="0"/>
      <w:marRight w:val="0"/>
      <w:marTop w:val="0"/>
      <w:marBottom w:val="0"/>
      <w:divBdr>
        <w:top w:val="none" w:sz="0" w:space="0" w:color="auto"/>
        <w:left w:val="none" w:sz="0" w:space="0" w:color="auto"/>
        <w:bottom w:val="none" w:sz="0" w:space="0" w:color="auto"/>
        <w:right w:val="none" w:sz="0" w:space="0" w:color="auto"/>
      </w:divBdr>
    </w:div>
    <w:div w:id="1681468531">
      <w:bodyDiv w:val="1"/>
      <w:marLeft w:val="0"/>
      <w:marRight w:val="0"/>
      <w:marTop w:val="0"/>
      <w:marBottom w:val="0"/>
      <w:divBdr>
        <w:top w:val="none" w:sz="0" w:space="0" w:color="auto"/>
        <w:left w:val="none" w:sz="0" w:space="0" w:color="auto"/>
        <w:bottom w:val="none" w:sz="0" w:space="0" w:color="auto"/>
        <w:right w:val="none" w:sz="0" w:space="0" w:color="auto"/>
      </w:divBdr>
    </w:div>
    <w:div w:id="1707413730">
      <w:bodyDiv w:val="1"/>
      <w:marLeft w:val="0"/>
      <w:marRight w:val="0"/>
      <w:marTop w:val="0"/>
      <w:marBottom w:val="0"/>
      <w:divBdr>
        <w:top w:val="none" w:sz="0" w:space="0" w:color="auto"/>
        <w:left w:val="none" w:sz="0" w:space="0" w:color="auto"/>
        <w:bottom w:val="none" w:sz="0" w:space="0" w:color="auto"/>
        <w:right w:val="none" w:sz="0" w:space="0" w:color="auto"/>
      </w:divBdr>
    </w:div>
    <w:div w:id="1721590056">
      <w:bodyDiv w:val="1"/>
      <w:marLeft w:val="0"/>
      <w:marRight w:val="0"/>
      <w:marTop w:val="0"/>
      <w:marBottom w:val="0"/>
      <w:divBdr>
        <w:top w:val="none" w:sz="0" w:space="0" w:color="auto"/>
        <w:left w:val="none" w:sz="0" w:space="0" w:color="auto"/>
        <w:bottom w:val="none" w:sz="0" w:space="0" w:color="auto"/>
        <w:right w:val="none" w:sz="0" w:space="0" w:color="auto"/>
      </w:divBdr>
      <w:divsChild>
        <w:div w:id="7677022">
          <w:marLeft w:val="230"/>
          <w:marRight w:val="0"/>
          <w:marTop w:val="60"/>
          <w:marBottom w:val="60"/>
          <w:divBdr>
            <w:top w:val="none" w:sz="0" w:space="0" w:color="auto"/>
            <w:left w:val="none" w:sz="0" w:space="0" w:color="auto"/>
            <w:bottom w:val="none" w:sz="0" w:space="0" w:color="auto"/>
            <w:right w:val="none" w:sz="0" w:space="0" w:color="auto"/>
          </w:divBdr>
        </w:div>
        <w:div w:id="395591343">
          <w:marLeft w:val="274"/>
          <w:marRight w:val="0"/>
          <w:marTop w:val="0"/>
          <w:marBottom w:val="0"/>
          <w:divBdr>
            <w:top w:val="none" w:sz="0" w:space="0" w:color="auto"/>
            <w:left w:val="none" w:sz="0" w:space="0" w:color="auto"/>
            <w:bottom w:val="none" w:sz="0" w:space="0" w:color="auto"/>
            <w:right w:val="none" w:sz="0" w:space="0" w:color="auto"/>
          </w:divBdr>
        </w:div>
        <w:div w:id="470564581">
          <w:marLeft w:val="274"/>
          <w:marRight w:val="0"/>
          <w:marTop w:val="0"/>
          <w:marBottom w:val="0"/>
          <w:divBdr>
            <w:top w:val="none" w:sz="0" w:space="0" w:color="auto"/>
            <w:left w:val="none" w:sz="0" w:space="0" w:color="auto"/>
            <w:bottom w:val="none" w:sz="0" w:space="0" w:color="auto"/>
            <w:right w:val="none" w:sz="0" w:space="0" w:color="auto"/>
          </w:divBdr>
        </w:div>
        <w:div w:id="480318814">
          <w:marLeft w:val="274"/>
          <w:marRight w:val="0"/>
          <w:marTop w:val="0"/>
          <w:marBottom w:val="0"/>
          <w:divBdr>
            <w:top w:val="none" w:sz="0" w:space="0" w:color="auto"/>
            <w:left w:val="none" w:sz="0" w:space="0" w:color="auto"/>
            <w:bottom w:val="none" w:sz="0" w:space="0" w:color="auto"/>
            <w:right w:val="none" w:sz="0" w:space="0" w:color="auto"/>
          </w:divBdr>
        </w:div>
        <w:div w:id="508251752">
          <w:marLeft w:val="274"/>
          <w:marRight w:val="0"/>
          <w:marTop w:val="0"/>
          <w:marBottom w:val="0"/>
          <w:divBdr>
            <w:top w:val="none" w:sz="0" w:space="0" w:color="auto"/>
            <w:left w:val="none" w:sz="0" w:space="0" w:color="auto"/>
            <w:bottom w:val="none" w:sz="0" w:space="0" w:color="auto"/>
            <w:right w:val="none" w:sz="0" w:space="0" w:color="auto"/>
          </w:divBdr>
        </w:div>
        <w:div w:id="536700985">
          <w:marLeft w:val="274"/>
          <w:marRight w:val="0"/>
          <w:marTop w:val="0"/>
          <w:marBottom w:val="0"/>
          <w:divBdr>
            <w:top w:val="none" w:sz="0" w:space="0" w:color="auto"/>
            <w:left w:val="none" w:sz="0" w:space="0" w:color="auto"/>
            <w:bottom w:val="none" w:sz="0" w:space="0" w:color="auto"/>
            <w:right w:val="none" w:sz="0" w:space="0" w:color="auto"/>
          </w:divBdr>
        </w:div>
        <w:div w:id="645012834">
          <w:marLeft w:val="274"/>
          <w:marRight w:val="0"/>
          <w:marTop w:val="0"/>
          <w:marBottom w:val="0"/>
          <w:divBdr>
            <w:top w:val="none" w:sz="0" w:space="0" w:color="auto"/>
            <w:left w:val="none" w:sz="0" w:space="0" w:color="auto"/>
            <w:bottom w:val="none" w:sz="0" w:space="0" w:color="auto"/>
            <w:right w:val="none" w:sz="0" w:space="0" w:color="auto"/>
          </w:divBdr>
        </w:div>
        <w:div w:id="752511575">
          <w:marLeft w:val="274"/>
          <w:marRight w:val="0"/>
          <w:marTop w:val="0"/>
          <w:marBottom w:val="0"/>
          <w:divBdr>
            <w:top w:val="none" w:sz="0" w:space="0" w:color="auto"/>
            <w:left w:val="none" w:sz="0" w:space="0" w:color="auto"/>
            <w:bottom w:val="none" w:sz="0" w:space="0" w:color="auto"/>
            <w:right w:val="none" w:sz="0" w:space="0" w:color="auto"/>
          </w:divBdr>
        </w:div>
        <w:div w:id="857894286">
          <w:marLeft w:val="274"/>
          <w:marRight w:val="0"/>
          <w:marTop w:val="0"/>
          <w:marBottom w:val="0"/>
          <w:divBdr>
            <w:top w:val="none" w:sz="0" w:space="0" w:color="auto"/>
            <w:left w:val="none" w:sz="0" w:space="0" w:color="auto"/>
            <w:bottom w:val="none" w:sz="0" w:space="0" w:color="auto"/>
            <w:right w:val="none" w:sz="0" w:space="0" w:color="auto"/>
          </w:divBdr>
        </w:div>
        <w:div w:id="897210801">
          <w:marLeft w:val="274"/>
          <w:marRight w:val="0"/>
          <w:marTop w:val="0"/>
          <w:marBottom w:val="0"/>
          <w:divBdr>
            <w:top w:val="none" w:sz="0" w:space="0" w:color="auto"/>
            <w:left w:val="none" w:sz="0" w:space="0" w:color="auto"/>
            <w:bottom w:val="none" w:sz="0" w:space="0" w:color="auto"/>
            <w:right w:val="none" w:sz="0" w:space="0" w:color="auto"/>
          </w:divBdr>
        </w:div>
        <w:div w:id="1023357059">
          <w:marLeft w:val="274"/>
          <w:marRight w:val="0"/>
          <w:marTop w:val="0"/>
          <w:marBottom w:val="0"/>
          <w:divBdr>
            <w:top w:val="none" w:sz="0" w:space="0" w:color="auto"/>
            <w:left w:val="none" w:sz="0" w:space="0" w:color="auto"/>
            <w:bottom w:val="none" w:sz="0" w:space="0" w:color="auto"/>
            <w:right w:val="none" w:sz="0" w:space="0" w:color="auto"/>
          </w:divBdr>
        </w:div>
        <w:div w:id="1091389341">
          <w:marLeft w:val="274"/>
          <w:marRight w:val="0"/>
          <w:marTop w:val="0"/>
          <w:marBottom w:val="0"/>
          <w:divBdr>
            <w:top w:val="none" w:sz="0" w:space="0" w:color="auto"/>
            <w:left w:val="none" w:sz="0" w:space="0" w:color="auto"/>
            <w:bottom w:val="none" w:sz="0" w:space="0" w:color="auto"/>
            <w:right w:val="none" w:sz="0" w:space="0" w:color="auto"/>
          </w:divBdr>
        </w:div>
        <w:div w:id="1149639253">
          <w:marLeft w:val="230"/>
          <w:marRight w:val="0"/>
          <w:marTop w:val="60"/>
          <w:marBottom w:val="60"/>
          <w:divBdr>
            <w:top w:val="none" w:sz="0" w:space="0" w:color="auto"/>
            <w:left w:val="none" w:sz="0" w:space="0" w:color="auto"/>
            <w:bottom w:val="none" w:sz="0" w:space="0" w:color="auto"/>
            <w:right w:val="none" w:sz="0" w:space="0" w:color="auto"/>
          </w:divBdr>
        </w:div>
        <w:div w:id="1218321703">
          <w:marLeft w:val="274"/>
          <w:marRight w:val="0"/>
          <w:marTop w:val="0"/>
          <w:marBottom w:val="0"/>
          <w:divBdr>
            <w:top w:val="none" w:sz="0" w:space="0" w:color="auto"/>
            <w:left w:val="none" w:sz="0" w:space="0" w:color="auto"/>
            <w:bottom w:val="none" w:sz="0" w:space="0" w:color="auto"/>
            <w:right w:val="none" w:sz="0" w:space="0" w:color="auto"/>
          </w:divBdr>
        </w:div>
        <w:div w:id="1236431699">
          <w:marLeft w:val="274"/>
          <w:marRight w:val="0"/>
          <w:marTop w:val="0"/>
          <w:marBottom w:val="0"/>
          <w:divBdr>
            <w:top w:val="none" w:sz="0" w:space="0" w:color="auto"/>
            <w:left w:val="none" w:sz="0" w:space="0" w:color="auto"/>
            <w:bottom w:val="none" w:sz="0" w:space="0" w:color="auto"/>
            <w:right w:val="none" w:sz="0" w:space="0" w:color="auto"/>
          </w:divBdr>
        </w:div>
        <w:div w:id="1671324948">
          <w:marLeft w:val="274"/>
          <w:marRight w:val="0"/>
          <w:marTop w:val="0"/>
          <w:marBottom w:val="0"/>
          <w:divBdr>
            <w:top w:val="none" w:sz="0" w:space="0" w:color="auto"/>
            <w:left w:val="none" w:sz="0" w:space="0" w:color="auto"/>
            <w:bottom w:val="none" w:sz="0" w:space="0" w:color="auto"/>
            <w:right w:val="none" w:sz="0" w:space="0" w:color="auto"/>
          </w:divBdr>
        </w:div>
        <w:div w:id="1975329640">
          <w:marLeft w:val="274"/>
          <w:marRight w:val="0"/>
          <w:marTop w:val="0"/>
          <w:marBottom w:val="0"/>
          <w:divBdr>
            <w:top w:val="none" w:sz="0" w:space="0" w:color="auto"/>
            <w:left w:val="none" w:sz="0" w:space="0" w:color="auto"/>
            <w:bottom w:val="none" w:sz="0" w:space="0" w:color="auto"/>
            <w:right w:val="none" w:sz="0" w:space="0" w:color="auto"/>
          </w:divBdr>
        </w:div>
        <w:div w:id="1998143394">
          <w:marLeft w:val="274"/>
          <w:marRight w:val="0"/>
          <w:marTop w:val="0"/>
          <w:marBottom w:val="0"/>
          <w:divBdr>
            <w:top w:val="none" w:sz="0" w:space="0" w:color="auto"/>
            <w:left w:val="none" w:sz="0" w:space="0" w:color="auto"/>
            <w:bottom w:val="none" w:sz="0" w:space="0" w:color="auto"/>
            <w:right w:val="none" w:sz="0" w:space="0" w:color="auto"/>
          </w:divBdr>
        </w:div>
      </w:divsChild>
    </w:div>
    <w:div w:id="1726178345">
      <w:bodyDiv w:val="1"/>
      <w:marLeft w:val="0"/>
      <w:marRight w:val="0"/>
      <w:marTop w:val="0"/>
      <w:marBottom w:val="0"/>
      <w:divBdr>
        <w:top w:val="none" w:sz="0" w:space="0" w:color="auto"/>
        <w:left w:val="none" w:sz="0" w:space="0" w:color="auto"/>
        <w:bottom w:val="none" w:sz="0" w:space="0" w:color="auto"/>
        <w:right w:val="none" w:sz="0" w:space="0" w:color="auto"/>
      </w:divBdr>
    </w:div>
    <w:div w:id="1730306672">
      <w:bodyDiv w:val="1"/>
      <w:marLeft w:val="0"/>
      <w:marRight w:val="0"/>
      <w:marTop w:val="0"/>
      <w:marBottom w:val="0"/>
      <w:divBdr>
        <w:top w:val="none" w:sz="0" w:space="0" w:color="auto"/>
        <w:left w:val="none" w:sz="0" w:space="0" w:color="auto"/>
        <w:bottom w:val="none" w:sz="0" w:space="0" w:color="auto"/>
        <w:right w:val="none" w:sz="0" w:space="0" w:color="auto"/>
      </w:divBdr>
    </w:div>
    <w:div w:id="1730379619">
      <w:bodyDiv w:val="1"/>
      <w:marLeft w:val="0"/>
      <w:marRight w:val="0"/>
      <w:marTop w:val="0"/>
      <w:marBottom w:val="0"/>
      <w:divBdr>
        <w:top w:val="none" w:sz="0" w:space="0" w:color="auto"/>
        <w:left w:val="none" w:sz="0" w:space="0" w:color="auto"/>
        <w:bottom w:val="none" w:sz="0" w:space="0" w:color="auto"/>
        <w:right w:val="none" w:sz="0" w:space="0" w:color="auto"/>
      </w:divBdr>
    </w:div>
    <w:div w:id="1741557430">
      <w:bodyDiv w:val="1"/>
      <w:marLeft w:val="0"/>
      <w:marRight w:val="0"/>
      <w:marTop w:val="0"/>
      <w:marBottom w:val="0"/>
      <w:divBdr>
        <w:top w:val="none" w:sz="0" w:space="0" w:color="auto"/>
        <w:left w:val="none" w:sz="0" w:space="0" w:color="auto"/>
        <w:bottom w:val="none" w:sz="0" w:space="0" w:color="auto"/>
        <w:right w:val="none" w:sz="0" w:space="0" w:color="auto"/>
      </w:divBdr>
    </w:div>
    <w:div w:id="1744374719">
      <w:bodyDiv w:val="1"/>
      <w:marLeft w:val="0"/>
      <w:marRight w:val="0"/>
      <w:marTop w:val="0"/>
      <w:marBottom w:val="0"/>
      <w:divBdr>
        <w:top w:val="none" w:sz="0" w:space="0" w:color="auto"/>
        <w:left w:val="none" w:sz="0" w:space="0" w:color="auto"/>
        <w:bottom w:val="none" w:sz="0" w:space="0" w:color="auto"/>
        <w:right w:val="none" w:sz="0" w:space="0" w:color="auto"/>
      </w:divBdr>
    </w:div>
    <w:div w:id="1754428608">
      <w:bodyDiv w:val="1"/>
      <w:marLeft w:val="0"/>
      <w:marRight w:val="0"/>
      <w:marTop w:val="0"/>
      <w:marBottom w:val="0"/>
      <w:divBdr>
        <w:top w:val="none" w:sz="0" w:space="0" w:color="auto"/>
        <w:left w:val="none" w:sz="0" w:space="0" w:color="auto"/>
        <w:bottom w:val="none" w:sz="0" w:space="0" w:color="auto"/>
        <w:right w:val="none" w:sz="0" w:space="0" w:color="auto"/>
      </w:divBdr>
    </w:div>
    <w:div w:id="1764641286">
      <w:bodyDiv w:val="1"/>
      <w:marLeft w:val="0"/>
      <w:marRight w:val="0"/>
      <w:marTop w:val="0"/>
      <w:marBottom w:val="0"/>
      <w:divBdr>
        <w:top w:val="none" w:sz="0" w:space="0" w:color="auto"/>
        <w:left w:val="none" w:sz="0" w:space="0" w:color="auto"/>
        <w:bottom w:val="none" w:sz="0" w:space="0" w:color="auto"/>
        <w:right w:val="none" w:sz="0" w:space="0" w:color="auto"/>
      </w:divBdr>
    </w:div>
    <w:div w:id="1765761400">
      <w:bodyDiv w:val="1"/>
      <w:marLeft w:val="0"/>
      <w:marRight w:val="0"/>
      <w:marTop w:val="0"/>
      <w:marBottom w:val="0"/>
      <w:divBdr>
        <w:top w:val="none" w:sz="0" w:space="0" w:color="auto"/>
        <w:left w:val="none" w:sz="0" w:space="0" w:color="auto"/>
        <w:bottom w:val="none" w:sz="0" w:space="0" w:color="auto"/>
        <w:right w:val="none" w:sz="0" w:space="0" w:color="auto"/>
      </w:divBdr>
      <w:divsChild>
        <w:div w:id="768816437">
          <w:marLeft w:val="274"/>
          <w:marRight w:val="0"/>
          <w:marTop w:val="0"/>
          <w:marBottom w:val="60"/>
          <w:divBdr>
            <w:top w:val="none" w:sz="0" w:space="0" w:color="auto"/>
            <w:left w:val="none" w:sz="0" w:space="0" w:color="auto"/>
            <w:bottom w:val="none" w:sz="0" w:space="0" w:color="auto"/>
            <w:right w:val="none" w:sz="0" w:space="0" w:color="auto"/>
          </w:divBdr>
        </w:div>
        <w:div w:id="1017119306">
          <w:marLeft w:val="274"/>
          <w:marRight w:val="0"/>
          <w:marTop w:val="0"/>
          <w:marBottom w:val="60"/>
          <w:divBdr>
            <w:top w:val="none" w:sz="0" w:space="0" w:color="auto"/>
            <w:left w:val="none" w:sz="0" w:space="0" w:color="auto"/>
            <w:bottom w:val="none" w:sz="0" w:space="0" w:color="auto"/>
            <w:right w:val="none" w:sz="0" w:space="0" w:color="auto"/>
          </w:divBdr>
        </w:div>
        <w:div w:id="1745100007">
          <w:marLeft w:val="274"/>
          <w:marRight w:val="0"/>
          <w:marTop w:val="0"/>
          <w:marBottom w:val="60"/>
          <w:divBdr>
            <w:top w:val="none" w:sz="0" w:space="0" w:color="auto"/>
            <w:left w:val="none" w:sz="0" w:space="0" w:color="auto"/>
            <w:bottom w:val="none" w:sz="0" w:space="0" w:color="auto"/>
            <w:right w:val="none" w:sz="0" w:space="0" w:color="auto"/>
          </w:divBdr>
        </w:div>
      </w:divsChild>
    </w:div>
    <w:div w:id="1773092324">
      <w:bodyDiv w:val="1"/>
      <w:marLeft w:val="0"/>
      <w:marRight w:val="0"/>
      <w:marTop w:val="0"/>
      <w:marBottom w:val="0"/>
      <w:divBdr>
        <w:top w:val="none" w:sz="0" w:space="0" w:color="auto"/>
        <w:left w:val="none" w:sz="0" w:space="0" w:color="auto"/>
        <w:bottom w:val="none" w:sz="0" w:space="0" w:color="auto"/>
        <w:right w:val="none" w:sz="0" w:space="0" w:color="auto"/>
      </w:divBdr>
      <w:divsChild>
        <w:div w:id="66535973">
          <w:marLeft w:val="1051"/>
          <w:marRight w:val="0"/>
          <w:marTop w:val="240"/>
          <w:marBottom w:val="0"/>
          <w:divBdr>
            <w:top w:val="none" w:sz="0" w:space="0" w:color="auto"/>
            <w:left w:val="none" w:sz="0" w:space="0" w:color="auto"/>
            <w:bottom w:val="none" w:sz="0" w:space="0" w:color="auto"/>
            <w:right w:val="none" w:sz="0" w:space="0" w:color="auto"/>
          </w:divBdr>
        </w:div>
        <w:div w:id="255944577">
          <w:marLeft w:val="1051"/>
          <w:marRight w:val="0"/>
          <w:marTop w:val="240"/>
          <w:marBottom w:val="0"/>
          <w:divBdr>
            <w:top w:val="none" w:sz="0" w:space="0" w:color="auto"/>
            <w:left w:val="none" w:sz="0" w:space="0" w:color="auto"/>
            <w:bottom w:val="none" w:sz="0" w:space="0" w:color="auto"/>
            <w:right w:val="none" w:sz="0" w:space="0" w:color="auto"/>
          </w:divBdr>
        </w:div>
        <w:div w:id="378286280">
          <w:marLeft w:val="360"/>
          <w:marRight w:val="0"/>
          <w:marTop w:val="240"/>
          <w:marBottom w:val="0"/>
          <w:divBdr>
            <w:top w:val="none" w:sz="0" w:space="0" w:color="auto"/>
            <w:left w:val="none" w:sz="0" w:space="0" w:color="auto"/>
            <w:bottom w:val="none" w:sz="0" w:space="0" w:color="auto"/>
            <w:right w:val="none" w:sz="0" w:space="0" w:color="auto"/>
          </w:divBdr>
        </w:div>
        <w:div w:id="421881804">
          <w:marLeft w:val="994"/>
          <w:marRight w:val="0"/>
          <w:marTop w:val="240"/>
          <w:marBottom w:val="0"/>
          <w:divBdr>
            <w:top w:val="none" w:sz="0" w:space="0" w:color="auto"/>
            <w:left w:val="none" w:sz="0" w:space="0" w:color="auto"/>
            <w:bottom w:val="none" w:sz="0" w:space="0" w:color="auto"/>
            <w:right w:val="none" w:sz="0" w:space="0" w:color="auto"/>
          </w:divBdr>
        </w:div>
        <w:div w:id="724527653">
          <w:marLeft w:val="1051"/>
          <w:marRight w:val="0"/>
          <w:marTop w:val="240"/>
          <w:marBottom w:val="0"/>
          <w:divBdr>
            <w:top w:val="none" w:sz="0" w:space="0" w:color="auto"/>
            <w:left w:val="none" w:sz="0" w:space="0" w:color="auto"/>
            <w:bottom w:val="none" w:sz="0" w:space="0" w:color="auto"/>
            <w:right w:val="none" w:sz="0" w:space="0" w:color="auto"/>
          </w:divBdr>
        </w:div>
        <w:div w:id="1060440545">
          <w:marLeft w:val="1051"/>
          <w:marRight w:val="0"/>
          <w:marTop w:val="240"/>
          <w:marBottom w:val="0"/>
          <w:divBdr>
            <w:top w:val="none" w:sz="0" w:space="0" w:color="auto"/>
            <w:left w:val="none" w:sz="0" w:space="0" w:color="auto"/>
            <w:bottom w:val="none" w:sz="0" w:space="0" w:color="auto"/>
            <w:right w:val="none" w:sz="0" w:space="0" w:color="auto"/>
          </w:divBdr>
        </w:div>
        <w:div w:id="1062480624">
          <w:marLeft w:val="1051"/>
          <w:marRight w:val="0"/>
          <w:marTop w:val="240"/>
          <w:marBottom w:val="0"/>
          <w:divBdr>
            <w:top w:val="none" w:sz="0" w:space="0" w:color="auto"/>
            <w:left w:val="none" w:sz="0" w:space="0" w:color="auto"/>
            <w:bottom w:val="none" w:sz="0" w:space="0" w:color="auto"/>
            <w:right w:val="none" w:sz="0" w:space="0" w:color="auto"/>
          </w:divBdr>
        </w:div>
        <w:div w:id="1123811533">
          <w:marLeft w:val="1051"/>
          <w:marRight w:val="0"/>
          <w:marTop w:val="240"/>
          <w:marBottom w:val="0"/>
          <w:divBdr>
            <w:top w:val="none" w:sz="0" w:space="0" w:color="auto"/>
            <w:left w:val="none" w:sz="0" w:space="0" w:color="auto"/>
            <w:bottom w:val="none" w:sz="0" w:space="0" w:color="auto"/>
            <w:right w:val="none" w:sz="0" w:space="0" w:color="auto"/>
          </w:divBdr>
        </w:div>
        <w:div w:id="1458791583">
          <w:marLeft w:val="994"/>
          <w:marRight w:val="0"/>
          <w:marTop w:val="240"/>
          <w:marBottom w:val="0"/>
          <w:divBdr>
            <w:top w:val="none" w:sz="0" w:space="0" w:color="auto"/>
            <w:left w:val="none" w:sz="0" w:space="0" w:color="auto"/>
            <w:bottom w:val="none" w:sz="0" w:space="0" w:color="auto"/>
            <w:right w:val="none" w:sz="0" w:space="0" w:color="auto"/>
          </w:divBdr>
        </w:div>
        <w:div w:id="1491019164">
          <w:marLeft w:val="1051"/>
          <w:marRight w:val="0"/>
          <w:marTop w:val="240"/>
          <w:marBottom w:val="0"/>
          <w:divBdr>
            <w:top w:val="none" w:sz="0" w:space="0" w:color="auto"/>
            <w:left w:val="none" w:sz="0" w:space="0" w:color="auto"/>
            <w:bottom w:val="none" w:sz="0" w:space="0" w:color="auto"/>
            <w:right w:val="none" w:sz="0" w:space="0" w:color="auto"/>
          </w:divBdr>
        </w:div>
        <w:div w:id="2098479232">
          <w:marLeft w:val="994"/>
          <w:marRight w:val="0"/>
          <w:marTop w:val="240"/>
          <w:marBottom w:val="0"/>
          <w:divBdr>
            <w:top w:val="none" w:sz="0" w:space="0" w:color="auto"/>
            <w:left w:val="none" w:sz="0" w:space="0" w:color="auto"/>
            <w:bottom w:val="none" w:sz="0" w:space="0" w:color="auto"/>
            <w:right w:val="none" w:sz="0" w:space="0" w:color="auto"/>
          </w:divBdr>
        </w:div>
      </w:divsChild>
    </w:div>
    <w:div w:id="1826504592">
      <w:bodyDiv w:val="1"/>
      <w:marLeft w:val="0"/>
      <w:marRight w:val="0"/>
      <w:marTop w:val="0"/>
      <w:marBottom w:val="0"/>
      <w:divBdr>
        <w:top w:val="none" w:sz="0" w:space="0" w:color="auto"/>
        <w:left w:val="none" w:sz="0" w:space="0" w:color="auto"/>
        <w:bottom w:val="none" w:sz="0" w:space="0" w:color="auto"/>
        <w:right w:val="none" w:sz="0" w:space="0" w:color="auto"/>
      </w:divBdr>
    </w:div>
    <w:div w:id="1826553943">
      <w:bodyDiv w:val="1"/>
      <w:marLeft w:val="0"/>
      <w:marRight w:val="0"/>
      <w:marTop w:val="0"/>
      <w:marBottom w:val="0"/>
      <w:divBdr>
        <w:top w:val="none" w:sz="0" w:space="0" w:color="auto"/>
        <w:left w:val="none" w:sz="0" w:space="0" w:color="auto"/>
        <w:bottom w:val="none" w:sz="0" w:space="0" w:color="auto"/>
        <w:right w:val="none" w:sz="0" w:space="0" w:color="auto"/>
      </w:divBdr>
    </w:div>
    <w:div w:id="1859924585">
      <w:bodyDiv w:val="1"/>
      <w:marLeft w:val="0"/>
      <w:marRight w:val="0"/>
      <w:marTop w:val="0"/>
      <w:marBottom w:val="0"/>
      <w:divBdr>
        <w:top w:val="none" w:sz="0" w:space="0" w:color="auto"/>
        <w:left w:val="none" w:sz="0" w:space="0" w:color="auto"/>
        <w:bottom w:val="none" w:sz="0" w:space="0" w:color="auto"/>
        <w:right w:val="none" w:sz="0" w:space="0" w:color="auto"/>
      </w:divBdr>
    </w:div>
    <w:div w:id="1867862925">
      <w:bodyDiv w:val="1"/>
      <w:marLeft w:val="0"/>
      <w:marRight w:val="0"/>
      <w:marTop w:val="0"/>
      <w:marBottom w:val="0"/>
      <w:divBdr>
        <w:top w:val="none" w:sz="0" w:space="0" w:color="auto"/>
        <w:left w:val="none" w:sz="0" w:space="0" w:color="auto"/>
        <w:bottom w:val="none" w:sz="0" w:space="0" w:color="auto"/>
        <w:right w:val="none" w:sz="0" w:space="0" w:color="auto"/>
      </w:divBdr>
      <w:divsChild>
        <w:div w:id="770970822">
          <w:marLeft w:val="274"/>
          <w:marRight w:val="0"/>
          <w:marTop w:val="0"/>
          <w:marBottom w:val="120"/>
          <w:divBdr>
            <w:top w:val="none" w:sz="0" w:space="0" w:color="auto"/>
            <w:left w:val="none" w:sz="0" w:space="0" w:color="auto"/>
            <w:bottom w:val="none" w:sz="0" w:space="0" w:color="auto"/>
            <w:right w:val="none" w:sz="0" w:space="0" w:color="auto"/>
          </w:divBdr>
        </w:div>
        <w:div w:id="1001157720">
          <w:marLeft w:val="274"/>
          <w:marRight w:val="0"/>
          <w:marTop w:val="0"/>
          <w:marBottom w:val="120"/>
          <w:divBdr>
            <w:top w:val="none" w:sz="0" w:space="0" w:color="auto"/>
            <w:left w:val="none" w:sz="0" w:space="0" w:color="auto"/>
            <w:bottom w:val="none" w:sz="0" w:space="0" w:color="auto"/>
            <w:right w:val="none" w:sz="0" w:space="0" w:color="auto"/>
          </w:divBdr>
        </w:div>
      </w:divsChild>
    </w:div>
    <w:div w:id="1868176291">
      <w:bodyDiv w:val="1"/>
      <w:marLeft w:val="0"/>
      <w:marRight w:val="0"/>
      <w:marTop w:val="0"/>
      <w:marBottom w:val="0"/>
      <w:divBdr>
        <w:top w:val="none" w:sz="0" w:space="0" w:color="auto"/>
        <w:left w:val="none" w:sz="0" w:space="0" w:color="auto"/>
        <w:bottom w:val="none" w:sz="0" w:space="0" w:color="auto"/>
        <w:right w:val="none" w:sz="0" w:space="0" w:color="auto"/>
      </w:divBdr>
      <w:divsChild>
        <w:div w:id="36125794">
          <w:marLeft w:val="360"/>
          <w:marRight w:val="0"/>
          <w:marTop w:val="20"/>
          <w:marBottom w:val="20"/>
          <w:divBdr>
            <w:top w:val="none" w:sz="0" w:space="0" w:color="auto"/>
            <w:left w:val="none" w:sz="0" w:space="0" w:color="auto"/>
            <w:bottom w:val="none" w:sz="0" w:space="0" w:color="auto"/>
            <w:right w:val="none" w:sz="0" w:space="0" w:color="auto"/>
          </w:divBdr>
        </w:div>
        <w:div w:id="554125473">
          <w:marLeft w:val="360"/>
          <w:marRight w:val="0"/>
          <w:marTop w:val="20"/>
          <w:marBottom w:val="20"/>
          <w:divBdr>
            <w:top w:val="none" w:sz="0" w:space="0" w:color="auto"/>
            <w:left w:val="none" w:sz="0" w:space="0" w:color="auto"/>
            <w:bottom w:val="none" w:sz="0" w:space="0" w:color="auto"/>
            <w:right w:val="none" w:sz="0" w:space="0" w:color="auto"/>
          </w:divBdr>
        </w:div>
        <w:div w:id="1100299372">
          <w:marLeft w:val="360"/>
          <w:marRight w:val="0"/>
          <w:marTop w:val="20"/>
          <w:marBottom w:val="20"/>
          <w:divBdr>
            <w:top w:val="none" w:sz="0" w:space="0" w:color="auto"/>
            <w:left w:val="none" w:sz="0" w:space="0" w:color="auto"/>
            <w:bottom w:val="none" w:sz="0" w:space="0" w:color="auto"/>
            <w:right w:val="none" w:sz="0" w:space="0" w:color="auto"/>
          </w:divBdr>
        </w:div>
        <w:div w:id="1364208730">
          <w:marLeft w:val="360"/>
          <w:marRight w:val="0"/>
          <w:marTop w:val="20"/>
          <w:marBottom w:val="20"/>
          <w:divBdr>
            <w:top w:val="none" w:sz="0" w:space="0" w:color="auto"/>
            <w:left w:val="none" w:sz="0" w:space="0" w:color="auto"/>
            <w:bottom w:val="none" w:sz="0" w:space="0" w:color="auto"/>
            <w:right w:val="none" w:sz="0" w:space="0" w:color="auto"/>
          </w:divBdr>
        </w:div>
        <w:div w:id="1456408196">
          <w:marLeft w:val="360"/>
          <w:marRight w:val="0"/>
          <w:marTop w:val="20"/>
          <w:marBottom w:val="20"/>
          <w:divBdr>
            <w:top w:val="none" w:sz="0" w:space="0" w:color="auto"/>
            <w:left w:val="none" w:sz="0" w:space="0" w:color="auto"/>
            <w:bottom w:val="none" w:sz="0" w:space="0" w:color="auto"/>
            <w:right w:val="none" w:sz="0" w:space="0" w:color="auto"/>
          </w:divBdr>
        </w:div>
      </w:divsChild>
    </w:div>
    <w:div w:id="1883595214">
      <w:bodyDiv w:val="1"/>
      <w:marLeft w:val="0"/>
      <w:marRight w:val="0"/>
      <w:marTop w:val="0"/>
      <w:marBottom w:val="0"/>
      <w:divBdr>
        <w:top w:val="none" w:sz="0" w:space="0" w:color="auto"/>
        <w:left w:val="none" w:sz="0" w:space="0" w:color="auto"/>
        <w:bottom w:val="none" w:sz="0" w:space="0" w:color="auto"/>
        <w:right w:val="none" w:sz="0" w:space="0" w:color="auto"/>
      </w:divBdr>
    </w:div>
    <w:div w:id="1885483563">
      <w:bodyDiv w:val="1"/>
      <w:marLeft w:val="0"/>
      <w:marRight w:val="0"/>
      <w:marTop w:val="0"/>
      <w:marBottom w:val="0"/>
      <w:divBdr>
        <w:top w:val="none" w:sz="0" w:space="0" w:color="auto"/>
        <w:left w:val="none" w:sz="0" w:space="0" w:color="auto"/>
        <w:bottom w:val="none" w:sz="0" w:space="0" w:color="auto"/>
        <w:right w:val="none" w:sz="0" w:space="0" w:color="auto"/>
      </w:divBdr>
    </w:div>
    <w:div w:id="1910534892">
      <w:bodyDiv w:val="1"/>
      <w:marLeft w:val="0"/>
      <w:marRight w:val="0"/>
      <w:marTop w:val="0"/>
      <w:marBottom w:val="0"/>
      <w:divBdr>
        <w:top w:val="none" w:sz="0" w:space="0" w:color="auto"/>
        <w:left w:val="none" w:sz="0" w:space="0" w:color="auto"/>
        <w:bottom w:val="none" w:sz="0" w:space="0" w:color="auto"/>
        <w:right w:val="none" w:sz="0" w:space="0" w:color="auto"/>
      </w:divBdr>
      <w:divsChild>
        <w:div w:id="294609166">
          <w:marLeft w:val="994"/>
          <w:marRight w:val="0"/>
          <w:marTop w:val="240"/>
          <w:marBottom w:val="0"/>
          <w:divBdr>
            <w:top w:val="none" w:sz="0" w:space="0" w:color="auto"/>
            <w:left w:val="none" w:sz="0" w:space="0" w:color="auto"/>
            <w:bottom w:val="none" w:sz="0" w:space="0" w:color="auto"/>
            <w:right w:val="none" w:sz="0" w:space="0" w:color="auto"/>
          </w:divBdr>
        </w:div>
        <w:div w:id="312297943">
          <w:marLeft w:val="1051"/>
          <w:marRight w:val="0"/>
          <w:marTop w:val="240"/>
          <w:marBottom w:val="0"/>
          <w:divBdr>
            <w:top w:val="none" w:sz="0" w:space="0" w:color="auto"/>
            <w:left w:val="none" w:sz="0" w:space="0" w:color="auto"/>
            <w:bottom w:val="none" w:sz="0" w:space="0" w:color="auto"/>
            <w:right w:val="none" w:sz="0" w:space="0" w:color="auto"/>
          </w:divBdr>
        </w:div>
        <w:div w:id="381445300">
          <w:marLeft w:val="1051"/>
          <w:marRight w:val="0"/>
          <w:marTop w:val="240"/>
          <w:marBottom w:val="0"/>
          <w:divBdr>
            <w:top w:val="none" w:sz="0" w:space="0" w:color="auto"/>
            <w:left w:val="none" w:sz="0" w:space="0" w:color="auto"/>
            <w:bottom w:val="none" w:sz="0" w:space="0" w:color="auto"/>
            <w:right w:val="none" w:sz="0" w:space="0" w:color="auto"/>
          </w:divBdr>
        </w:div>
        <w:div w:id="384261499">
          <w:marLeft w:val="1051"/>
          <w:marRight w:val="0"/>
          <w:marTop w:val="240"/>
          <w:marBottom w:val="0"/>
          <w:divBdr>
            <w:top w:val="none" w:sz="0" w:space="0" w:color="auto"/>
            <w:left w:val="none" w:sz="0" w:space="0" w:color="auto"/>
            <w:bottom w:val="none" w:sz="0" w:space="0" w:color="auto"/>
            <w:right w:val="none" w:sz="0" w:space="0" w:color="auto"/>
          </w:divBdr>
        </w:div>
        <w:div w:id="633215493">
          <w:marLeft w:val="1051"/>
          <w:marRight w:val="0"/>
          <w:marTop w:val="240"/>
          <w:marBottom w:val="0"/>
          <w:divBdr>
            <w:top w:val="none" w:sz="0" w:space="0" w:color="auto"/>
            <w:left w:val="none" w:sz="0" w:space="0" w:color="auto"/>
            <w:bottom w:val="none" w:sz="0" w:space="0" w:color="auto"/>
            <w:right w:val="none" w:sz="0" w:space="0" w:color="auto"/>
          </w:divBdr>
        </w:div>
        <w:div w:id="678657245">
          <w:marLeft w:val="1051"/>
          <w:marRight w:val="0"/>
          <w:marTop w:val="240"/>
          <w:marBottom w:val="0"/>
          <w:divBdr>
            <w:top w:val="none" w:sz="0" w:space="0" w:color="auto"/>
            <w:left w:val="none" w:sz="0" w:space="0" w:color="auto"/>
            <w:bottom w:val="none" w:sz="0" w:space="0" w:color="auto"/>
            <w:right w:val="none" w:sz="0" w:space="0" w:color="auto"/>
          </w:divBdr>
        </w:div>
        <w:div w:id="849181662">
          <w:marLeft w:val="1051"/>
          <w:marRight w:val="0"/>
          <w:marTop w:val="240"/>
          <w:marBottom w:val="0"/>
          <w:divBdr>
            <w:top w:val="none" w:sz="0" w:space="0" w:color="auto"/>
            <w:left w:val="none" w:sz="0" w:space="0" w:color="auto"/>
            <w:bottom w:val="none" w:sz="0" w:space="0" w:color="auto"/>
            <w:right w:val="none" w:sz="0" w:space="0" w:color="auto"/>
          </w:divBdr>
        </w:div>
        <w:div w:id="1167331725">
          <w:marLeft w:val="360"/>
          <w:marRight w:val="0"/>
          <w:marTop w:val="240"/>
          <w:marBottom w:val="0"/>
          <w:divBdr>
            <w:top w:val="none" w:sz="0" w:space="0" w:color="auto"/>
            <w:left w:val="none" w:sz="0" w:space="0" w:color="auto"/>
            <w:bottom w:val="none" w:sz="0" w:space="0" w:color="auto"/>
            <w:right w:val="none" w:sz="0" w:space="0" w:color="auto"/>
          </w:divBdr>
        </w:div>
        <w:div w:id="1208372759">
          <w:marLeft w:val="994"/>
          <w:marRight w:val="0"/>
          <w:marTop w:val="240"/>
          <w:marBottom w:val="0"/>
          <w:divBdr>
            <w:top w:val="none" w:sz="0" w:space="0" w:color="auto"/>
            <w:left w:val="none" w:sz="0" w:space="0" w:color="auto"/>
            <w:bottom w:val="none" w:sz="0" w:space="0" w:color="auto"/>
            <w:right w:val="none" w:sz="0" w:space="0" w:color="auto"/>
          </w:divBdr>
        </w:div>
      </w:divsChild>
    </w:div>
    <w:div w:id="1917202802">
      <w:bodyDiv w:val="1"/>
      <w:marLeft w:val="0"/>
      <w:marRight w:val="0"/>
      <w:marTop w:val="0"/>
      <w:marBottom w:val="0"/>
      <w:divBdr>
        <w:top w:val="none" w:sz="0" w:space="0" w:color="auto"/>
        <w:left w:val="none" w:sz="0" w:space="0" w:color="auto"/>
        <w:bottom w:val="none" w:sz="0" w:space="0" w:color="auto"/>
        <w:right w:val="none" w:sz="0" w:space="0" w:color="auto"/>
      </w:divBdr>
    </w:div>
    <w:div w:id="1923249737">
      <w:bodyDiv w:val="1"/>
      <w:marLeft w:val="0"/>
      <w:marRight w:val="0"/>
      <w:marTop w:val="0"/>
      <w:marBottom w:val="0"/>
      <w:divBdr>
        <w:top w:val="none" w:sz="0" w:space="0" w:color="auto"/>
        <w:left w:val="none" w:sz="0" w:space="0" w:color="auto"/>
        <w:bottom w:val="none" w:sz="0" w:space="0" w:color="auto"/>
        <w:right w:val="none" w:sz="0" w:space="0" w:color="auto"/>
      </w:divBdr>
    </w:div>
    <w:div w:id="1928077806">
      <w:bodyDiv w:val="1"/>
      <w:marLeft w:val="0"/>
      <w:marRight w:val="0"/>
      <w:marTop w:val="0"/>
      <w:marBottom w:val="0"/>
      <w:divBdr>
        <w:top w:val="none" w:sz="0" w:space="0" w:color="auto"/>
        <w:left w:val="none" w:sz="0" w:space="0" w:color="auto"/>
        <w:bottom w:val="none" w:sz="0" w:space="0" w:color="auto"/>
        <w:right w:val="none" w:sz="0" w:space="0" w:color="auto"/>
      </w:divBdr>
    </w:div>
    <w:div w:id="1928730372">
      <w:bodyDiv w:val="1"/>
      <w:marLeft w:val="0"/>
      <w:marRight w:val="0"/>
      <w:marTop w:val="0"/>
      <w:marBottom w:val="0"/>
      <w:divBdr>
        <w:top w:val="none" w:sz="0" w:space="0" w:color="auto"/>
        <w:left w:val="none" w:sz="0" w:space="0" w:color="auto"/>
        <w:bottom w:val="none" w:sz="0" w:space="0" w:color="auto"/>
        <w:right w:val="none" w:sz="0" w:space="0" w:color="auto"/>
      </w:divBdr>
    </w:div>
    <w:div w:id="1929578688">
      <w:bodyDiv w:val="1"/>
      <w:marLeft w:val="0"/>
      <w:marRight w:val="0"/>
      <w:marTop w:val="0"/>
      <w:marBottom w:val="0"/>
      <w:divBdr>
        <w:top w:val="none" w:sz="0" w:space="0" w:color="auto"/>
        <w:left w:val="none" w:sz="0" w:space="0" w:color="auto"/>
        <w:bottom w:val="none" w:sz="0" w:space="0" w:color="auto"/>
        <w:right w:val="none" w:sz="0" w:space="0" w:color="auto"/>
      </w:divBdr>
    </w:div>
    <w:div w:id="1944144558">
      <w:bodyDiv w:val="1"/>
      <w:marLeft w:val="0"/>
      <w:marRight w:val="0"/>
      <w:marTop w:val="0"/>
      <w:marBottom w:val="0"/>
      <w:divBdr>
        <w:top w:val="none" w:sz="0" w:space="0" w:color="auto"/>
        <w:left w:val="none" w:sz="0" w:space="0" w:color="auto"/>
        <w:bottom w:val="none" w:sz="0" w:space="0" w:color="auto"/>
        <w:right w:val="none" w:sz="0" w:space="0" w:color="auto"/>
      </w:divBdr>
    </w:div>
    <w:div w:id="1951668439">
      <w:bodyDiv w:val="1"/>
      <w:marLeft w:val="0"/>
      <w:marRight w:val="0"/>
      <w:marTop w:val="0"/>
      <w:marBottom w:val="0"/>
      <w:divBdr>
        <w:top w:val="none" w:sz="0" w:space="0" w:color="auto"/>
        <w:left w:val="none" w:sz="0" w:space="0" w:color="auto"/>
        <w:bottom w:val="none" w:sz="0" w:space="0" w:color="auto"/>
        <w:right w:val="none" w:sz="0" w:space="0" w:color="auto"/>
      </w:divBdr>
    </w:div>
    <w:div w:id="1974213466">
      <w:bodyDiv w:val="1"/>
      <w:marLeft w:val="0"/>
      <w:marRight w:val="0"/>
      <w:marTop w:val="0"/>
      <w:marBottom w:val="0"/>
      <w:divBdr>
        <w:top w:val="none" w:sz="0" w:space="0" w:color="auto"/>
        <w:left w:val="none" w:sz="0" w:space="0" w:color="auto"/>
        <w:bottom w:val="none" w:sz="0" w:space="0" w:color="auto"/>
        <w:right w:val="none" w:sz="0" w:space="0" w:color="auto"/>
      </w:divBdr>
    </w:div>
    <w:div w:id="1978140927">
      <w:bodyDiv w:val="1"/>
      <w:marLeft w:val="0"/>
      <w:marRight w:val="0"/>
      <w:marTop w:val="0"/>
      <w:marBottom w:val="0"/>
      <w:divBdr>
        <w:top w:val="none" w:sz="0" w:space="0" w:color="auto"/>
        <w:left w:val="none" w:sz="0" w:space="0" w:color="auto"/>
        <w:bottom w:val="none" w:sz="0" w:space="0" w:color="auto"/>
        <w:right w:val="none" w:sz="0" w:space="0" w:color="auto"/>
      </w:divBdr>
      <w:divsChild>
        <w:div w:id="193464474">
          <w:marLeft w:val="1051"/>
          <w:marRight w:val="0"/>
          <w:marTop w:val="240"/>
          <w:marBottom w:val="0"/>
          <w:divBdr>
            <w:top w:val="none" w:sz="0" w:space="0" w:color="auto"/>
            <w:left w:val="none" w:sz="0" w:space="0" w:color="auto"/>
            <w:bottom w:val="none" w:sz="0" w:space="0" w:color="auto"/>
            <w:right w:val="none" w:sz="0" w:space="0" w:color="auto"/>
          </w:divBdr>
        </w:div>
        <w:div w:id="803430796">
          <w:marLeft w:val="994"/>
          <w:marRight w:val="0"/>
          <w:marTop w:val="240"/>
          <w:marBottom w:val="0"/>
          <w:divBdr>
            <w:top w:val="none" w:sz="0" w:space="0" w:color="auto"/>
            <w:left w:val="none" w:sz="0" w:space="0" w:color="auto"/>
            <w:bottom w:val="none" w:sz="0" w:space="0" w:color="auto"/>
            <w:right w:val="none" w:sz="0" w:space="0" w:color="auto"/>
          </w:divBdr>
        </w:div>
        <w:div w:id="868185187">
          <w:marLeft w:val="360"/>
          <w:marRight w:val="0"/>
          <w:marTop w:val="240"/>
          <w:marBottom w:val="0"/>
          <w:divBdr>
            <w:top w:val="none" w:sz="0" w:space="0" w:color="auto"/>
            <w:left w:val="none" w:sz="0" w:space="0" w:color="auto"/>
            <w:bottom w:val="none" w:sz="0" w:space="0" w:color="auto"/>
            <w:right w:val="none" w:sz="0" w:space="0" w:color="auto"/>
          </w:divBdr>
        </w:div>
        <w:div w:id="1037857293">
          <w:marLeft w:val="1051"/>
          <w:marRight w:val="0"/>
          <w:marTop w:val="240"/>
          <w:marBottom w:val="0"/>
          <w:divBdr>
            <w:top w:val="none" w:sz="0" w:space="0" w:color="auto"/>
            <w:left w:val="none" w:sz="0" w:space="0" w:color="auto"/>
            <w:bottom w:val="none" w:sz="0" w:space="0" w:color="auto"/>
            <w:right w:val="none" w:sz="0" w:space="0" w:color="auto"/>
          </w:divBdr>
        </w:div>
        <w:div w:id="1191189212">
          <w:marLeft w:val="1051"/>
          <w:marRight w:val="0"/>
          <w:marTop w:val="240"/>
          <w:marBottom w:val="0"/>
          <w:divBdr>
            <w:top w:val="none" w:sz="0" w:space="0" w:color="auto"/>
            <w:left w:val="none" w:sz="0" w:space="0" w:color="auto"/>
            <w:bottom w:val="none" w:sz="0" w:space="0" w:color="auto"/>
            <w:right w:val="none" w:sz="0" w:space="0" w:color="auto"/>
          </w:divBdr>
        </w:div>
        <w:div w:id="1538156755">
          <w:marLeft w:val="994"/>
          <w:marRight w:val="0"/>
          <w:marTop w:val="240"/>
          <w:marBottom w:val="0"/>
          <w:divBdr>
            <w:top w:val="none" w:sz="0" w:space="0" w:color="auto"/>
            <w:left w:val="none" w:sz="0" w:space="0" w:color="auto"/>
            <w:bottom w:val="none" w:sz="0" w:space="0" w:color="auto"/>
            <w:right w:val="none" w:sz="0" w:space="0" w:color="auto"/>
          </w:divBdr>
        </w:div>
        <w:div w:id="1571574077">
          <w:marLeft w:val="994"/>
          <w:marRight w:val="0"/>
          <w:marTop w:val="240"/>
          <w:marBottom w:val="0"/>
          <w:divBdr>
            <w:top w:val="none" w:sz="0" w:space="0" w:color="auto"/>
            <w:left w:val="none" w:sz="0" w:space="0" w:color="auto"/>
            <w:bottom w:val="none" w:sz="0" w:space="0" w:color="auto"/>
            <w:right w:val="none" w:sz="0" w:space="0" w:color="auto"/>
          </w:divBdr>
        </w:div>
        <w:div w:id="1612929673">
          <w:marLeft w:val="1051"/>
          <w:marRight w:val="0"/>
          <w:marTop w:val="240"/>
          <w:marBottom w:val="0"/>
          <w:divBdr>
            <w:top w:val="none" w:sz="0" w:space="0" w:color="auto"/>
            <w:left w:val="none" w:sz="0" w:space="0" w:color="auto"/>
            <w:bottom w:val="none" w:sz="0" w:space="0" w:color="auto"/>
            <w:right w:val="none" w:sz="0" w:space="0" w:color="auto"/>
          </w:divBdr>
        </w:div>
        <w:div w:id="1640919464">
          <w:marLeft w:val="1051"/>
          <w:marRight w:val="0"/>
          <w:marTop w:val="240"/>
          <w:marBottom w:val="0"/>
          <w:divBdr>
            <w:top w:val="none" w:sz="0" w:space="0" w:color="auto"/>
            <w:left w:val="none" w:sz="0" w:space="0" w:color="auto"/>
            <w:bottom w:val="none" w:sz="0" w:space="0" w:color="auto"/>
            <w:right w:val="none" w:sz="0" w:space="0" w:color="auto"/>
          </w:divBdr>
        </w:div>
        <w:div w:id="1699233283">
          <w:marLeft w:val="1051"/>
          <w:marRight w:val="0"/>
          <w:marTop w:val="240"/>
          <w:marBottom w:val="0"/>
          <w:divBdr>
            <w:top w:val="none" w:sz="0" w:space="0" w:color="auto"/>
            <w:left w:val="none" w:sz="0" w:space="0" w:color="auto"/>
            <w:bottom w:val="none" w:sz="0" w:space="0" w:color="auto"/>
            <w:right w:val="none" w:sz="0" w:space="0" w:color="auto"/>
          </w:divBdr>
        </w:div>
        <w:div w:id="2019890033">
          <w:marLeft w:val="1051"/>
          <w:marRight w:val="0"/>
          <w:marTop w:val="240"/>
          <w:marBottom w:val="0"/>
          <w:divBdr>
            <w:top w:val="none" w:sz="0" w:space="0" w:color="auto"/>
            <w:left w:val="none" w:sz="0" w:space="0" w:color="auto"/>
            <w:bottom w:val="none" w:sz="0" w:space="0" w:color="auto"/>
            <w:right w:val="none" w:sz="0" w:space="0" w:color="auto"/>
          </w:divBdr>
        </w:div>
      </w:divsChild>
    </w:div>
    <w:div w:id="1987858548">
      <w:bodyDiv w:val="1"/>
      <w:marLeft w:val="0"/>
      <w:marRight w:val="0"/>
      <w:marTop w:val="0"/>
      <w:marBottom w:val="0"/>
      <w:divBdr>
        <w:top w:val="none" w:sz="0" w:space="0" w:color="auto"/>
        <w:left w:val="none" w:sz="0" w:space="0" w:color="auto"/>
        <w:bottom w:val="none" w:sz="0" w:space="0" w:color="auto"/>
        <w:right w:val="none" w:sz="0" w:space="0" w:color="auto"/>
      </w:divBdr>
    </w:div>
    <w:div w:id="1993489037">
      <w:bodyDiv w:val="1"/>
      <w:marLeft w:val="0"/>
      <w:marRight w:val="0"/>
      <w:marTop w:val="0"/>
      <w:marBottom w:val="0"/>
      <w:divBdr>
        <w:top w:val="none" w:sz="0" w:space="0" w:color="auto"/>
        <w:left w:val="none" w:sz="0" w:space="0" w:color="auto"/>
        <w:bottom w:val="none" w:sz="0" w:space="0" w:color="auto"/>
        <w:right w:val="none" w:sz="0" w:space="0" w:color="auto"/>
      </w:divBdr>
    </w:div>
    <w:div w:id="1996034165">
      <w:bodyDiv w:val="1"/>
      <w:marLeft w:val="0"/>
      <w:marRight w:val="0"/>
      <w:marTop w:val="0"/>
      <w:marBottom w:val="0"/>
      <w:divBdr>
        <w:top w:val="none" w:sz="0" w:space="0" w:color="auto"/>
        <w:left w:val="none" w:sz="0" w:space="0" w:color="auto"/>
        <w:bottom w:val="none" w:sz="0" w:space="0" w:color="auto"/>
        <w:right w:val="none" w:sz="0" w:space="0" w:color="auto"/>
      </w:divBdr>
      <w:divsChild>
        <w:div w:id="84814521">
          <w:marLeft w:val="274"/>
          <w:marRight w:val="0"/>
          <w:marTop w:val="0"/>
          <w:marBottom w:val="60"/>
          <w:divBdr>
            <w:top w:val="none" w:sz="0" w:space="0" w:color="auto"/>
            <w:left w:val="none" w:sz="0" w:space="0" w:color="auto"/>
            <w:bottom w:val="none" w:sz="0" w:space="0" w:color="auto"/>
            <w:right w:val="none" w:sz="0" w:space="0" w:color="auto"/>
          </w:divBdr>
        </w:div>
        <w:div w:id="233661577">
          <w:marLeft w:val="274"/>
          <w:marRight w:val="0"/>
          <w:marTop w:val="0"/>
          <w:marBottom w:val="60"/>
          <w:divBdr>
            <w:top w:val="none" w:sz="0" w:space="0" w:color="auto"/>
            <w:left w:val="none" w:sz="0" w:space="0" w:color="auto"/>
            <w:bottom w:val="none" w:sz="0" w:space="0" w:color="auto"/>
            <w:right w:val="none" w:sz="0" w:space="0" w:color="auto"/>
          </w:divBdr>
        </w:div>
        <w:div w:id="311301250">
          <w:marLeft w:val="274"/>
          <w:marRight w:val="0"/>
          <w:marTop w:val="0"/>
          <w:marBottom w:val="60"/>
          <w:divBdr>
            <w:top w:val="none" w:sz="0" w:space="0" w:color="auto"/>
            <w:left w:val="none" w:sz="0" w:space="0" w:color="auto"/>
            <w:bottom w:val="none" w:sz="0" w:space="0" w:color="auto"/>
            <w:right w:val="none" w:sz="0" w:space="0" w:color="auto"/>
          </w:divBdr>
        </w:div>
        <w:div w:id="1135372638">
          <w:marLeft w:val="274"/>
          <w:marRight w:val="0"/>
          <w:marTop w:val="0"/>
          <w:marBottom w:val="60"/>
          <w:divBdr>
            <w:top w:val="none" w:sz="0" w:space="0" w:color="auto"/>
            <w:left w:val="none" w:sz="0" w:space="0" w:color="auto"/>
            <w:bottom w:val="none" w:sz="0" w:space="0" w:color="auto"/>
            <w:right w:val="none" w:sz="0" w:space="0" w:color="auto"/>
          </w:divBdr>
        </w:div>
        <w:div w:id="1361206643">
          <w:marLeft w:val="274"/>
          <w:marRight w:val="0"/>
          <w:marTop w:val="0"/>
          <w:marBottom w:val="60"/>
          <w:divBdr>
            <w:top w:val="none" w:sz="0" w:space="0" w:color="auto"/>
            <w:left w:val="none" w:sz="0" w:space="0" w:color="auto"/>
            <w:bottom w:val="none" w:sz="0" w:space="0" w:color="auto"/>
            <w:right w:val="none" w:sz="0" w:space="0" w:color="auto"/>
          </w:divBdr>
        </w:div>
        <w:div w:id="1561289878">
          <w:marLeft w:val="274"/>
          <w:marRight w:val="0"/>
          <w:marTop w:val="0"/>
          <w:marBottom w:val="60"/>
          <w:divBdr>
            <w:top w:val="none" w:sz="0" w:space="0" w:color="auto"/>
            <w:left w:val="none" w:sz="0" w:space="0" w:color="auto"/>
            <w:bottom w:val="none" w:sz="0" w:space="0" w:color="auto"/>
            <w:right w:val="none" w:sz="0" w:space="0" w:color="auto"/>
          </w:divBdr>
        </w:div>
        <w:div w:id="1609504461">
          <w:marLeft w:val="274"/>
          <w:marRight w:val="0"/>
          <w:marTop w:val="0"/>
          <w:marBottom w:val="60"/>
          <w:divBdr>
            <w:top w:val="none" w:sz="0" w:space="0" w:color="auto"/>
            <w:left w:val="none" w:sz="0" w:space="0" w:color="auto"/>
            <w:bottom w:val="none" w:sz="0" w:space="0" w:color="auto"/>
            <w:right w:val="none" w:sz="0" w:space="0" w:color="auto"/>
          </w:divBdr>
        </w:div>
        <w:div w:id="1775056165">
          <w:marLeft w:val="274"/>
          <w:marRight w:val="0"/>
          <w:marTop w:val="0"/>
          <w:marBottom w:val="60"/>
          <w:divBdr>
            <w:top w:val="none" w:sz="0" w:space="0" w:color="auto"/>
            <w:left w:val="none" w:sz="0" w:space="0" w:color="auto"/>
            <w:bottom w:val="none" w:sz="0" w:space="0" w:color="auto"/>
            <w:right w:val="none" w:sz="0" w:space="0" w:color="auto"/>
          </w:divBdr>
        </w:div>
        <w:div w:id="2130853926">
          <w:marLeft w:val="274"/>
          <w:marRight w:val="0"/>
          <w:marTop w:val="0"/>
          <w:marBottom w:val="60"/>
          <w:divBdr>
            <w:top w:val="none" w:sz="0" w:space="0" w:color="auto"/>
            <w:left w:val="none" w:sz="0" w:space="0" w:color="auto"/>
            <w:bottom w:val="none" w:sz="0" w:space="0" w:color="auto"/>
            <w:right w:val="none" w:sz="0" w:space="0" w:color="auto"/>
          </w:divBdr>
        </w:div>
      </w:divsChild>
    </w:div>
    <w:div w:id="1999335113">
      <w:bodyDiv w:val="1"/>
      <w:marLeft w:val="0"/>
      <w:marRight w:val="0"/>
      <w:marTop w:val="0"/>
      <w:marBottom w:val="0"/>
      <w:divBdr>
        <w:top w:val="none" w:sz="0" w:space="0" w:color="auto"/>
        <w:left w:val="none" w:sz="0" w:space="0" w:color="auto"/>
        <w:bottom w:val="none" w:sz="0" w:space="0" w:color="auto"/>
        <w:right w:val="none" w:sz="0" w:space="0" w:color="auto"/>
      </w:divBdr>
      <w:divsChild>
        <w:div w:id="306519544">
          <w:marLeft w:val="274"/>
          <w:marRight w:val="0"/>
          <w:marTop w:val="0"/>
          <w:marBottom w:val="0"/>
          <w:divBdr>
            <w:top w:val="none" w:sz="0" w:space="0" w:color="auto"/>
            <w:left w:val="none" w:sz="0" w:space="0" w:color="auto"/>
            <w:bottom w:val="none" w:sz="0" w:space="0" w:color="auto"/>
            <w:right w:val="none" w:sz="0" w:space="0" w:color="auto"/>
          </w:divBdr>
        </w:div>
        <w:div w:id="324206812">
          <w:marLeft w:val="274"/>
          <w:marRight w:val="0"/>
          <w:marTop w:val="0"/>
          <w:marBottom w:val="0"/>
          <w:divBdr>
            <w:top w:val="none" w:sz="0" w:space="0" w:color="auto"/>
            <w:left w:val="none" w:sz="0" w:space="0" w:color="auto"/>
            <w:bottom w:val="none" w:sz="0" w:space="0" w:color="auto"/>
            <w:right w:val="none" w:sz="0" w:space="0" w:color="auto"/>
          </w:divBdr>
        </w:div>
        <w:div w:id="918946485">
          <w:marLeft w:val="274"/>
          <w:marRight w:val="0"/>
          <w:marTop w:val="0"/>
          <w:marBottom w:val="0"/>
          <w:divBdr>
            <w:top w:val="none" w:sz="0" w:space="0" w:color="auto"/>
            <w:left w:val="none" w:sz="0" w:space="0" w:color="auto"/>
            <w:bottom w:val="none" w:sz="0" w:space="0" w:color="auto"/>
            <w:right w:val="none" w:sz="0" w:space="0" w:color="auto"/>
          </w:divBdr>
        </w:div>
        <w:div w:id="1914659643">
          <w:marLeft w:val="274"/>
          <w:marRight w:val="0"/>
          <w:marTop w:val="0"/>
          <w:marBottom w:val="0"/>
          <w:divBdr>
            <w:top w:val="none" w:sz="0" w:space="0" w:color="auto"/>
            <w:left w:val="none" w:sz="0" w:space="0" w:color="auto"/>
            <w:bottom w:val="none" w:sz="0" w:space="0" w:color="auto"/>
            <w:right w:val="none" w:sz="0" w:space="0" w:color="auto"/>
          </w:divBdr>
        </w:div>
      </w:divsChild>
    </w:div>
    <w:div w:id="2000694785">
      <w:bodyDiv w:val="1"/>
      <w:marLeft w:val="0"/>
      <w:marRight w:val="0"/>
      <w:marTop w:val="0"/>
      <w:marBottom w:val="0"/>
      <w:divBdr>
        <w:top w:val="none" w:sz="0" w:space="0" w:color="auto"/>
        <w:left w:val="none" w:sz="0" w:space="0" w:color="auto"/>
        <w:bottom w:val="none" w:sz="0" w:space="0" w:color="auto"/>
        <w:right w:val="none" w:sz="0" w:space="0" w:color="auto"/>
      </w:divBdr>
    </w:div>
    <w:div w:id="2006086514">
      <w:bodyDiv w:val="1"/>
      <w:marLeft w:val="0"/>
      <w:marRight w:val="0"/>
      <w:marTop w:val="0"/>
      <w:marBottom w:val="0"/>
      <w:divBdr>
        <w:top w:val="none" w:sz="0" w:space="0" w:color="auto"/>
        <w:left w:val="none" w:sz="0" w:space="0" w:color="auto"/>
        <w:bottom w:val="none" w:sz="0" w:space="0" w:color="auto"/>
        <w:right w:val="none" w:sz="0" w:space="0" w:color="auto"/>
      </w:divBdr>
    </w:div>
    <w:div w:id="2031297699">
      <w:bodyDiv w:val="1"/>
      <w:marLeft w:val="0"/>
      <w:marRight w:val="0"/>
      <w:marTop w:val="0"/>
      <w:marBottom w:val="0"/>
      <w:divBdr>
        <w:top w:val="none" w:sz="0" w:space="0" w:color="auto"/>
        <w:left w:val="none" w:sz="0" w:space="0" w:color="auto"/>
        <w:bottom w:val="none" w:sz="0" w:space="0" w:color="auto"/>
        <w:right w:val="none" w:sz="0" w:space="0" w:color="auto"/>
      </w:divBdr>
    </w:div>
    <w:div w:id="2043046001">
      <w:bodyDiv w:val="1"/>
      <w:marLeft w:val="0"/>
      <w:marRight w:val="0"/>
      <w:marTop w:val="0"/>
      <w:marBottom w:val="0"/>
      <w:divBdr>
        <w:top w:val="none" w:sz="0" w:space="0" w:color="auto"/>
        <w:left w:val="none" w:sz="0" w:space="0" w:color="auto"/>
        <w:bottom w:val="none" w:sz="0" w:space="0" w:color="auto"/>
        <w:right w:val="none" w:sz="0" w:space="0" w:color="auto"/>
      </w:divBdr>
    </w:div>
    <w:div w:id="2063752445">
      <w:bodyDiv w:val="1"/>
      <w:marLeft w:val="0"/>
      <w:marRight w:val="0"/>
      <w:marTop w:val="0"/>
      <w:marBottom w:val="0"/>
      <w:divBdr>
        <w:top w:val="none" w:sz="0" w:space="0" w:color="auto"/>
        <w:left w:val="none" w:sz="0" w:space="0" w:color="auto"/>
        <w:bottom w:val="none" w:sz="0" w:space="0" w:color="auto"/>
        <w:right w:val="none" w:sz="0" w:space="0" w:color="auto"/>
      </w:divBdr>
      <w:divsChild>
        <w:div w:id="1650934528">
          <w:marLeft w:val="547"/>
          <w:marRight w:val="0"/>
          <w:marTop w:val="0"/>
          <w:marBottom w:val="0"/>
          <w:divBdr>
            <w:top w:val="none" w:sz="0" w:space="0" w:color="auto"/>
            <w:left w:val="none" w:sz="0" w:space="0" w:color="auto"/>
            <w:bottom w:val="none" w:sz="0" w:space="0" w:color="auto"/>
            <w:right w:val="none" w:sz="0" w:space="0" w:color="auto"/>
          </w:divBdr>
        </w:div>
      </w:divsChild>
    </w:div>
    <w:div w:id="2064450552">
      <w:bodyDiv w:val="1"/>
      <w:marLeft w:val="0"/>
      <w:marRight w:val="0"/>
      <w:marTop w:val="0"/>
      <w:marBottom w:val="0"/>
      <w:divBdr>
        <w:top w:val="none" w:sz="0" w:space="0" w:color="auto"/>
        <w:left w:val="none" w:sz="0" w:space="0" w:color="auto"/>
        <w:bottom w:val="none" w:sz="0" w:space="0" w:color="auto"/>
        <w:right w:val="none" w:sz="0" w:space="0" w:color="auto"/>
      </w:divBdr>
    </w:div>
    <w:div w:id="2090732566">
      <w:bodyDiv w:val="1"/>
      <w:marLeft w:val="0"/>
      <w:marRight w:val="0"/>
      <w:marTop w:val="0"/>
      <w:marBottom w:val="0"/>
      <w:divBdr>
        <w:top w:val="none" w:sz="0" w:space="0" w:color="auto"/>
        <w:left w:val="none" w:sz="0" w:space="0" w:color="auto"/>
        <w:bottom w:val="none" w:sz="0" w:space="0" w:color="auto"/>
        <w:right w:val="none" w:sz="0" w:space="0" w:color="auto"/>
      </w:divBdr>
    </w:div>
    <w:div w:id="2093891093">
      <w:bodyDiv w:val="1"/>
      <w:marLeft w:val="0"/>
      <w:marRight w:val="0"/>
      <w:marTop w:val="0"/>
      <w:marBottom w:val="0"/>
      <w:divBdr>
        <w:top w:val="none" w:sz="0" w:space="0" w:color="auto"/>
        <w:left w:val="none" w:sz="0" w:space="0" w:color="auto"/>
        <w:bottom w:val="none" w:sz="0" w:space="0" w:color="auto"/>
        <w:right w:val="none" w:sz="0" w:space="0" w:color="auto"/>
      </w:divBdr>
    </w:div>
    <w:div w:id="2101947653">
      <w:bodyDiv w:val="1"/>
      <w:marLeft w:val="0"/>
      <w:marRight w:val="0"/>
      <w:marTop w:val="0"/>
      <w:marBottom w:val="0"/>
      <w:divBdr>
        <w:top w:val="none" w:sz="0" w:space="0" w:color="auto"/>
        <w:left w:val="none" w:sz="0" w:space="0" w:color="auto"/>
        <w:bottom w:val="none" w:sz="0" w:space="0" w:color="auto"/>
        <w:right w:val="none" w:sz="0" w:space="0" w:color="auto"/>
      </w:divBdr>
    </w:div>
    <w:div w:id="2120056083">
      <w:bodyDiv w:val="1"/>
      <w:marLeft w:val="0"/>
      <w:marRight w:val="0"/>
      <w:marTop w:val="0"/>
      <w:marBottom w:val="0"/>
      <w:divBdr>
        <w:top w:val="none" w:sz="0" w:space="0" w:color="auto"/>
        <w:left w:val="none" w:sz="0" w:space="0" w:color="auto"/>
        <w:bottom w:val="none" w:sz="0" w:space="0" w:color="auto"/>
        <w:right w:val="none" w:sz="0" w:space="0" w:color="auto"/>
      </w:divBdr>
    </w:div>
    <w:div w:id="2120447290">
      <w:bodyDiv w:val="1"/>
      <w:marLeft w:val="0"/>
      <w:marRight w:val="0"/>
      <w:marTop w:val="0"/>
      <w:marBottom w:val="0"/>
      <w:divBdr>
        <w:top w:val="none" w:sz="0" w:space="0" w:color="auto"/>
        <w:left w:val="none" w:sz="0" w:space="0" w:color="auto"/>
        <w:bottom w:val="none" w:sz="0" w:space="0" w:color="auto"/>
        <w:right w:val="none" w:sz="0" w:space="0" w:color="auto"/>
      </w:divBdr>
    </w:div>
    <w:div w:id="2122451400">
      <w:bodyDiv w:val="1"/>
      <w:marLeft w:val="0"/>
      <w:marRight w:val="0"/>
      <w:marTop w:val="0"/>
      <w:marBottom w:val="0"/>
      <w:divBdr>
        <w:top w:val="none" w:sz="0" w:space="0" w:color="auto"/>
        <w:left w:val="none" w:sz="0" w:space="0" w:color="auto"/>
        <w:bottom w:val="none" w:sz="0" w:space="0" w:color="auto"/>
        <w:right w:val="none" w:sz="0" w:space="0" w:color="auto"/>
      </w:divBdr>
    </w:div>
    <w:div w:id="2134207820">
      <w:bodyDiv w:val="1"/>
      <w:marLeft w:val="0"/>
      <w:marRight w:val="0"/>
      <w:marTop w:val="0"/>
      <w:marBottom w:val="0"/>
      <w:divBdr>
        <w:top w:val="none" w:sz="0" w:space="0" w:color="auto"/>
        <w:left w:val="none" w:sz="0" w:space="0" w:color="auto"/>
        <w:bottom w:val="none" w:sz="0" w:space="0" w:color="auto"/>
        <w:right w:val="none" w:sz="0" w:space="0" w:color="auto"/>
      </w:divBdr>
    </w:div>
    <w:div w:id="2140952026">
      <w:bodyDiv w:val="1"/>
      <w:marLeft w:val="0"/>
      <w:marRight w:val="0"/>
      <w:marTop w:val="0"/>
      <w:marBottom w:val="0"/>
      <w:divBdr>
        <w:top w:val="none" w:sz="0" w:space="0" w:color="auto"/>
        <w:left w:val="none" w:sz="0" w:space="0" w:color="auto"/>
        <w:bottom w:val="none" w:sz="0" w:space="0" w:color="auto"/>
        <w:right w:val="none" w:sz="0" w:space="0" w:color="auto"/>
      </w:divBdr>
      <w:divsChild>
        <w:div w:id="378819907">
          <w:marLeft w:val="274"/>
          <w:marRight w:val="0"/>
          <w:marTop w:val="0"/>
          <w:marBottom w:val="109"/>
          <w:divBdr>
            <w:top w:val="none" w:sz="0" w:space="0" w:color="auto"/>
            <w:left w:val="none" w:sz="0" w:space="0" w:color="auto"/>
            <w:bottom w:val="none" w:sz="0" w:space="0" w:color="auto"/>
            <w:right w:val="none" w:sz="0" w:space="0" w:color="auto"/>
          </w:divBdr>
        </w:div>
        <w:div w:id="784735887">
          <w:marLeft w:val="274"/>
          <w:marRight w:val="0"/>
          <w:marTop w:val="0"/>
          <w:marBottom w:val="109"/>
          <w:divBdr>
            <w:top w:val="none" w:sz="0" w:space="0" w:color="auto"/>
            <w:left w:val="none" w:sz="0" w:space="0" w:color="auto"/>
            <w:bottom w:val="none" w:sz="0" w:space="0" w:color="auto"/>
            <w:right w:val="none" w:sz="0" w:space="0" w:color="auto"/>
          </w:divBdr>
        </w:div>
        <w:div w:id="1665014521">
          <w:marLeft w:val="274"/>
          <w:marRight w:val="0"/>
          <w:marTop w:val="0"/>
          <w:marBottom w:val="109"/>
          <w:divBdr>
            <w:top w:val="none" w:sz="0" w:space="0" w:color="auto"/>
            <w:left w:val="none" w:sz="0" w:space="0" w:color="auto"/>
            <w:bottom w:val="none" w:sz="0" w:space="0" w:color="auto"/>
            <w:right w:val="none" w:sz="0" w:space="0" w:color="auto"/>
          </w:divBdr>
        </w:div>
      </w:divsChild>
    </w:div>
  </w:divs>
  <w:optimizeForBrowser/>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4.xml"/><Relationship Id="rId42" Type="http://schemas.openxmlformats.org/officeDocument/2006/relationships/chart" Target="charts/chart7.xml"/><Relationship Id="rId47" Type="http://schemas.openxmlformats.org/officeDocument/2006/relationships/chart" Target="charts/chart11.xml"/><Relationship Id="rId63" Type="http://schemas.openxmlformats.org/officeDocument/2006/relationships/header" Target="header10.xml"/><Relationship Id="rId68" Type="http://schemas.openxmlformats.org/officeDocument/2006/relationships/hyperlink" Target="https://www.health.gov.au/resources/publications/modified-monash-model-fact-sheet?language=en"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0.svg"/><Relationship Id="rId37" Type="http://schemas.openxmlformats.org/officeDocument/2006/relationships/chart" Target="charts/chart4.xml"/><Relationship Id="rId40" Type="http://schemas.openxmlformats.org/officeDocument/2006/relationships/image" Target="media/image15.svg"/><Relationship Id="rId45" Type="http://schemas.openxmlformats.org/officeDocument/2006/relationships/image" Target="media/image16.png"/><Relationship Id="rId53" Type="http://schemas.openxmlformats.org/officeDocument/2006/relationships/chart" Target="charts/chart17.xml"/><Relationship Id="rId58" Type="http://schemas.openxmlformats.org/officeDocument/2006/relationships/chart" Target="charts/chart22.xml"/><Relationship Id="rId66" Type="http://schemas.openxmlformats.org/officeDocument/2006/relationships/image" Target="media/image17.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hart" Target="charts/chart25.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chart" Target="charts/chart2.xml"/><Relationship Id="rId35" Type="http://schemas.openxmlformats.org/officeDocument/2006/relationships/image" Target="media/image13.svg"/><Relationship Id="rId43" Type="http://schemas.openxmlformats.org/officeDocument/2006/relationships/chart" Target="charts/chart8.xml"/><Relationship Id="rId48" Type="http://schemas.openxmlformats.org/officeDocument/2006/relationships/chart" Target="charts/chart12.xml"/><Relationship Id="rId56" Type="http://schemas.openxmlformats.org/officeDocument/2006/relationships/chart" Target="charts/chart20.xml"/><Relationship Id="rId64" Type="http://schemas.openxmlformats.org/officeDocument/2006/relationships/header" Target="header11.xml"/><Relationship Id="rId69" Type="http://schemas.openxmlformats.org/officeDocument/2006/relationships/hyperlink" Target="https://www.health.gov.au/resources/publications/modified-monash-model-fact-sheet?language=en" TargetMode="External"/><Relationship Id="rId8" Type="http://schemas.openxmlformats.org/officeDocument/2006/relationships/webSettings" Target="webSettings.xml"/><Relationship Id="rId51" Type="http://schemas.openxmlformats.org/officeDocument/2006/relationships/chart" Target="charts/chart15.xml"/><Relationship Id="rId72"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chart" Target="charts/chart5.xml"/><Relationship Id="rId46" Type="http://schemas.openxmlformats.org/officeDocument/2006/relationships/chart" Target="charts/chart10.xml"/><Relationship Id="rId59" Type="http://schemas.openxmlformats.org/officeDocument/2006/relationships/chart" Target="charts/chart23.xml"/><Relationship Id="rId67" Type="http://schemas.openxmlformats.org/officeDocument/2006/relationships/header" Target="header13.xml"/><Relationship Id="rId20" Type="http://schemas.openxmlformats.org/officeDocument/2006/relationships/header" Target="header7.xml"/><Relationship Id="rId41" Type="http://schemas.openxmlformats.org/officeDocument/2006/relationships/chart" Target="charts/chart6.xml"/><Relationship Id="rId54" Type="http://schemas.openxmlformats.org/officeDocument/2006/relationships/chart" Target="charts/chart18.xml"/><Relationship Id="rId62" Type="http://schemas.openxmlformats.org/officeDocument/2006/relationships/chart" Target="charts/chart26.xml"/><Relationship Id="rId70" Type="http://schemas.openxmlformats.org/officeDocument/2006/relationships/hyperlink" Target="https://www.health.gov.au/resources/publications/modified-monash-model-fact-sheet?language=en"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8.svg"/><Relationship Id="rId36" Type="http://schemas.openxmlformats.org/officeDocument/2006/relationships/chart" Target="charts/chart3.xml"/><Relationship Id="rId49" Type="http://schemas.openxmlformats.org/officeDocument/2006/relationships/chart" Target="charts/chart13.xml"/><Relationship Id="rId57" Type="http://schemas.openxmlformats.org/officeDocument/2006/relationships/chart" Target="charts/chart21.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chart" Target="charts/chart9.xml"/><Relationship Id="rId52" Type="http://schemas.openxmlformats.org/officeDocument/2006/relationships/chart" Target="charts/chart16.xml"/><Relationship Id="rId60" Type="http://schemas.openxmlformats.org/officeDocument/2006/relationships/chart" Target="charts/chart24.xml"/><Relationship Id="rId65" Type="http://schemas.openxmlformats.org/officeDocument/2006/relationships/header" Target="header12.xml"/><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4.png"/><Relationship Id="rId34" Type="http://schemas.openxmlformats.org/officeDocument/2006/relationships/image" Target="media/image12.svg"/><Relationship Id="rId50" Type="http://schemas.openxmlformats.org/officeDocument/2006/relationships/chart" Target="charts/chart14.xml"/><Relationship Id="rId55" Type="http://schemas.openxmlformats.org/officeDocument/2006/relationships/chart" Target="charts/chart19.xml"/><Relationship Id="rId7" Type="http://schemas.openxmlformats.org/officeDocument/2006/relationships/settings" Target="settings.xml"/><Relationship Id="rId71" Type="http://schemas.openxmlformats.org/officeDocument/2006/relationships/hyperlink" Target="https://www.health.gov.au/resources/publications/modified-monash-model-fact-sheet?language=en"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www.facebook.com/KPMGAustralia" TargetMode="External"/><Relationship Id="rId2" Type="http://schemas.openxmlformats.org/officeDocument/2006/relationships/hyperlink" Target="https://www.linkedin.com/company/kpmg-australia/" TargetMode="External"/><Relationship Id="rId1" Type="http://schemas.openxmlformats.org/officeDocument/2006/relationships/hyperlink" Target="https://twitter.com/kpmgaustralia" TargetMode="External"/><Relationship Id="rId5" Type="http://schemas.openxmlformats.org/officeDocument/2006/relationships/hyperlink" Target="https://www.instagram.com/kpmgaustralia" TargetMode="External"/><Relationship Id="rId4" Type="http://schemas.openxmlformats.org/officeDocument/2006/relationships/hyperlink" Target="https://www.youtube.com/user/kpmgaustrali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ub.iaea.org/MTCD/Publications/PDF/TCS-71web.pdf" TargetMode="External"/><Relationship Id="rId13" Type="http://schemas.openxmlformats.org/officeDocument/2006/relationships/hyperlink" Target="https://www.health.nsw.gov.au/workforce/alliedhealth/Factsheets/rps-career.pdf" TargetMode="External"/><Relationship Id="rId18" Type="http://schemas.openxmlformats.org/officeDocument/2006/relationships/hyperlink" Target="https://afomp.org/2024/02/25/medical-physics-education-time-to-transform-to-produce-clinically-competent-medical-physicists-to-take-on-the-challenging-profession/" TargetMode="External"/><Relationship Id="rId26" Type="http://schemas.openxmlformats.org/officeDocument/2006/relationships/hyperlink" Target="https://www-pub.iaea.org/mtcd/publications/pdf/tcs-50_web.pdf" TargetMode="External"/><Relationship Id="rId3" Type="http://schemas.openxmlformats.org/officeDocument/2006/relationships/hyperlink" Target="https://www.acpsem.org.au/Our-Professions/Certification-and-Training-Programs" TargetMode="External"/><Relationship Id="rId21" Type="http://schemas.openxmlformats.org/officeDocument/2006/relationships/hyperlink" Target="https://www.health.gov.au/resources/publications/national-medical-workforce-strategy-2021-2031" TargetMode="External"/><Relationship Id="rId7" Type="http://schemas.openxmlformats.org/officeDocument/2006/relationships/hyperlink" Target="https://www.legislation.govt.nz/act/public/2003/0048/latest/DLM203312.html" TargetMode="External"/><Relationship Id="rId12" Type="http://schemas.openxmlformats.org/officeDocument/2006/relationships/hyperlink" Target="https://www.ansto.gov.au/news/safeguarding-australias-healthcare-sector-a-new-nuclear-medicine-facility" TargetMode="External"/><Relationship Id="rId17" Type="http://schemas.openxmlformats.org/officeDocument/2006/relationships/hyperlink" Target="https://www-pub.iaea.org/mtcd/publications/pdf/tcs-50_web.pdf" TargetMode="External"/><Relationship Id="rId25" Type="http://schemas.openxmlformats.org/officeDocument/2006/relationships/hyperlink" Target="https://www.iaea.org/publications/10437/roles-and-responsibilities-and-education-and-training-requirements-for-clinically-qualified-medical-physicists" TargetMode="External"/><Relationship Id="rId2" Type="http://schemas.openxmlformats.org/officeDocument/2006/relationships/hyperlink" Target="https://www.iaea.org/publications/10437/roles-and-responsibilities-and-education-and-training-requirements-for-clinically-qualified-medical-physicists" TargetMode="External"/><Relationship Id="rId16" Type="http://schemas.openxmlformats.org/officeDocument/2006/relationships/hyperlink" Target="https://afomp.org/2024/02/25/medical-physics-education-time-to-transform-to-produce-clinically-competent-medical-physicists-to-take-on-the-challenging-profession/" TargetMode="External"/><Relationship Id="rId20" Type="http://schemas.openxmlformats.org/officeDocument/2006/relationships/hyperlink" Target="https://www-pub.iaea.org/mtcd/publications/pdf/tcs-50_web.pdf" TargetMode="External"/><Relationship Id="rId29" Type="http://schemas.openxmlformats.org/officeDocument/2006/relationships/hyperlink" Target="https://www.ipem.ac.uk/your-career/what-do-our-members-do/medical-physics/" TargetMode="External"/><Relationship Id="rId1" Type="http://schemas.openxmlformats.org/officeDocument/2006/relationships/hyperlink" Target="https://www.acpsem.org.au/as_agentcs.p?cmd=Document_AnywhereDoc(C0000020,00004312,8621f6359f4043e187e43d7b5cc6920c1bac238d)&amp;TenID=ACPSEM" TargetMode="External"/><Relationship Id="rId6" Type="http://schemas.openxmlformats.org/officeDocument/2006/relationships/hyperlink" Target="https://www.health.gov.au/our-work/national-registration-and-accreditation-scheme" TargetMode="External"/><Relationship Id="rId11" Type="http://schemas.openxmlformats.org/officeDocument/2006/relationships/hyperlink" Target="https://www.cancersa.org.au/research/cancer-statistics/" TargetMode="External"/><Relationship Id="rId24" Type="http://schemas.openxmlformats.org/officeDocument/2006/relationships/hyperlink" Target="https://www.ipem.ac.uk/resources/other-resources/statements-and-notices/ipem-statement-on-the-medical-physics-and-clinical-engineering-workforce/" TargetMode="External"/><Relationship Id="rId5" Type="http://schemas.openxmlformats.org/officeDocument/2006/relationships/hyperlink" Target="https://www.acpsem.org.au/Our-Professions/Certification-and-Training-Programs/RPS" TargetMode="External"/><Relationship Id="rId15" Type="http://schemas.openxmlformats.org/officeDocument/2006/relationships/hyperlink" Target="https://www.ipem.ac.uk/resources/other-resources/statements-and-notices/ipem-statement-on-the-medical-physics-and-clinical-engineering-workforce/" TargetMode="External"/><Relationship Id="rId23" Type="http://schemas.openxmlformats.org/officeDocument/2006/relationships/hyperlink" Target="https://content.health.vic.gov.au/sites/default/files/2024-02/victorian-health-workforce-strategy.pdf" TargetMode="External"/><Relationship Id="rId28" Type="http://schemas.openxmlformats.org/officeDocument/2006/relationships/hyperlink" Target="https://www-pub.iaea.org/MTCD/Publications/PDF/TCS-71web.pdf" TargetMode="External"/><Relationship Id="rId10" Type="http://schemas.openxmlformats.org/officeDocument/2006/relationships/hyperlink" Target="https://www.aihw.gov.au/reports/older-people/older-australians/contents/demographic-profile" TargetMode="External"/><Relationship Id="rId19" Type="http://schemas.openxmlformats.org/officeDocument/2006/relationships/hyperlink" Target="https://www.iomp.org/wp-content/uploads/2019/02/iomp_policy_statement_no_1.pdf" TargetMode="External"/><Relationship Id="rId4" Type="http://schemas.openxmlformats.org/officeDocument/2006/relationships/hyperlink" Target="https://www.acpsem.org.au/Our-Professions/Certification-and-Training-Programs/DIMP" TargetMode="External"/><Relationship Id="rId9" Type="http://schemas.openxmlformats.org/officeDocument/2006/relationships/hyperlink" Target="https://www.iaea.org/publications/10437/roles-and-responsibilities-and-education-and-training-requirements-for-clinically-qualified-medical-physicists" TargetMode="External"/><Relationship Id="rId14" Type="http://schemas.openxmlformats.org/officeDocument/2006/relationships/hyperlink" Target="https://www.ipem.ac.uk/resources/other-resources/statements-and-notices/ipem-statement-on-the-medical-physics-and-clinical-engineering-workforce/" TargetMode="External"/><Relationship Id="rId22" Type="http://schemas.openxmlformats.org/officeDocument/2006/relationships/hyperlink" Target="https://www.sahealth.sa.gov.au/wps/wcm/connect/public+content/sa+health+internet/about+us/our+local+health+networks/regional+health+services/rural+health+workforce/rural+allied+and+scientific+health+workforce+plan" TargetMode="External"/><Relationship Id="rId27" Type="http://schemas.openxmlformats.org/officeDocument/2006/relationships/hyperlink" Target="https://afomp.org/2024/02/25/medical-physics-education-time-to-transform-to-produce-clinically-competent-medical-physicists-to-take-on-the-challenging-profession/" TargetMode="External"/><Relationship Id="rId30" Type="http://schemas.openxmlformats.org/officeDocument/2006/relationships/hyperlink" Target="https://www.iomp.org/wp-content/uploads/2019/02/iomp_policy_statement_no_1.pdf" TargetMode="External"/></Relationships>
</file>

<file path=word/_rels/header14.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hamedarife\AppData\Local\Microsoft\Windows\INetCache\Content.Outlook\HFJM3H2A\proposal-template-portrai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kpmgaust.sharepoint.com/sites/AU-MPSPEvaluation/Shared%20Documents/General/3.%20Stakeholder%20engagement/Surveys/Results/Supervisor%20survey%20results%20analysi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kpmgaust-my.sharepoint.com/personal/kfleming2_kpmg_com_au/Documents/Documents/0%20-%20Engagements/MPSP/All%20TEAP%20registrars%202018%20to%202023%20V30102024%20(version%201).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https://kpmgaust.sharepoint.com/sites/AU-MPSPEvaluation/Shared%20Documents/General/5.%20Work%20papers/MPSP%20Financial%20Analysis.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https://kpmgaust.sharepoint.com/sites/AU-MPSPEvaluation/Shared%20Documents/General/5.%20Work%20papers/MPSP%20Financial%20Analysis.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https://kpmgaust-my.sharepoint.com/personal/kfleming2_kpmg_com_au/Documents/Documents/0%20-%20Engagements/MPSP/All%20TEAP%20registrars%202018%20to%202023%20V30102024%20(version%201).xlsx"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https://kpmgaust-my.sharepoint.com/personal/kfleming2_kpmg_com_au/Documents/Documents/0%20-%20Engagements/MPSP/TEAP%20registrars%202018%20to%202023%20Data%20anlysis.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https://kpmgaust-my.sharepoint.com/personal/kfleming2_kpmg_com_au/Documents/Documents/0%20-%20Engagements/MPSP/TEAP%20registrars%202018%20to%202023%20Data%20anlysis.xlsx"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1" Type="http://schemas.openxmlformats.org/officeDocument/2006/relationships/oleObject" Target="https://kpmgaust.sharepoint.com/sites/AU-MPSPEvaluation/Shared%20Documents/General/5.%20Work%20papers/Compiled%20data.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https://kpmgaust-my.sharepoint.com/personal/kfleming2_kpmg_com_au/Documents/Documents/0%20-%20Engagements/MPSP/TEAP%20registrars%202018%20to%202023%20Data%20anlysis.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fleming2\AppData\Roaming\Microsoft\Excel\MPSP%20Grant%20Applications%20ALL%202018%20to%202023%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fleming2\AppData\Roaming\Microsoft\Excel\MPSP%20Grant%20Applications%20ALL%202018%20to%202023%20(version%201).xlsb"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1" Type="http://schemas.openxmlformats.org/officeDocument/2006/relationships/oleObject" Target="https://kpmgaust.sharepoint.com/sites/AU-MPSPEvaluation/Shared%20Documents/General/3.%20Stakeholder%20engagement/Surveys/Results/Trainee%20survey%20results%20analys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kpmgaust.sharepoint.com/sites/AU-MPSPEvaluation/Shared%20Documents/General/5.%20Work%20papers/Compiled%20da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kpmgaust.sharepoint.com/sites/AU-MPSPEvaluation/Shared%20Documents/General/5.%20Work%20papers/Compiled%20data.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https://kpmgaust.sharepoint.com/sites/AU-MPSPEvaluation/Shared%20Documents/General/5.%20Work%20papers/Compiled%20data.xlsx" TargetMode="External"/><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openxmlformats.org/officeDocument/2006/relationships/oleObject" Target="https://kpmgaust.sharepoint.com/sites/AU-MPSPEvaluation/Shared%20Documents/General/5.%20Work%20papers/Compiled%20data.xlsx" TargetMode="External"/><Relationship Id="rId2" Type="http://schemas.microsoft.com/office/2011/relationships/chartColorStyle" Target="colors14.xml"/><Relationship Id="rId1" Type="http://schemas.microsoft.com/office/2011/relationships/chartStyle" Target="style14.xml"/></Relationships>
</file>

<file path=word/charts/_rels/chart24.xml.rels><?xml version="1.0" encoding="UTF-8" standalone="yes"?>
<Relationships xmlns="http://schemas.openxmlformats.org/package/2006/relationships"><Relationship Id="rId3" Type="http://schemas.openxmlformats.org/officeDocument/2006/relationships/oleObject" Target="https://kpmgaust.sharepoint.com/sites/AU-MPSPEvaluation/Shared%20Documents/General/3.%20Stakeholder%20engagement/Surveys/Results/Trainee%20survey%20results%20analysis.xlsx" TargetMode="External"/><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1" Type="http://schemas.openxmlformats.org/officeDocument/2006/relationships/oleObject" Target="https://kpmgaust.sharepoint.com/sites/AU-MPSPEvaluation/Shared%20Documents/General/3.%20Stakeholder%20engagement/Surveys/Results/Trainee%20survey%20results%20analysi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ttps://kpmgaust.sharepoint.com/sites/AU-MPSPEvaluation/Shared%20Documents/General/3.%20Stakeholder%20engagement/Surveys/Results/Supervisor%20survey%20results%20analysi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kpmgaust-my.sharepoint.com/personal/kfleming2_kpmg_com_au/Documents/Documents/0%20-%20Engagements/MPSP/MPSP%20Financial%20Analysi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https://kpmgaust.sharepoint.com/sites/AU-MPSPEvaluation/Shared%20Documents/General/5.%20Work%20papers/Compiled%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kpmgaust.sharepoint.com/sites/AU-MPSPEvaluation/Shared%20Documents/General/5.%20Work%20papers/Compiled%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kpmgaust.sharepoint.com/sites/AU-MPSPEvaluation/Shared%20Documents/General/5.%20Work%20papers/MPSP%20Financial%20Analysis.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https://kpmgaust.sharepoint.com/sites/AU-MPSPEvaluation/Shared%20Documents/General/5.%20Work%20papers/Compiled%20data.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https://kpmgaust.sharepoint.com/sites/AU-MPSPEvaluation/Shared%20Documents/General/3.%20Stakeholder%20engagement/Surveys/Results/Trainee%20survey%20results%20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kpmgaust.sharepoint.com/sites/AU-MPSPEvaluation/Shared%20Documents/General/3.%20Stakeholder%20engagement/Surveys/Results/Supervisor%20survey%20results%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3050597614455764E-2"/>
          <c:w val="0.5901488567767309"/>
          <c:h val="0.89949365533676462"/>
        </c:manualLayout>
      </c:layout>
      <c:doughnutChart>
        <c:varyColors val="1"/>
        <c:ser>
          <c:idx val="0"/>
          <c:order val="0"/>
          <c:dPt>
            <c:idx val="0"/>
            <c:bubble3D val="0"/>
            <c:spPr>
              <a:solidFill>
                <a:srgbClr val="00338D"/>
              </a:solidFill>
              <a:ln w="3175">
                <a:solidFill>
                  <a:srgbClr val="FFFFFF"/>
                </a:solidFill>
                <a:prstDash val="solid"/>
              </a:ln>
            </c:spPr>
            <c:extLst>
              <c:ext xmlns:c16="http://schemas.microsoft.com/office/drawing/2014/chart" uri="{C3380CC4-5D6E-409C-BE32-E72D297353CC}">
                <c16:uniqueId val="{00000001-E843-484D-9061-0FB21D8A6626}"/>
              </c:ext>
            </c:extLst>
          </c:dPt>
          <c:dPt>
            <c:idx val="1"/>
            <c:bubble3D val="0"/>
            <c:spPr>
              <a:solidFill>
                <a:srgbClr val="00B8F5"/>
              </a:solidFill>
              <a:ln w="3175">
                <a:solidFill>
                  <a:srgbClr val="FFFFFF"/>
                </a:solidFill>
                <a:prstDash val="solid"/>
              </a:ln>
            </c:spPr>
            <c:extLst>
              <c:ext xmlns:c16="http://schemas.microsoft.com/office/drawing/2014/chart" uri="{C3380CC4-5D6E-409C-BE32-E72D297353CC}">
                <c16:uniqueId val="{00000003-E843-484D-9061-0FB21D8A6626}"/>
              </c:ext>
            </c:extLst>
          </c:dPt>
          <c:dPt>
            <c:idx val="2"/>
            <c:bubble3D val="0"/>
            <c:spPr>
              <a:solidFill>
                <a:srgbClr val="1E49E2"/>
              </a:solidFill>
              <a:ln w="3175">
                <a:solidFill>
                  <a:srgbClr val="FFFFFF"/>
                </a:solidFill>
                <a:prstDash val="solid"/>
              </a:ln>
            </c:spPr>
            <c:extLst>
              <c:ext xmlns:c16="http://schemas.microsoft.com/office/drawing/2014/chart" uri="{C3380CC4-5D6E-409C-BE32-E72D297353CC}">
                <c16:uniqueId val="{00000005-E843-484D-9061-0FB21D8A6626}"/>
              </c:ext>
            </c:extLst>
          </c:dPt>
          <c:dPt>
            <c:idx val="3"/>
            <c:bubble3D val="0"/>
            <c:spPr>
              <a:solidFill>
                <a:srgbClr val="76D2FF"/>
              </a:solidFill>
              <a:ln w="3175">
                <a:solidFill>
                  <a:srgbClr val="FFFFFF"/>
                </a:solidFill>
                <a:prstDash val="solid"/>
              </a:ln>
            </c:spPr>
            <c:extLst>
              <c:ext xmlns:c16="http://schemas.microsoft.com/office/drawing/2014/chart" uri="{C3380CC4-5D6E-409C-BE32-E72D297353CC}">
                <c16:uniqueId val="{00000007-E843-484D-9061-0FB21D8A6626}"/>
              </c:ext>
            </c:extLst>
          </c:dPt>
          <c:dPt>
            <c:idx val="4"/>
            <c:bubble3D val="0"/>
            <c:spPr>
              <a:solidFill>
                <a:srgbClr val="7213EA"/>
              </a:solidFill>
              <a:ln w="3175">
                <a:solidFill>
                  <a:srgbClr val="FFFFFF"/>
                </a:solidFill>
                <a:prstDash val="solid"/>
              </a:ln>
            </c:spPr>
            <c:extLst>
              <c:ext xmlns:c16="http://schemas.microsoft.com/office/drawing/2014/chart" uri="{C3380CC4-5D6E-409C-BE32-E72D297353CC}">
                <c16:uniqueId val="{00000009-E843-484D-9061-0FB21D8A6626}"/>
              </c:ext>
            </c:extLst>
          </c:dPt>
          <c:dLbls>
            <c:dLbl>
              <c:idx val="0"/>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1-E843-484D-9061-0FB21D8A6626}"/>
                </c:ext>
              </c:extLst>
            </c:dLbl>
            <c:dLbl>
              <c:idx val="1"/>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3-E843-484D-9061-0FB21D8A6626}"/>
                </c:ext>
              </c:extLst>
            </c:dLbl>
            <c:dLbl>
              <c:idx val="2"/>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5-E843-484D-9061-0FB21D8A6626}"/>
                </c:ext>
              </c:extLst>
            </c:dLbl>
            <c:dLbl>
              <c:idx val="3"/>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7-E843-484D-9061-0FB21D8A6626}"/>
                </c:ext>
              </c:extLst>
            </c:dLbl>
            <c:dLbl>
              <c:idx val="4"/>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9-E843-484D-9061-0FB21D8A6626}"/>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Delivery!$F$48:$F$52</c:f>
              <c:strCache>
                <c:ptCount val="5"/>
                <c:pt idx="0">
                  <c:v>Strongly agree</c:v>
                </c:pt>
                <c:pt idx="1">
                  <c:v>Somewhat agree</c:v>
                </c:pt>
                <c:pt idx="2">
                  <c:v>Neither agree nor disagree</c:v>
                </c:pt>
                <c:pt idx="3">
                  <c:v>Somewhat disagree</c:v>
                </c:pt>
                <c:pt idx="4">
                  <c:v>Strongly disagree</c:v>
                </c:pt>
              </c:strCache>
            </c:strRef>
          </c:cat>
          <c:val>
            <c:numRef>
              <c:f>Delivery!$G$48:$G$52</c:f>
              <c:numCache>
                <c:formatCode>General</c:formatCode>
                <c:ptCount val="5"/>
                <c:pt idx="0">
                  <c:v>19</c:v>
                </c:pt>
                <c:pt idx="1">
                  <c:v>20</c:v>
                </c:pt>
                <c:pt idx="2">
                  <c:v>7</c:v>
                </c:pt>
                <c:pt idx="3">
                  <c:v>6</c:v>
                </c:pt>
                <c:pt idx="4">
                  <c:v>2</c:v>
                </c:pt>
              </c:numCache>
            </c:numRef>
          </c:val>
          <c:extLst>
            <c:ext xmlns:c16="http://schemas.microsoft.com/office/drawing/2014/chart" uri="{C3380CC4-5D6E-409C-BE32-E72D297353CC}">
              <c16:uniqueId val="{0000000A-E843-484D-9061-0FB21D8A6626}"/>
            </c:ext>
          </c:extLst>
        </c:ser>
        <c:dLbls>
          <c:showLegendKey val="0"/>
          <c:showVal val="0"/>
          <c:showCatName val="0"/>
          <c:showSerName val="0"/>
          <c:showPercent val="0"/>
          <c:showBubbleSize val="0"/>
          <c:showLeaderLines val="1"/>
        </c:dLbls>
        <c:firstSliceAng val="0"/>
        <c:holeSize val="50"/>
      </c:doughnutChart>
      <c:spPr>
        <a:noFill/>
        <a:ln w="25400">
          <a:noFill/>
        </a:ln>
      </c:spPr>
    </c:plotArea>
    <c:legend>
      <c:legendPos val="r"/>
      <c:layout>
        <c:manualLayout>
          <c:xMode val="edge"/>
          <c:yMode val="edge"/>
          <c:x val="0.58209882413623582"/>
          <c:y val="0.26048079403491098"/>
          <c:w val="0.38824684273728832"/>
          <c:h val="0.57694792831083319"/>
        </c:manualLayout>
      </c:layout>
      <c:overlay val="0"/>
      <c:txPr>
        <a:bodyPr/>
        <a:lstStyle/>
        <a:p>
          <a:pPr>
            <a:defRPr>
              <a:solidFill>
                <a:schemeClr val="bg1"/>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[All TEAP registrars 2018 to 2023 V30102024 (version 1).xlsx]New enrolments  - grant split!PivotTable3</c:name>
    <c:fmtId val="-1"/>
  </c:pivotSource>
  <c:chart>
    <c:autoTitleDeleted val="1"/>
    <c:pivotFmts>
      <c:pivotFmt>
        <c:idx val="0"/>
        <c:spPr>
          <a:solidFill>
            <a:srgbClr val="1E49E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AB0D8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1E49E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1E49E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1E49E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AB0D8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00338D"/>
          </a:solidFill>
          <a:ln w="3175">
            <a:solidFill>
              <a:srgbClr val="FFFFFF"/>
            </a:solidFill>
            <a:prstDash val="solid"/>
          </a:ln>
          <a:effectLst/>
        </c:spPr>
        <c:marker>
          <c:symbol val="none"/>
        </c:marker>
        <c:dLbl>
          <c:idx val="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00338D"/>
          </a:solidFill>
          <a:ln w="3175">
            <a:solidFill>
              <a:srgbClr val="FFFFFF"/>
            </a:solidFill>
            <a:prstDash val="solid"/>
          </a:ln>
          <a:effectLst/>
        </c:spPr>
        <c:dLbl>
          <c:idx val="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00B8F5"/>
          </a:solidFill>
          <a:ln w="3175">
            <a:solidFill>
              <a:srgbClr val="FFFFFF"/>
            </a:solidFill>
            <a:prstDash val="solid"/>
          </a:ln>
          <a:effectLst/>
        </c:spPr>
        <c:marker>
          <c:symbol val="none"/>
        </c:marker>
        <c:dLbl>
          <c:idx val="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00338D"/>
          </a:solidFill>
          <a:ln w="3175">
            <a:solidFill>
              <a:srgbClr val="FFFFFF"/>
            </a:solidFill>
            <a:prstDash val="solid"/>
          </a:ln>
          <a:effectLst/>
        </c:spPr>
        <c:marker>
          <c:symbol val="none"/>
        </c:marker>
        <c:dLbl>
          <c:idx val="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00B8F5"/>
          </a:solidFill>
          <a:ln w="3175">
            <a:solidFill>
              <a:srgbClr val="FFFFFF"/>
            </a:solidFill>
            <a:prstDash val="solid"/>
          </a:ln>
          <a:effectLst/>
        </c:spPr>
        <c:marker>
          <c:symbol val="none"/>
        </c:marker>
        <c:dLbl>
          <c:idx val="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00338D"/>
          </a:solidFill>
          <a:ln w="3175">
            <a:solidFill>
              <a:srgbClr val="FFFFFF"/>
            </a:solidFill>
            <a:prstDash val="solid"/>
          </a:ln>
          <a:effectLst/>
        </c:spPr>
        <c:marker>
          <c:symbol val="none"/>
        </c:marker>
        <c:dLbl>
          <c:idx val="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00B8F5"/>
          </a:solidFill>
          <a:ln w="3175">
            <a:solidFill>
              <a:srgbClr val="FFFFFF"/>
            </a:solidFill>
            <a:prstDash val="solid"/>
          </a:ln>
          <a:effectLst/>
        </c:spPr>
        <c:marker>
          <c:symbol val="none"/>
        </c:marker>
        <c:dLbl>
          <c:idx val="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674233617733714"/>
          <c:y val="7.4750251089244796E-2"/>
          <c:w val="0.80774592590967909"/>
          <c:h val="0.74473637306964535"/>
        </c:manualLayout>
      </c:layout>
      <c:barChart>
        <c:barDir val="col"/>
        <c:grouping val="stacked"/>
        <c:varyColors val="0"/>
        <c:ser>
          <c:idx val="0"/>
          <c:order val="0"/>
          <c:tx>
            <c:strRef>
              <c:f>'New enrolments  - grant split'!$B$3:$B$4</c:f>
              <c:strCache>
                <c:ptCount val="1"/>
                <c:pt idx="0">
                  <c:v>Grant</c:v>
                </c:pt>
              </c:strCache>
            </c:strRef>
          </c:tx>
          <c:spPr>
            <a:solidFill>
              <a:srgbClr val="00338D"/>
            </a:solidFill>
            <a:ln w="3175">
              <a:solidFill>
                <a:srgbClr val="FFFFFF"/>
              </a:solidFill>
              <a:prstDash val="solid"/>
            </a:ln>
            <a:effectLst/>
          </c:spPr>
          <c:invertIfNegative val="0"/>
          <c:dPt>
            <c:idx val="1"/>
            <c:invertIfNegative val="0"/>
            <c:bubble3D val="0"/>
            <c:extLst>
              <c:ext xmlns:c16="http://schemas.microsoft.com/office/drawing/2014/chart" uri="{C3380CC4-5D6E-409C-BE32-E72D297353CC}">
                <c16:uniqueId val="{00000000-D4C6-4457-B5F3-3A95DD166FE4}"/>
              </c:ext>
            </c:extLst>
          </c:dPt>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enrolments  - grant split'!$A$5:$A$11</c:f>
              <c:strCache>
                <c:ptCount val="6"/>
                <c:pt idx="0">
                  <c:v>2018</c:v>
                </c:pt>
                <c:pt idx="1">
                  <c:v>2019</c:v>
                </c:pt>
                <c:pt idx="2">
                  <c:v>2020</c:v>
                </c:pt>
                <c:pt idx="3">
                  <c:v>2021</c:v>
                </c:pt>
                <c:pt idx="4">
                  <c:v>2022</c:v>
                </c:pt>
                <c:pt idx="5">
                  <c:v>2023</c:v>
                </c:pt>
              </c:strCache>
            </c:strRef>
          </c:cat>
          <c:val>
            <c:numRef>
              <c:f>'New enrolments  - grant split'!$B$5:$B$11</c:f>
              <c:numCache>
                <c:formatCode>General</c:formatCode>
                <c:ptCount val="6"/>
                <c:pt idx="0">
                  <c:v>8</c:v>
                </c:pt>
                <c:pt idx="1">
                  <c:v>24</c:v>
                </c:pt>
                <c:pt idx="2">
                  <c:v>16</c:v>
                </c:pt>
                <c:pt idx="3">
                  <c:v>13</c:v>
                </c:pt>
                <c:pt idx="4">
                  <c:v>14</c:v>
                </c:pt>
                <c:pt idx="5">
                  <c:v>16</c:v>
                </c:pt>
              </c:numCache>
            </c:numRef>
          </c:val>
          <c:extLst>
            <c:ext xmlns:c16="http://schemas.microsoft.com/office/drawing/2014/chart" uri="{C3380CC4-5D6E-409C-BE32-E72D297353CC}">
              <c16:uniqueId val="{00000001-D4C6-4457-B5F3-3A95DD166FE4}"/>
            </c:ext>
          </c:extLst>
        </c:ser>
        <c:ser>
          <c:idx val="1"/>
          <c:order val="1"/>
          <c:tx>
            <c:strRef>
              <c:f>'New enrolments  - grant split'!$C$3:$C$4</c:f>
              <c:strCache>
                <c:ptCount val="1"/>
                <c:pt idx="0">
                  <c:v>No grant</c:v>
                </c:pt>
              </c:strCache>
            </c:strRef>
          </c:tx>
          <c:spPr>
            <a:solidFill>
              <a:srgbClr val="00B8F5"/>
            </a:solidFill>
            <a:ln w="3175">
              <a:solidFill>
                <a:srgbClr val="FFFFFF"/>
              </a:solidFill>
              <a:prstDash val="soli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enrolments  - grant split'!$A$5:$A$11</c:f>
              <c:strCache>
                <c:ptCount val="6"/>
                <c:pt idx="0">
                  <c:v>2018</c:v>
                </c:pt>
                <c:pt idx="1">
                  <c:v>2019</c:v>
                </c:pt>
                <c:pt idx="2">
                  <c:v>2020</c:v>
                </c:pt>
                <c:pt idx="3">
                  <c:v>2021</c:v>
                </c:pt>
                <c:pt idx="4">
                  <c:v>2022</c:v>
                </c:pt>
                <c:pt idx="5">
                  <c:v>2023</c:v>
                </c:pt>
              </c:strCache>
            </c:strRef>
          </c:cat>
          <c:val>
            <c:numRef>
              <c:f>'New enrolments  - grant split'!$C$5:$C$11</c:f>
              <c:numCache>
                <c:formatCode>General</c:formatCode>
                <c:ptCount val="6"/>
                <c:pt idx="0">
                  <c:v>24</c:v>
                </c:pt>
                <c:pt idx="1">
                  <c:v>12</c:v>
                </c:pt>
                <c:pt idx="2">
                  <c:v>12</c:v>
                </c:pt>
                <c:pt idx="3">
                  <c:v>14</c:v>
                </c:pt>
                <c:pt idx="4">
                  <c:v>19</c:v>
                </c:pt>
                <c:pt idx="5">
                  <c:v>15</c:v>
                </c:pt>
              </c:numCache>
            </c:numRef>
          </c:val>
          <c:extLst>
            <c:ext xmlns:c16="http://schemas.microsoft.com/office/drawing/2014/chart" uri="{C3380CC4-5D6E-409C-BE32-E72D297353CC}">
              <c16:uniqueId val="{00000002-D4C6-4457-B5F3-3A95DD166FE4}"/>
            </c:ext>
          </c:extLst>
        </c:ser>
        <c:dLbls>
          <c:dLblPos val="inEnd"/>
          <c:showLegendKey val="0"/>
          <c:showVal val="1"/>
          <c:showCatName val="0"/>
          <c:showSerName val="0"/>
          <c:showPercent val="0"/>
          <c:showBubbleSize val="0"/>
        </c:dLbls>
        <c:gapWidth val="40"/>
        <c:overlap val="100"/>
        <c:axId val="1559670159"/>
        <c:axId val="1559653839"/>
      </c:barChart>
      <c:catAx>
        <c:axId val="1559670159"/>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Registrar</a:t>
                </a:r>
                <a:r>
                  <a:rPr lang="en-AU" baseline="0"/>
                  <a:t> commencement year</a:t>
                </a:r>
                <a:endParaRPr lang="en-AU"/>
              </a:p>
            </c:rich>
          </c:tx>
          <c:layout>
            <c:manualLayout>
              <c:xMode val="edge"/>
              <c:yMode val="edge"/>
              <c:x val="0.31890684973570504"/>
              <c:y val="0.92033400476103278"/>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AU"/>
            </a:p>
          </c:txPr>
        </c:title>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559653839"/>
        <c:crosses val="autoZero"/>
        <c:auto val="1"/>
        <c:lblAlgn val="ctr"/>
        <c:lblOffset val="100"/>
        <c:noMultiLvlLbl val="0"/>
      </c:catAx>
      <c:valAx>
        <c:axId val="1559653839"/>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Enrollments</a:t>
                </a:r>
              </a:p>
            </c:rich>
          </c:tx>
          <c:layout>
            <c:manualLayout>
              <c:xMode val="edge"/>
              <c:yMode val="edge"/>
              <c:x val="1.7150210259207009E-2"/>
              <c:y val="0.3199745147450403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559670159"/>
        <c:crosses val="autoZero"/>
        <c:crossBetween val="between"/>
        <c:majorUnit val="10"/>
      </c:valAx>
      <c:spPr>
        <a:noFill/>
        <a:ln w="25400">
          <a:noFill/>
        </a:ln>
        <a:effectLst/>
      </c:spPr>
    </c:plotArea>
    <c:legend>
      <c:legendPos val="b"/>
      <c:layout>
        <c:manualLayout>
          <c:xMode val="edge"/>
          <c:yMode val="edge"/>
          <c:x val="0.61412117357196649"/>
          <c:y val="7.360214856863817E-2"/>
          <c:w val="0.31337094674189347"/>
          <c:h val="8.0832966945121709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921945369568656E-4"/>
          <c:y val="6.9551938547118664E-2"/>
          <c:w val="0.62542628501611419"/>
          <c:h val="0.87768606715685438"/>
        </c:manualLayout>
      </c:layout>
      <c:pieChart>
        <c:varyColors val="1"/>
        <c:ser>
          <c:idx val="0"/>
          <c:order val="0"/>
          <c:dPt>
            <c:idx val="0"/>
            <c:bubble3D val="0"/>
            <c:spPr>
              <a:solidFill>
                <a:srgbClr val="00338D"/>
              </a:solidFill>
              <a:ln w="3175">
                <a:solidFill>
                  <a:srgbClr val="FFFFFF"/>
                </a:solidFill>
                <a:prstDash val="solid"/>
              </a:ln>
              <a:effectLst/>
            </c:spPr>
            <c:extLst>
              <c:ext xmlns:c16="http://schemas.microsoft.com/office/drawing/2014/chart" uri="{C3380CC4-5D6E-409C-BE32-E72D297353CC}">
                <c16:uniqueId val="{00000001-539B-48EC-A217-5C322D5A740C}"/>
              </c:ext>
            </c:extLst>
          </c:dPt>
          <c:dPt>
            <c:idx val="1"/>
            <c:bubble3D val="0"/>
            <c:spPr>
              <a:solidFill>
                <a:srgbClr val="00B8F5"/>
              </a:solidFill>
              <a:ln w="3175">
                <a:solidFill>
                  <a:srgbClr val="FFFFFF"/>
                </a:solidFill>
                <a:prstDash val="solid"/>
              </a:ln>
              <a:effectLst/>
            </c:spPr>
            <c:extLst>
              <c:ext xmlns:c16="http://schemas.microsoft.com/office/drawing/2014/chart" uri="{C3380CC4-5D6E-409C-BE32-E72D297353CC}">
                <c16:uniqueId val="{00000003-539B-48EC-A217-5C322D5A740C}"/>
              </c:ext>
            </c:extLst>
          </c:dPt>
          <c:dPt>
            <c:idx val="2"/>
            <c:bubble3D val="0"/>
            <c:spPr>
              <a:solidFill>
                <a:srgbClr val="1E49E2"/>
              </a:solidFill>
              <a:ln w="3175">
                <a:solidFill>
                  <a:srgbClr val="FFFFFF"/>
                </a:solidFill>
                <a:prstDash val="solid"/>
              </a:ln>
              <a:effectLst/>
            </c:spPr>
            <c:extLst>
              <c:ext xmlns:c16="http://schemas.microsoft.com/office/drawing/2014/chart" uri="{C3380CC4-5D6E-409C-BE32-E72D297353CC}">
                <c16:uniqueId val="{00000005-539B-48EC-A217-5C322D5A740C}"/>
              </c:ext>
            </c:extLst>
          </c:dPt>
          <c:dPt>
            <c:idx val="3"/>
            <c:bubble3D val="0"/>
            <c:spPr>
              <a:solidFill>
                <a:srgbClr val="76D2FF"/>
              </a:solidFill>
              <a:ln w="3175">
                <a:solidFill>
                  <a:srgbClr val="FFFFFF"/>
                </a:solidFill>
                <a:prstDash val="solid"/>
              </a:ln>
              <a:effectLst/>
            </c:spPr>
            <c:extLst>
              <c:ext xmlns:c16="http://schemas.microsoft.com/office/drawing/2014/chart" uri="{C3380CC4-5D6E-409C-BE32-E72D297353CC}">
                <c16:uniqueId val="{00000007-539B-48EC-A217-5C322D5A740C}"/>
              </c:ext>
            </c:extLst>
          </c:dPt>
          <c:dPt>
            <c:idx val="4"/>
            <c:bubble3D val="0"/>
            <c:spPr>
              <a:solidFill>
                <a:srgbClr val="7213EA"/>
              </a:solidFill>
              <a:ln w="3175">
                <a:solidFill>
                  <a:srgbClr val="FFFFFF"/>
                </a:solidFill>
                <a:prstDash val="solid"/>
              </a:ln>
              <a:effectLst/>
            </c:spPr>
            <c:extLst>
              <c:ext xmlns:c16="http://schemas.microsoft.com/office/drawing/2014/chart" uri="{C3380CC4-5D6E-409C-BE32-E72D297353CC}">
                <c16:uniqueId val="{00000009-539B-48EC-A217-5C322D5A740C}"/>
              </c:ext>
            </c:extLst>
          </c:dPt>
          <c:cat>
            <c:strRef>
              <c:f>'ACPSEM Annual Statements'!$H$34:$H$38</c:f>
              <c:strCache>
                <c:ptCount val="5"/>
                <c:pt idx="0">
                  <c:v>TEAP fees</c:v>
                </c:pt>
                <c:pt idx="1">
                  <c:v>members subscription fees</c:v>
                </c:pt>
                <c:pt idx="2">
                  <c:v>Accreditation and certification fees</c:v>
                </c:pt>
                <c:pt idx="3">
                  <c:v>Other</c:v>
                </c:pt>
                <c:pt idx="4">
                  <c:v>Government grants (G1)</c:v>
                </c:pt>
              </c:strCache>
            </c:strRef>
          </c:cat>
          <c:val>
            <c:numRef>
              <c:f>'ACPSEM Annual Statements'!$I$34:$I$38</c:f>
              <c:numCache>
                <c:formatCode>_-* #,##0_-;\-* #,##0_-;_-* "-"??_-;_-@_-</c:formatCode>
                <c:ptCount val="5"/>
                <c:pt idx="0">
                  <c:v>402119</c:v>
                </c:pt>
                <c:pt idx="1">
                  <c:v>291597</c:v>
                </c:pt>
                <c:pt idx="2">
                  <c:v>27398</c:v>
                </c:pt>
                <c:pt idx="3">
                  <c:v>283122</c:v>
                </c:pt>
                <c:pt idx="4">
                  <c:v>1500000</c:v>
                </c:pt>
              </c:numCache>
            </c:numRef>
          </c:val>
          <c:extLst>
            <c:ext xmlns:c16="http://schemas.microsoft.com/office/drawing/2014/chart" uri="{C3380CC4-5D6E-409C-BE32-E72D297353CC}">
              <c16:uniqueId val="{0000000A-539B-48EC-A217-5C322D5A740C}"/>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a:ea typeface="Arial"/>
              <a:cs typeface="Aria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340932873586888E-2"/>
          <c:y val="7.2465965118846121E-2"/>
          <c:w val="0.61780453913849009"/>
          <c:h val="0.88340275222606524"/>
        </c:manualLayout>
      </c:layout>
      <c:pieChart>
        <c:varyColors val="1"/>
        <c:ser>
          <c:idx val="0"/>
          <c:order val="0"/>
          <c:dPt>
            <c:idx val="0"/>
            <c:bubble3D val="0"/>
            <c:spPr>
              <a:solidFill>
                <a:srgbClr val="00338D"/>
              </a:solidFill>
              <a:ln w="3175">
                <a:solidFill>
                  <a:srgbClr val="FFFFFF"/>
                </a:solidFill>
                <a:prstDash val="solid"/>
              </a:ln>
              <a:effectLst/>
            </c:spPr>
            <c:extLst>
              <c:ext xmlns:c16="http://schemas.microsoft.com/office/drawing/2014/chart" uri="{C3380CC4-5D6E-409C-BE32-E72D297353CC}">
                <c16:uniqueId val="{00000001-C312-438A-A6FA-477D787C8BE2}"/>
              </c:ext>
            </c:extLst>
          </c:dPt>
          <c:dPt>
            <c:idx val="1"/>
            <c:bubble3D val="0"/>
            <c:spPr>
              <a:solidFill>
                <a:srgbClr val="00B8F5"/>
              </a:solidFill>
              <a:ln w="3175">
                <a:solidFill>
                  <a:srgbClr val="FFFFFF"/>
                </a:solidFill>
                <a:prstDash val="solid"/>
              </a:ln>
              <a:effectLst/>
            </c:spPr>
            <c:extLst>
              <c:ext xmlns:c16="http://schemas.microsoft.com/office/drawing/2014/chart" uri="{C3380CC4-5D6E-409C-BE32-E72D297353CC}">
                <c16:uniqueId val="{00000003-C312-438A-A6FA-477D787C8BE2}"/>
              </c:ext>
            </c:extLst>
          </c:dPt>
          <c:dPt>
            <c:idx val="2"/>
            <c:bubble3D val="0"/>
            <c:spPr>
              <a:solidFill>
                <a:srgbClr val="1E49E2"/>
              </a:solidFill>
              <a:ln w="3175">
                <a:solidFill>
                  <a:srgbClr val="FFFFFF"/>
                </a:solidFill>
                <a:prstDash val="solid"/>
              </a:ln>
              <a:effectLst/>
            </c:spPr>
            <c:extLst>
              <c:ext xmlns:c16="http://schemas.microsoft.com/office/drawing/2014/chart" uri="{C3380CC4-5D6E-409C-BE32-E72D297353CC}">
                <c16:uniqueId val="{00000005-C312-438A-A6FA-477D787C8BE2}"/>
              </c:ext>
            </c:extLst>
          </c:dPt>
          <c:dPt>
            <c:idx val="3"/>
            <c:bubble3D val="0"/>
            <c:spPr>
              <a:solidFill>
                <a:srgbClr val="76D2FF"/>
              </a:solidFill>
              <a:ln w="3175">
                <a:solidFill>
                  <a:srgbClr val="FFFFFF"/>
                </a:solidFill>
                <a:prstDash val="solid"/>
              </a:ln>
              <a:effectLst/>
            </c:spPr>
            <c:extLst>
              <c:ext xmlns:c16="http://schemas.microsoft.com/office/drawing/2014/chart" uri="{C3380CC4-5D6E-409C-BE32-E72D297353CC}">
                <c16:uniqueId val="{00000007-C312-438A-A6FA-477D787C8BE2}"/>
              </c:ext>
            </c:extLst>
          </c:dPt>
          <c:dPt>
            <c:idx val="4"/>
            <c:bubble3D val="0"/>
            <c:spPr>
              <a:solidFill>
                <a:srgbClr val="7213EA"/>
              </a:solidFill>
              <a:ln w="3175">
                <a:solidFill>
                  <a:srgbClr val="FFFFFF"/>
                </a:solidFill>
                <a:prstDash val="solid"/>
              </a:ln>
              <a:effectLst/>
            </c:spPr>
            <c:extLst>
              <c:ext xmlns:c16="http://schemas.microsoft.com/office/drawing/2014/chart" uri="{C3380CC4-5D6E-409C-BE32-E72D297353CC}">
                <c16:uniqueId val="{00000009-C312-438A-A6FA-477D787C8BE2}"/>
              </c:ext>
            </c:extLst>
          </c:dPt>
          <c:cat>
            <c:strRef>
              <c:f>'ACPSEM Annual Statements'!$H$34:$H$38</c:f>
              <c:strCache>
                <c:ptCount val="5"/>
                <c:pt idx="0">
                  <c:v>TEAP fees</c:v>
                </c:pt>
                <c:pt idx="1">
                  <c:v>members subscription fees</c:v>
                </c:pt>
                <c:pt idx="2">
                  <c:v>Accreditation and certification fees</c:v>
                </c:pt>
                <c:pt idx="3">
                  <c:v>Other</c:v>
                </c:pt>
                <c:pt idx="4">
                  <c:v>Government grants (G1)</c:v>
                </c:pt>
              </c:strCache>
            </c:strRef>
          </c:cat>
          <c:val>
            <c:numRef>
              <c:f>'ACPSEM Annual Statements'!$J$34:$J$38</c:f>
              <c:numCache>
                <c:formatCode>_-* #,##0_-;\-* #,##0_-;_-* "-"??_-;_-@_-</c:formatCode>
                <c:ptCount val="5"/>
                <c:pt idx="0">
                  <c:v>377688</c:v>
                </c:pt>
                <c:pt idx="1">
                  <c:v>296615</c:v>
                </c:pt>
                <c:pt idx="2">
                  <c:v>60442</c:v>
                </c:pt>
                <c:pt idx="3">
                  <c:v>333073</c:v>
                </c:pt>
                <c:pt idx="4">
                  <c:v>1500000</c:v>
                </c:pt>
              </c:numCache>
            </c:numRef>
          </c:val>
          <c:extLst>
            <c:ext xmlns:c16="http://schemas.microsoft.com/office/drawing/2014/chart" uri="{C3380CC4-5D6E-409C-BE32-E72D297353CC}">
              <c16:uniqueId val="{0000000A-C312-438A-A6FA-477D787C8BE2}"/>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a:ea typeface="Arial"/>
              <a:cs typeface="Aria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2767154105737"/>
          <c:y val="7.2657528919996106E-2"/>
          <c:w val="0.82388031496062997"/>
          <c:h val="0.7508583649266064"/>
        </c:manualLayout>
      </c:layout>
      <c:barChart>
        <c:barDir val="col"/>
        <c:grouping val="stacked"/>
        <c:varyColors val="0"/>
        <c:ser>
          <c:idx val="0"/>
          <c:order val="0"/>
          <c:tx>
            <c:strRef>
              <c:f>'New enrolments'!$B$17</c:f>
              <c:strCache>
                <c:ptCount val="1"/>
                <c:pt idx="0">
                  <c:v>DIMP</c:v>
                </c:pt>
              </c:strCache>
            </c:strRef>
          </c:tx>
          <c:spPr>
            <a:solidFill>
              <a:srgbClr val="00338D"/>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a:ea typeface="Arial"/>
                    <a:cs typeface="Aria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'New enrolments'!$A$18:$A$23</c:f>
              <c:numCache>
                <c:formatCode>General</c:formatCode>
                <c:ptCount val="6"/>
                <c:pt idx="0">
                  <c:v>2018</c:v>
                </c:pt>
                <c:pt idx="1">
                  <c:v>2019</c:v>
                </c:pt>
                <c:pt idx="2">
                  <c:v>2020</c:v>
                </c:pt>
                <c:pt idx="3">
                  <c:v>2021</c:v>
                </c:pt>
                <c:pt idx="4">
                  <c:v>2022</c:v>
                </c:pt>
                <c:pt idx="5">
                  <c:v>2023</c:v>
                </c:pt>
              </c:numCache>
            </c:numRef>
          </c:cat>
          <c:val>
            <c:numRef>
              <c:f>'New enrolments'!$B$18:$B$23</c:f>
              <c:numCache>
                <c:formatCode>General</c:formatCode>
                <c:ptCount val="6"/>
                <c:pt idx="0">
                  <c:v>7</c:v>
                </c:pt>
                <c:pt idx="1">
                  <c:v>12</c:v>
                </c:pt>
                <c:pt idx="2">
                  <c:v>7</c:v>
                </c:pt>
                <c:pt idx="3">
                  <c:v>7</c:v>
                </c:pt>
                <c:pt idx="4">
                  <c:v>7</c:v>
                </c:pt>
                <c:pt idx="5">
                  <c:v>10</c:v>
                </c:pt>
              </c:numCache>
            </c:numRef>
          </c:val>
          <c:extLst>
            <c:ext xmlns:c16="http://schemas.microsoft.com/office/drawing/2014/chart" uri="{C3380CC4-5D6E-409C-BE32-E72D297353CC}">
              <c16:uniqueId val="{00000000-2873-4BDA-82DF-76E6E379B41B}"/>
            </c:ext>
          </c:extLst>
        </c:ser>
        <c:ser>
          <c:idx val="1"/>
          <c:order val="1"/>
          <c:tx>
            <c:strRef>
              <c:f>'New enrolments'!$C$17</c:f>
              <c:strCache>
                <c:ptCount val="1"/>
                <c:pt idx="0">
                  <c:v>ROMP</c:v>
                </c:pt>
              </c:strCache>
            </c:strRef>
          </c:tx>
          <c:spPr>
            <a:solidFill>
              <a:srgbClr val="00B8F5"/>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a:ea typeface="Arial"/>
                    <a:cs typeface="Aria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'New enrolments'!$A$18:$A$23</c:f>
              <c:numCache>
                <c:formatCode>General</c:formatCode>
                <c:ptCount val="6"/>
                <c:pt idx="0">
                  <c:v>2018</c:v>
                </c:pt>
                <c:pt idx="1">
                  <c:v>2019</c:v>
                </c:pt>
                <c:pt idx="2">
                  <c:v>2020</c:v>
                </c:pt>
                <c:pt idx="3">
                  <c:v>2021</c:v>
                </c:pt>
                <c:pt idx="4">
                  <c:v>2022</c:v>
                </c:pt>
                <c:pt idx="5">
                  <c:v>2023</c:v>
                </c:pt>
              </c:numCache>
            </c:numRef>
          </c:cat>
          <c:val>
            <c:numRef>
              <c:f>'New enrolments'!$C$18:$C$23</c:f>
              <c:numCache>
                <c:formatCode>General</c:formatCode>
                <c:ptCount val="6"/>
                <c:pt idx="0">
                  <c:v>24</c:v>
                </c:pt>
                <c:pt idx="1">
                  <c:v>19</c:v>
                </c:pt>
                <c:pt idx="2">
                  <c:v>19</c:v>
                </c:pt>
                <c:pt idx="3">
                  <c:v>17</c:v>
                </c:pt>
                <c:pt idx="4">
                  <c:v>25</c:v>
                </c:pt>
                <c:pt idx="5">
                  <c:v>18</c:v>
                </c:pt>
              </c:numCache>
            </c:numRef>
          </c:val>
          <c:extLst>
            <c:ext xmlns:c16="http://schemas.microsoft.com/office/drawing/2014/chart" uri="{C3380CC4-5D6E-409C-BE32-E72D297353CC}">
              <c16:uniqueId val="{00000001-2873-4BDA-82DF-76E6E379B41B}"/>
            </c:ext>
          </c:extLst>
        </c:ser>
        <c:ser>
          <c:idx val="2"/>
          <c:order val="2"/>
          <c:tx>
            <c:strRef>
              <c:f>'New enrolments'!$D$17</c:f>
              <c:strCache>
                <c:ptCount val="1"/>
                <c:pt idx="0">
                  <c:v>RPS</c:v>
                </c:pt>
              </c:strCache>
            </c:strRef>
          </c:tx>
          <c:spPr>
            <a:solidFill>
              <a:srgbClr val="1E49E2"/>
            </a:solidFill>
            <a:ln w="3175">
              <a:solidFill>
                <a:srgbClr val="FFFFFF"/>
              </a:solidFill>
              <a:prstDash val="soli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a:ea typeface="Arial"/>
                      <a:cs typeface="Arial"/>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73-4BDA-82DF-76E6E379B41B}"/>
                </c:ext>
              </c:extLst>
            </c:dLbl>
            <c:dLbl>
              <c:idx val="2"/>
              <c:layout>
                <c:manualLayout>
                  <c:x val="0"/>
                  <c:y val="-3.7931347701645864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73-4BDA-82DF-76E6E379B41B}"/>
                </c:ext>
              </c:extLst>
            </c:dLbl>
            <c:dLbl>
              <c:idx val="4"/>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a:ea typeface="Arial"/>
                      <a:cs typeface="Arial"/>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73-4BDA-82DF-76E6E379B41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'New enrolments'!$A$18:$A$23</c:f>
              <c:numCache>
                <c:formatCode>General</c:formatCode>
                <c:ptCount val="6"/>
                <c:pt idx="0">
                  <c:v>2018</c:v>
                </c:pt>
                <c:pt idx="1">
                  <c:v>2019</c:v>
                </c:pt>
                <c:pt idx="2">
                  <c:v>2020</c:v>
                </c:pt>
                <c:pt idx="3">
                  <c:v>2021</c:v>
                </c:pt>
                <c:pt idx="4">
                  <c:v>2022</c:v>
                </c:pt>
                <c:pt idx="5">
                  <c:v>2023</c:v>
                </c:pt>
              </c:numCache>
            </c:numRef>
          </c:cat>
          <c:val>
            <c:numRef>
              <c:f>'New enrolments'!$D$18:$D$23</c:f>
              <c:numCache>
                <c:formatCode>General</c:formatCode>
                <c:ptCount val="6"/>
                <c:pt idx="0">
                  <c:v>1</c:v>
                </c:pt>
                <c:pt idx="1">
                  <c:v>5</c:v>
                </c:pt>
                <c:pt idx="2">
                  <c:v>2</c:v>
                </c:pt>
                <c:pt idx="3">
                  <c:v>3</c:v>
                </c:pt>
                <c:pt idx="4">
                  <c:v>1</c:v>
                </c:pt>
                <c:pt idx="5">
                  <c:v>3</c:v>
                </c:pt>
              </c:numCache>
            </c:numRef>
          </c:val>
          <c:extLst>
            <c:ext xmlns:c16="http://schemas.microsoft.com/office/drawing/2014/chart" uri="{C3380CC4-5D6E-409C-BE32-E72D297353CC}">
              <c16:uniqueId val="{00000005-2873-4BDA-82DF-76E6E379B41B}"/>
            </c:ext>
          </c:extLst>
        </c:ser>
        <c:dLbls>
          <c:dLblPos val="inBase"/>
          <c:showLegendKey val="0"/>
          <c:showVal val="1"/>
          <c:showCatName val="0"/>
          <c:showSerName val="0"/>
          <c:showPercent val="0"/>
          <c:showBubbleSize val="0"/>
        </c:dLbls>
        <c:gapWidth val="40"/>
        <c:overlap val="100"/>
        <c:axId val="1086128127"/>
        <c:axId val="1086141087"/>
      </c:barChart>
      <c:catAx>
        <c:axId val="1086128127"/>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086141087"/>
        <c:crosses val="autoZero"/>
        <c:auto val="1"/>
        <c:lblAlgn val="ctr"/>
        <c:lblOffset val="100"/>
        <c:noMultiLvlLbl val="0"/>
      </c:catAx>
      <c:valAx>
        <c:axId val="1086141087"/>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New enrolments</a:t>
                </a:r>
              </a:p>
            </c:rich>
          </c:tx>
          <c:layout>
            <c:manualLayout>
              <c:xMode val="edge"/>
              <c:yMode val="edge"/>
              <c:x val="2.5670279520821449E-2"/>
              <c:y val="0.3195394093417379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086128127"/>
        <c:crosses val="autoZero"/>
        <c:crossBetween val="between"/>
      </c:valAx>
      <c:spPr>
        <a:noFill/>
        <a:ln w="25400">
          <a:noFill/>
        </a:ln>
        <a:effectLst/>
      </c:spPr>
    </c:plotArea>
    <c:legend>
      <c:legendPos val="b"/>
      <c:layout>
        <c:manualLayout>
          <c:xMode val="edge"/>
          <c:yMode val="edge"/>
          <c:x val="0.33730213723284591"/>
          <c:y val="0.91690016525712059"/>
          <c:w val="0.28995388076490436"/>
          <c:h val="6.7159423438955451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7595853953372"/>
          <c:y val="6.7550599138933645E-2"/>
          <c:w val="0.83331022553478529"/>
          <c:h val="0.76752288121546575"/>
        </c:manualLayout>
      </c:layout>
      <c:barChart>
        <c:barDir val="col"/>
        <c:grouping val="stacked"/>
        <c:varyColors val="0"/>
        <c:ser>
          <c:idx val="0"/>
          <c:order val="0"/>
          <c:tx>
            <c:strRef>
              <c:f>'[TEAP registrars 2018 to 2023 Data anlysis.xlsx]Certified by stream'!$B$15</c:f>
              <c:strCache>
                <c:ptCount val="1"/>
                <c:pt idx="0">
                  <c:v>DIMP</c:v>
                </c:pt>
              </c:strCache>
            </c:strRef>
          </c:tx>
          <c:spPr>
            <a:solidFill>
              <a:srgbClr val="00338D"/>
            </a:solidFill>
            <a:ln w="3175">
              <a:solidFill>
                <a:srgbClr val="FFFFFF"/>
              </a:solidFill>
              <a:prstDash val="solid"/>
            </a:ln>
            <a:effectLst/>
          </c:spPr>
          <c:invertIfNegative val="0"/>
          <c:dLbls>
            <c:dLbl>
              <c:idx val="2"/>
              <c:layout>
                <c:manualLayout>
                  <c:x val="0"/>
                  <c:y val="-4.65900095821365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59-4DED-BAC4-14511288CCA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'[TEAP registrars 2018 to 2023 Data anlysis.xlsx]Certified by stream'!$A$16:$A$21</c:f>
              <c:numCache>
                <c:formatCode>General</c:formatCode>
                <c:ptCount val="6"/>
                <c:pt idx="0">
                  <c:v>2018</c:v>
                </c:pt>
                <c:pt idx="1">
                  <c:v>2019</c:v>
                </c:pt>
                <c:pt idx="2">
                  <c:v>2020</c:v>
                </c:pt>
                <c:pt idx="3">
                  <c:v>2021</c:v>
                </c:pt>
                <c:pt idx="4">
                  <c:v>2022</c:v>
                </c:pt>
                <c:pt idx="5">
                  <c:v>2023</c:v>
                </c:pt>
              </c:numCache>
            </c:numRef>
          </c:cat>
          <c:val>
            <c:numRef>
              <c:f>'[TEAP registrars 2018 to 2023 Data anlysis.xlsx]Certified by stream'!$B$16:$B$21</c:f>
              <c:numCache>
                <c:formatCode>General</c:formatCode>
                <c:ptCount val="6"/>
                <c:pt idx="0">
                  <c:v>5</c:v>
                </c:pt>
                <c:pt idx="1">
                  <c:v>5</c:v>
                </c:pt>
                <c:pt idx="2">
                  <c:v>3</c:v>
                </c:pt>
                <c:pt idx="3">
                  <c:v>5</c:v>
                </c:pt>
                <c:pt idx="4">
                  <c:v>7</c:v>
                </c:pt>
                <c:pt idx="5">
                  <c:v>5</c:v>
                </c:pt>
              </c:numCache>
            </c:numRef>
          </c:val>
          <c:extLst>
            <c:ext xmlns:c16="http://schemas.microsoft.com/office/drawing/2014/chart" uri="{C3380CC4-5D6E-409C-BE32-E72D297353CC}">
              <c16:uniqueId val="{00000000-7559-4DED-BAC4-14511288CCA0}"/>
            </c:ext>
          </c:extLst>
        </c:ser>
        <c:ser>
          <c:idx val="1"/>
          <c:order val="1"/>
          <c:tx>
            <c:strRef>
              <c:f>'[TEAP registrars 2018 to 2023 Data anlysis.xlsx]Certified by stream'!$C$15</c:f>
              <c:strCache>
                <c:ptCount val="1"/>
                <c:pt idx="0">
                  <c:v>ROMP</c:v>
                </c:pt>
              </c:strCache>
            </c:strRef>
          </c:tx>
          <c:spPr>
            <a:solidFill>
              <a:srgbClr val="00B8F5"/>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'[TEAP registrars 2018 to 2023 Data anlysis.xlsx]Certified by stream'!$A$16:$A$21</c:f>
              <c:numCache>
                <c:formatCode>General</c:formatCode>
                <c:ptCount val="6"/>
                <c:pt idx="0">
                  <c:v>2018</c:v>
                </c:pt>
                <c:pt idx="1">
                  <c:v>2019</c:v>
                </c:pt>
                <c:pt idx="2">
                  <c:v>2020</c:v>
                </c:pt>
                <c:pt idx="3">
                  <c:v>2021</c:v>
                </c:pt>
                <c:pt idx="4">
                  <c:v>2022</c:v>
                </c:pt>
                <c:pt idx="5">
                  <c:v>2023</c:v>
                </c:pt>
              </c:numCache>
            </c:numRef>
          </c:cat>
          <c:val>
            <c:numRef>
              <c:f>'[TEAP registrars 2018 to 2023 Data anlysis.xlsx]Certified by stream'!$C$16:$C$21</c:f>
              <c:numCache>
                <c:formatCode>General</c:formatCode>
                <c:ptCount val="6"/>
                <c:pt idx="0">
                  <c:v>13</c:v>
                </c:pt>
                <c:pt idx="1">
                  <c:v>17</c:v>
                </c:pt>
                <c:pt idx="2">
                  <c:v>22</c:v>
                </c:pt>
                <c:pt idx="3">
                  <c:v>25</c:v>
                </c:pt>
                <c:pt idx="4">
                  <c:v>23</c:v>
                </c:pt>
                <c:pt idx="5">
                  <c:v>20</c:v>
                </c:pt>
              </c:numCache>
            </c:numRef>
          </c:val>
          <c:extLst>
            <c:ext xmlns:c16="http://schemas.microsoft.com/office/drawing/2014/chart" uri="{C3380CC4-5D6E-409C-BE32-E72D297353CC}">
              <c16:uniqueId val="{00000001-7559-4DED-BAC4-14511288CCA0}"/>
            </c:ext>
          </c:extLst>
        </c:ser>
        <c:ser>
          <c:idx val="2"/>
          <c:order val="2"/>
          <c:tx>
            <c:strRef>
              <c:f>'[TEAP registrars 2018 to 2023 Data anlysis.xlsx]Certified by stream'!$D$15</c:f>
              <c:strCache>
                <c:ptCount val="1"/>
                <c:pt idx="0">
                  <c:v>RPS</c:v>
                </c:pt>
              </c:strCache>
            </c:strRef>
          </c:tx>
          <c:spPr>
            <a:solidFill>
              <a:srgbClr val="1E49E2"/>
            </a:solidFill>
            <a:ln w="3175">
              <a:solidFill>
                <a:srgbClr val="FFFFFF"/>
              </a:solidFill>
              <a:prstDash val="solid"/>
            </a:ln>
            <a:effectLst/>
          </c:spPr>
          <c:invertIfNegative val="0"/>
          <c:dLbls>
            <c:dLbl>
              <c:idx val="5"/>
              <c:layout>
                <c:manualLayout>
                  <c:x val="-1.8191002549676435E-16"/>
                  <c:y val="-5.81038711771203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59-4DED-BAC4-14511288CCA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0000"/>
                    </a:solidFill>
                    <a:latin typeface="Arial"/>
                    <a:ea typeface="Arial"/>
                    <a:cs typeface="Aria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'[TEAP registrars 2018 to 2023 Data anlysis.xlsx]Certified by stream'!$A$16:$A$21</c:f>
              <c:numCache>
                <c:formatCode>General</c:formatCode>
                <c:ptCount val="6"/>
                <c:pt idx="0">
                  <c:v>2018</c:v>
                </c:pt>
                <c:pt idx="1">
                  <c:v>2019</c:v>
                </c:pt>
                <c:pt idx="2">
                  <c:v>2020</c:v>
                </c:pt>
                <c:pt idx="3">
                  <c:v>2021</c:v>
                </c:pt>
                <c:pt idx="4">
                  <c:v>2022</c:v>
                </c:pt>
                <c:pt idx="5">
                  <c:v>2023</c:v>
                </c:pt>
              </c:numCache>
            </c:numRef>
          </c:cat>
          <c:val>
            <c:numRef>
              <c:f>'[TEAP registrars 2018 to 2023 Data anlysis.xlsx]Certified by stream'!$D$16:$D$21</c:f>
              <c:numCache>
                <c:formatCode>General</c:formatCode>
                <c:ptCount val="6"/>
                <c:pt idx="0">
                  <c:v>0</c:v>
                </c:pt>
                <c:pt idx="1">
                  <c:v>0</c:v>
                </c:pt>
                <c:pt idx="2">
                  <c:v>1</c:v>
                </c:pt>
                <c:pt idx="3">
                  <c:v>0</c:v>
                </c:pt>
                <c:pt idx="4">
                  <c:v>1</c:v>
                </c:pt>
                <c:pt idx="5">
                  <c:v>2</c:v>
                </c:pt>
              </c:numCache>
            </c:numRef>
          </c:val>
          <c:extLst>
            <c:ext xmlns:c16="http://schemas.microsoft.com/office/drawing/2014/chart" uri="{C3380CC4-5D6E-409C-BE32-E72D297353CC}">
              <c16:uniqueId val="{00000003-7559-4DED-BAC4-14511288CCA0}"/>
            </c:ext>
          </c:extLst>
        </c:ser>
        <c:dLbls>
          <c:dLblPos val="inBase"/>
          <c:showLegendKey val="0"/>
          <c:showVal val="1"/>
          <c:showCatName val="0"/>
          <c:showSerName val="0"/>
          <c:showPercent val="0"/>
          <c:showBubbleSize val="0"/>
        </c:dLbls>
        <c:gapWidth val="40"/>
        <c:overlap val="100"/>
        <c:axId val="778598159"/>
        <c:axId val="778598639"/>
      </c:barChart>
      <c:catAx>
        <c:axId val="778598159"/>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78598639"/>
        <c:crosses val="autoZero"/>
        <c:auto val="1"/>
        <c:lblAlgn val="ctr"/>
        <c:lblOffset val="100"/>
        <c:noMultiLvlLbl val="0"/>
      </c:catAx>
      <c:valAx>
        <c:axId val="778598639"/>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TEAP Completion</a:t>
                </a:r>
              </a:p>
            </c:rich>
          </c:tx>
          <c:layout>
            <c:manualLayout>
              <c:xMode val="edge"/>
              <c:yMode val="edge"/>
              <c:x val="2.5714285714285714E-2"/>
              <c:y val="0.3204108804581245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78598159"/>
        <c:crosses val="autoZero"/>
        <c:crossBetween val="between"/>
      </c:valAx>
      <c:spPr>
        <a:noFill/>
        <a:ln w="25400">
          <a:noFill/>
        </a:ln>
        <a:effectLst/>
      </c:spPr>
    </c:plotArea>
    <c:legend>
      <c:legendPos val="b"/>
      <c:layout>
        <c:manualLayout>
          <c:xMode val="edge"/>
          <c:yMode val="edge"/>
          <c:x val="0.30276430446194225"/>
          <c:y val="0.90269841269841267"/>
          <c:w val="0.46174278215223097"/>
          <c:h val="6.5652130310454665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8862211895641"/>
          <c:y val="7.0306728704366508E-2"/>
          <c:w val="0.82719705118827358"/>
          <c:h val="0.75577666428060131"/>
        </c:manualLayout>
      </c:layout>
      <c:barChart>
        <c:barDir val="col"/>
        <c:grouping val="clustered"/>
        <c:varyColors val="0"/>
        <c:ser>
          <c:idx val="0"/>
          <c:order val="0"/>
          <c:tx>
            <c:strRef>
              <c:f>'[TEAP registrars 2018 to 2023 Data anlysis.xlsx]Sheet1'!$L$14</c:f>
              <c:strCache>
                <c:ptCount val="1"/>
                <c:pt idx="0">
                  <c:v>DIMP</c:v>
                </c:pt>
              </c:strCache>
            </c:strRef>
          </c:tx>
          <c:spPr>
            <a:solidFill>
              <a:srgbClr val="00338D"/>
            </a:solidFill>
            <a:ln w="3175">
              <a:solidFill>
                <a:srgbClr val="FFFFFF"/>
              </a:solidFill>
              <a:prstDash val="solid"/>
            </a:ln>
            <a:effectLst/>
          </c:spPr>
          <c:invertIfNegative val="0"/>
          <c:cat>
            <c:numRef>
              <c:f>'[TEAP registrars 2018 to 2023 Data anlysis.xlsx]Sheet1'!$K$15:$K$20</c:f>
              <c:numCache>
                <c:formatCode>General</c:formatCode>
                <c:ptCount val="6"/>
                <c:pt idx="0">
                  <c:v>2018</c:v>
                </c:pt>
                <c:pt idx="1">
                  <c:v>2019</c:v>
                </c:pt>
                <c:pt idx="2">
                  <c:v>2020</c:v>
                </c:pt>
                <c:pt idx="3">
                  <c:v>2021</c:v>
                </c:pt>
                <c:pt idx="4">
                  <c:v>2022</c:v>
                </c:pt>
                <c:pt idx="5">
                  <c:v>2023</c:v>
                </c:pt>
              </c:numCache>
            </c:numRef>
          </c:cat>
          <c:val>
            <c:numRef>
              <c:f>'[TEAP registrars 2018 to 2023 Data anlysis.xlsx]Sheet1'!$L$15:$L$20</c:f>
              <c:numCache>
                <c:formatCode>General</c:formatCode>
                <c:ptCount val="6"/>
                <c:pt idx="0">
                  <c:v>1</c:v>
                </c:pt>
                <c:pt idx="1">
                  <c:v>2</c:v>
                </c:pt>
                <c:pt idx="2">
                  <c:v>3</c:v>
                </c:pt>
                <c:pt idx="3">
                  <c:v>0</c:v>
                </c:pt>
                <c:pt idx="4">
                  <c:v>2</c:v>
                </c:pt>
                <c:pt idx="5">
                  <c:v>1</c:v>
                </c:pt>
              </c:numCache>
            </c:numRef>
          </c:val>
          <c:extLst>
            <c:ext xmlns:c16="http://schemas.microsoft.com/office/drawing/2014/chart" uri="{C3380CC4-5D6E-409C-BE32-E72D297353CC}">
              <c16:uniqueId val="{00000000-9BE4-4D08-9235-5ACF5ED991BC}"/>
            </c:ext>
          </c:extLst>
        </c:ser>
        <c:ser>
          <c:idx val="1"/>
          <c:order val="1"/>
          <c:tx>
            <c:strRef>
              <c:f>'[TEAP registrars 2018 to 2023 Data anlysis.xlsx]Sheet1'!$M$14</c:f>
              <c:strCache>
                <c:ptCount val="1"/>
                <c:pt idx="0">
                  <c:v>ROMP</c:v>
                </c:pt>
              </c:strCache>
            </c:strRef>
          </c:tx>
          <c:spPr>
            <a:solidFill>
              <a:srgbClr val="00B8F5"/>
            </a:solidFill>
            <a:ln w="3175">
              <a:solidFill>
                <a:srgbClr val="FFFFFF"/>
              </a:solidFill>
              <a:prstDash val="solid"/>
            </a:ln>
            <a:effectLst/>
          </c:spPr>
          <c:invertIfNegative val="0"/>
          <c:cat>
            <c:numRef>
              <c:f>'[TEAP registrars 2018 to 2023 Data anlysis.xlsx]Sheet1'!$K$15:$K$20</c:f>
              <c:numCache>
                <c:formatCode>General</c:formatCode>
                <c:ptCount val="6"/>
                <c:pt idx="0">
                  <c:v>2018</c:v>
                </c:pt>
                <c:pt idx="1">
                  <c:v>2019</c:v>
                </c:pt>
                <c:pt idx="2">
                  <c:v>2020</c:v>
                </c:pt>
                <c:pt idx="3">
                  <c:v>2021</c:v>
                </c:pt>
                <c:pt idx="4">
                  <c:v>2022</c:v>
                </c:pt>
                <c:pt idx="5">
                  <c:v>2023</c:v>
                </c:pt>
              </c:numCache>
            </c:numRef>
          </c:cat>
          <c:val>
            <c:numRef>
              <c:f>'[TEAP registrars 2018 to 2023 Data anlysis.xlsx]Sheet1'!$M$15:$M$20</c:f>
              <c:numCache>
                <c:formatCode>General</c:formatCode>
                <c:ptCount val="6"/>
                <c:pt idx="0">
                  <c:v>0</c:v>
                </c:pt>
                <c:pt idx="1">
                  <c:v>3</c:v>
                </c:pt>
                <c:pt idx="2">
                  <c:v>3</c:v>
                </c:pt>
                <c:pt idx="3">
                  <c:v>1</c:v>
                </c:pt>
                <c:pt idx="4">
                  <c:v>6</c:v>
                </c:pt>
                <c:pt idx="5">
                  <c:v>1</c:v>
                </c:pt>
              </c:numCache>
            </c:numRef>
          </c:val>
          <c:extLst>
            <c:ext xmlns:c16="http://schemas.microsoft.com/office/drawing/2014/chart" uri="{C3380CC4-5D6E-409C-BE32-E72D297353CC}">
              <c16:uniqueId val="{00000001-9BE4-4D08-9235-5ACF5ED991BC}"/>
            </c:ext>
          </c:extLst>
        </c:ser>
        <c:ser>
          <c:idx val="2"/>
          <c:order val="2"/>
          <c:tx>
            <c:strRef>
              <c:f>'[TEAP registrars 2018 to 2023 Data anlysis.xlsx]Sheet1'!$N$14</c:f>
              <c:strCache>
                <c:ptCount val="1"/>
                <c:pt idx="0">
                  <c:v>RPS</c:v>
                </c:pt>
              </c:strCache>
            </c:strRef>
          </c:tx>
          <c:spPr>
            <a:solidFill>
              <a:srgbClr val="1E49E2"/>
            </a:solidFill>
            <a:ln w="3175">
              <a:solidFill>
                <a:srgbClr val="FFFFFF"/>
              </a:solidFill>
              <a:prstDash val="solid"/>
            </a:ln>
            <a:effectLst/>
          </c:spPr>
          <c:invertIfNegative val="0"/>
          <c:cat>
            <c:numRef>
              <c:f>'[TEAP registrars 2018 to 2023 Data anlysis.xlsx]Sheet1'!$K$15:$K$20</c:f>
              <c:numCache>
                <c:formatCode>General</c:formatCode>
                <c:ptCount val="6"/>
                <c:pt idx="0">
                  <c:v>2018</c:v>
                </c:pt>
                <c:pt idx="1">
                  <c:v>2019</c:v>
                </c:pt>
                <c:pt idx="2">
                  <c:v>2020</c:v>
                </c:pt>
                <c:pt idx="3">
                  <c:v>2021</c:v>
                </c:pt>
                <c:pt idx="4">
                  <c:v>2022</c:v>
                </c:pt>
                <c:pt idx="5">
                  <c:v>2023</c:v>
                </c:pt>
              </c:numCache>
            </c:numRef>
          </c:cat>
          <c:val>
            <c:numRef>
              <c:f>'[TEAP registrars 2018 to 2023 Data anlysis.xlsx]Sheet1'!$N$15:$N$20</c:f>
              <c:numCache>
                <c:formatCode>General</c:formatCode>
                <c:ptCount val="6"/>
                <c:pt idx="0">
                  <c:v>0</c:v>
                </c:pt>
                <c:pt idx="1">
                  <c:v>1</c:v>
                </c:pt>
                <c:pt idx="2">
                  <c:v>1</c:v>
                </c:pt>
                <c:pt idx="3">
                  <c:v>0</c:v>
                </c:pt>
                <c:pt idx="4">
                  <c:v>2</c:v>
                </c:pt>
                <c:pt idx="5">
                  <c:v>0</c:v>
                </c:pt>
              </c:numCache>
            </c:numRef>
          </c:val>
          <c:extLst>
            <c:ext xmlns:c16="http://schemas.microsoft.com/office/drawing/2014/chart" uri="{C3380CC4-5D6E-409C-BE32-E72D297353CC}">
              <c16:uniqueId val="{00000002-9BE4-4D08-9235-5ACF5ED991BC}"/>
            </c:ext>
          </c:extLst>
        </c:ser>
        <c:dLbls>
          <c:showLegendKey val="0"/>
          <c:showVal val="0"/>
          <c:showCatName val="0"/>
          <c:showSerName val="0"/>
          <c:showPercent val="0"/>
          <c:showBubbleSize val="0"/>
        </c:dLbls>
        <c:gapWidth val="40"/>
        <c:axId val="1812463103"/>
        <c:axId val="1812463583"/>
      </c:barChart>
      <c:catAx>
        <c:axId val="1812463103"/>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812463583"/>
        <c:crosses val="autoZero"/>
        <c:auto val="1"/>
        <c:lblAlgn val="ctr"/>
        <c:lblOffset val="100"/>
        <c:noMultiLvlLbl val="0"/>
      </c:catAx>
      <c:valAx>
        <c:axId val="1812463583"/>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Registrars</a:t>
                </a:r>
              </a:p>
            </c:rich>
          </c:tx>
          <c:layout>
            <c:manualLayout>
              <c:xMode val="edge"/>
              <c:yMode val="edge"/>
              <c:x val="2.5714285714285714E-2"/>
              <c:y val="0.3204108804581245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812463103"/>
        <c:crosses val="autoZero"/>
        <c:crossBetween val="between"/>
      </c:valAx>
      <c:spPr>
        <a:noFill/>
        <a:ln w="25400">
          <a:noFill/>
        </a:ln>
        <a:effectLst/>
      </c:spPr>
    </c:plotArea>
    <c:legend>
      <c:legendPos val="b"/>
      <c:layout>
        <c:manualLayout>
          <c:xMode val="edge"/>
          <c:yMode val="edge"/>
          <c:x val="0.35378762654668167"/>
          <c:y val="0.90454545454545454"/>
          <c:w val="0.49760423389699232"/>
          <c:h val="6.7479957050823186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5802476363317"/>
          <c:y val="8.4375919216101006E-2"/>
          <c:w val="0.85934936704340525"/>
          <c:h val="0.72317090256956318"/>
        </c:manualLayout>
      </c:layout>
      <c:barChart>
        <c:barDir val="col"/>
        <c:grouping val="clustered"/>
        <c:varyColors val="0"/>
        <c:ser>
          <c:idx val="0"/>
          <c:order val="0"/>
          <c:tx>
            <c:strRef>
              <c:f>'Workforce analysis'!$O$4</c:f>
              <c:strCache>
                <c:ptCount val="1"/>
                <c:pt idx="0">
                  <c:v>DIMP - Nuclear Medicine</c:v>
                </c:pt>
              </c:strCache>
            </c:strRef>
          </c:tx>
          <c:spPr>
            <a:solidFill>
              <a:srgbClr val="00338D"/>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'Workforce analysis'!$N$5:$N$11</c:f>
              <c:numCache>
                <c:formatCode>General</c:formatCode>
                <c:ptCount val="7"/>
                <c:pt idx="0">
                  <c:v>2018</c:v>
                </c:pt>
                <c:pt idx="1">
                  <c:v>2019</c:v>
                </c:pt>
                <c:pt idx="2">
                  <c:v>2020</c:v>
                </c:pt>
                <c:pt idx="3">
                  <c:v>2021</c:v>
                </c:pt>
                <c:pt idx="4">
                  <c:v>2022</c:v>
                </c:pt>
                <c:pt idx="5">
                  <c:v>2023</c:v>
                </c:pt>
                <c:pt idx="6">
                  <c:v>2024</c:v>
                </c:pt>
              </c:numCache>
            </c:numRef>
          </c:cat>
          <c:val>
            <c:numRef>
              <c:f>'Workforce analysis'!$O$5:$O$11</c:f>
              <c:numCache>
                <c:formatCode>General</c:formatCode>
                <c:ptCount val="7"/>
                <c:pt idx="0">
                  <c:v>1</c:v>
                </c:pt>
                <c:pt idx="1">
                  <c:v>11</c:v>
                </c:pt>
                <c:pt idx="2">
                  <c:v>3</c:v>
                </c:pt>
                <c:pt idx="3">
                  <c:v>5</c:v>
                </c:pt>
                <c:pt idx="4">
                  <c:v>3</c:v>
                </c:pt>
                <c:pt idx="5">
                  <c:v>4</c:v>
                </c:pt>
                <c:pt idx="6">
                  <c:v>1</c:v>
                </c:pt>
              </c:numCache>
            </c:numRef>
          </c:val>
          <c:extLst>
            <c:ext xmlns:c16="http://schemas.microsoft.com/office/drawing/2014/chart" uri="{C3380CC4-5D6E-409C-BE32-E72D297353CC}">
              <c16:uniqueId val="{00000000-FE52-4AE0-9DAD-176B20964A32}"/>
            </c:ext>
          </c:extLst>
        </c:ser>
        <c:ser>
          <c:idx val="1"/>
          <c:order val="1"/>
          <c:tx>
            <c:strRef>
              <c:f>'Workforce analysis'!$P$4</c:f>
              <c:strCache>
                <c:ptCount val="1"/>
                <c:pt idx="0">
                  <c:v>DIMP - Radiology</c:v>
                </c:pt>
              </c:strCache>
            </c:strRef>
          </c:tx>
          <c:spPr>
            <a:solidFill>
              <a:srgbClr val="00B8F5"/>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'Workforce analysis'!$N$5:$N$11</c:f>
              <c:numCache>
                <c:formatCode>General</c:formatCode>
                <c:ptCount val="7"/>
                <c:pt idx="0">
                  <c:v>2018</c:v>
                </c:pt>
                <c:pt idx="1">
                  <c:v>2019</c:v>
                </c:pt>
                <c:pt idx="2">
                  <c:v>2020</c:v>
                </c:pt>
                <c:pt idx="3">
                  <c:v>2021</c:v>
                </c:pt>
                <c:pt idx="4">
                  <c:v>2022</c:v>
                </c:pt>
                <c:pt idx="5">
                  <c:v>2023</c:v>
                </c:pt>
                <c:pt idx="6">
                  <c:v>2024</c:v>
                </c:pt>
              </c:numCache>
            </c:numRef>
          </c:cat>
          <c:val>
            <c:numRef>
              <c:f>'Workforce analysis'!$P$5:$P$11</c:f>
              <c:numCache>
                <c:formatCode>General</c:formatCode>
                <c:ptCount val="7"/>
                <c:pt idx="0">
                  <c:v>3</c:v>
                </c:pt>
                <c:pt idx="1">
                  <c:v>10</c:v>
                </c:pt>
                <c:pt idx="2">
                  <c:v>4</c:v>
                </c:pt>
                <c:pt idx="3">
                  <c:v>4</c:v>
                </c:pt>
                <c:pt idx="4">
                  <c:v>6</c:v>
                </c:pt>
                <c:pt idx="5">
                  <c:v>5</c:v>
                </c:pt>
                <c:pt idx="6">
                  <c:v>7</c:v>
                </c:pt>
              </c:numCache>
            </c:numRef>
          </c:val>
          <c:extLst>
            <c:ext xmlns:c16="http://schemas.microsoft.com/office/drawing/2014/chart" uri="{C3380CC4-5D6E-409C-BE32-E72D297353CC}">
              <c16:uniqueId val="{00000001-FE52-4AE0-9DAD-176B20964A32}"/>
            </c:ext>
          </c:extLst>
        </c:ser>
        <c:ser>
          <c:idx val="2"/>
          <c:order val="2"/>
          <c:tx>
            <c:strRef>
              <c:f>'Workforce analysis'!$Q$4</c:f>
              <c:strCache>
                <c:ptCount val="1"/>
                <c:pt idx="0">
                  <c:v>ROMP</c:v>
                </c:pt>
              </c:strCache>
            </c:strRef>
          </c:tx>
          <c:spPr>
            <a:solidFill>
              <a:srgbClr val="1E49E2"/>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'Workforce analysis'!$N$5:$N$11</c:f>
              <c:numCache>
                <c:formatCode>General</c:formatCode>
                <c:ptCount val="7"/>
                <c:pt idx="0">
                  <c:v>2018</c:v>
                </c:pt>
                <c:pt idx="1">
                  <c:v>2019</c:v>
                </c:pt>
                <c:pt idx="2">
                  <c:v>2020</c:v>
                </c:pt>
                <c:pt idx="3">
                  <c:v>2021</c:v>
                </c:pt>
                <c:pt idx="4">
                  <c:v>2022</c:v>
                </c:pt>
                <c:pt idx="5">
                  <c:v>2023</c:v>
                </c:pt>
                <c:pt idx="6">
                  <c:v>2024</c:v>
                </c:pt>
              </c:numCache>
            </c:numRef>
          </c:cat>
          <c:val>
            <c:numRef>
              <c:f>'Workforce analysis'!$Q$5:$Q$11</c:f>
              <c:numCache>
                <c:formatCode>General</c:formatCode>
                <c:ptCount val="7"/>
                <c:pt idx="0">
                  <c:v>25</c:v>
                </c:pt>
                <c:pt idx="1">
                  <c:v>67</c:v>
                </c:pt>
                <c:pt idx="2">
                  <c:v>28</c:v>
                </c:pt>
                <c:pt idx="3">
                  <c:v>31</c:v>
                </c:pt>
                <c:pt idx="4">
                  <c:v>32</c:v>
                </c:pt>
                <c:pt idx="5">
                  <c:v>30</c:v>
                </c:pt>
                <c:pt idx="6">
                  <c:v>9</c:v>
                </c:pt>
              </c:numCache>
            </c:numRef>
          </c:val>
          <c:extLst>
            <c:ext xmlns:c16="http://schemas.microsoft.com/office/drawing/2014/chart" uri="{C3380CC4-5D6E-409C-BE32-E72D297353CC}">
              <c16:uniqueId val="{00000002-FE52-4AE0-9DAD-176B20964A32}"/>
            </c:ext>
          </c:extLst>
        </c:ser>
        <c:ser>
          <c:idx val="3"/>
          <c:order val="3"/>
          <c:tx>
            <c:strRef>
              <c:f>'Workforce analysis'!$R$4</c:f>
              <c:strCache>
                <c:ptCount val="1"/>
                <c:pt idx="0">
                  <c:v>RPS</c:v>
                </c:pt>
              </c:strCache>
            </c:strRef>
          </c:tx>
          <c:spPr>
            <a:solidFill>
              <a:srgbClr val="76D2FF"/>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'Workforce analysis'!$N$5:$N$11</c:f>
              <c:numCache>
                <c:formatCode>General</c:formatCode>
                <c:ptCount val="7"/>
                <c:pt idx="0">
                  <c:v>2018</c:v>
                </c:pt>
                <c:pt idx="1">
                  <c:v>2019</c:v>
                </c:pt>
                <c:pt idx="2">
                  <c:v>2020</c:v>
                </c:pt>
                <c:pt idx="3">
                  <c:v>2021</c:v>
                </c:pt>
                <c:pt idx="4">
                  <c:v>2022</c:v>
                </c:pt>
                <c:pt idx="5">
                  <c:v>2023</c:v>
                </c:pt>
                <c:pt idx="6">
                  <c:v>2024</c:v>
                </c:pt>
              </c:numCache>
            </c:numRef>
          </c:cat>
          <c:val>
            <c:numRef>
              <c:f>'Workforce analysis'!$R$5:$R$11</c:f>
              <c:numCache>
                <c:formatCode>General</c:formatCode>
                <c:ptCount val="7"/>
                <c:pt idx="0">
                  <c:v>6</c:v>
                </c:pt>
                <c:pt idx="1">
                  <c:v>6</c:v>
                </c:pt>
                <c:pt idx="2">
                  <c:v>6</c:v>
                </c:pt>
                <c:pt idx="3">
                  <c:v>10</c:v>
                </c:pt>
                <c:pt idx="4">
                  <c:v>1</c:v>
                </c:pt>
                <c:pt idx="5">
                  <c:v>2</c:v>
                </c:pt>
                <c:pt idx="6">
                  <c:v>2</c:v>
                </c:pt>
              </c:numCache>
            </c:numRef>
          </c:val>
          <c:extLst>
            <c:ext xmlns:c16="http://schemas.microsoft.com/office/drawing/2014/chart" uri="{C3380CC4-5D6E-409C-BE32-E72D297353CC}">
              <c16:uniqueId val="{00000003-FE52-4AE0-9DAD-176B20964A32}"/>
            </c:ext>
          </c:extLst>
        </c:ser>
        <c:dLbls>
          <c:dLblPos val="outEnd"/>
          <c:showLegendKey val="0"/>
          <c:showVal val="1"/>
          <c:showCatName val="0"/>
          <c:showSerName val="0"/>
          <c:showPercent val="0"/>
          <c:showBubbleSize val="0"/>
        </c:dLbls>
        <c:gapWidth val="40"/>
        <c:axId val="483454287"/>
        <c:axId val="483437967"/>
      </c:barChart>
      <c:catAx>
        <c:axId val="483454287"/>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en-US"/>
          </a:p>
        </c:txPr>
        <c:crossAx val="483437967"/>
        <c:crosses val="autoZero"/>
        <c:auto val="1"/>
        <c:lblAlgn val="ctr"/>
        <c:lblOffset val="100"/>
        <c:noMultiLvlLbl val="0"/>
      </c:catAx>
      <c:valAx>
        <c:axId val="483437967"/>
        <c:scaling>
          <c:orientation val="minMax"/>
        </c:scaling>
        <c:delete val="0"/>
        <c:axPos val="l"/>
        <c:title>
          <c:tx>
            <c:rich>
              <a:bodyPr rot="-5400000" vert="horz"/>
              <a:lstStyle/>
              <a:p>
                <a:pPr>
                  <a:defRPr>
                    <a:solidFill>
                      <a:srgbClr val="000000"/>
                    </a:solidFill>
                  </a:defRPr>
                </a:pPr>
                <a:r>
                  <a:rPr lang="en-AU"/>
                  <a:t>Number of registrations</a:t>
                </a:r>
              </a:p>
            </c:rich>
          </c:tx>
          <c:layout>
            <c:manualLayout>
              <c:xMode val="edge"/>
              <c:yMode val="edge"/>
              <c:x val="2.5703270027131228E-2"/>
              <c:y val="0.31389304968836079"/>
            </c:manualLayout>
          </c:layout>
          <c:overlay val="0"/>
        </c:title>
        <c:numFmt formatCode="General" sourceLinked="1"/>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483454287"/>
        <c:crosses val="autoZero"/>
        <c:crossBetween val="between"/>
      </c:valAx>
      <c:spPr>
        <a:noFill/>
        <a:ln w="25400">
          <a:noFill/>
        </a:ln>
      </c:spPr>
    </c:plotArea>
    <c:legend>
      <c:legendPos val="b"/>
      <c:layout>
        <c:manualLayout>
          <c:xMode val="edge"/>
          <c:yMode val="edge"/>
          <c:x val="0.12296253931941664"/>
          <c:y val="0.88181713740043655"/>
          <c:w val="0.76777461598866703"/>
          <c:h val="6.529841958561225E-2"/>
        </c:manualLayout>
      </c:layout>
      <c:overlay val="0"/>
      <c:spPr>
        <a:noFill/>
        <a:ln w="25400">
          <a:noFill/>
        </a:ln>
      </c:spPr>
      <c:txPr>
        <a:bodyPr/>
        <a:lstStyle/>
        <a:p>
          <a:pPr>
            <a:defRPr>
              <a:solidFill>
                <a:srgbClr val="000000"/>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815269906548312E-2"/>
          <c:y val="8.7863979090692199E-2"/>
          <c:w val="0.86826017437475489"/>
          <c:h val="0.72030021970020086"/>
        </c:manualLayout>
      </c:layout>
      <c:barChart>
        <c:barDir val="col"/>
        <c:grouping val="percentStacked"/>
        <c:varyColors val="0"/>
        <c:ser>
          <c:idx val="0"/>
          <c:order val="0"/>
          <c:tx>
            <c:strRef>
              <c:f>'Registration date'!$A$18</c:f>
              <c:strCache>
                <c:ptCount val="1"/>
                <c:pt idx="0">
                  <c:v>TEAP </c:v>
                </c:pt>
              </c:strCache>
            </c:strRef>
          </c:tx>
          <c:spPr>
            <a:solidFill>
              <a:srgbClr val="00338D"/>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'Registration date'!$B$17:$E$17</c:f>
              <c:strCache>
                <c:ptCount val="4"/>
                <c:pt idx="0">
                  <c:v>DIMP - Nuclear Medicine</c:v>
                </c:pt>
                <c:pt idx="1">
                  <c:v>DIMP - Radiology</c:v>
                </c:pt>
                <c:pt idx="2">
                  <c:v>ROMP</c:v>
                </c:pt>
                <c:pt idx="3">
                  <c:v>RPS</c:v>
                </c:pt>
              </c:strCache>
            </c:strRef>
          </c:cat>
          <c:val>
            <c:numRef>
              <c:f>'Registration date'!$B$18:$E$18</c:f>
              <c:numCache>
                <c:formatCode>General</c:formatCode>
                <c:ptCount val="4"/>
                <c:pt idx="0">
                  <c:v>17</c:v>
                </c:pt>
                <c:pt idx="1">
                  <c:v>22</c:v>
                </c:pt>
                <c:pt idx="2">
                  <c:v>132</c:v>
                </c:pt>
                <c:pt idx="3">
                  <c:v>6</c:v>
                </c:pt>
              </c:numCache>
            </c:numRef>
          </c:val>
          <c:extLst>
            <c:ext xmlns:c16="http://schemas.microsoft.com/office/drawing/2014/chart" uri="{C3380CC4-5D6E-409C-BE32-E72D297353CC}">
              <c16:uniqueId val="{00000000-2407-4454-9B74-0C4F217FEE12}"/>
            </c:ext>
          </c:extLst>
        </c:ser>
        <c:ser>
          <c:idx val="1"/>
          <c:order val="1"/>
          <c:tx>
            <c:strRef>
              <c:f>'Registration date'!$A$19</c:f>
              <c:strCache>
                <c:ptCount val="1"/>
                <c:pt idx="0">
                  <c:v>Other pathways</c:v>
                </c:pt>
              </c:strCache>
            </c:strRef>
          </c:tx>
          <c:spPr>
            <a:solidFill>
              <a:srgbClr val="00B8F5"/>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'Registration date'!$B$17:$E$17</c:f>
              <c:strCache>
                <c:ptCount val="4"/>
                <c:pt idx="0">
                  <c:v>DIMP - Nuclear Medicine</c:v>
                </c:pt>
                <c:pt idx="1">
                  <c:v>DIMP - Radiology</c:v>
                </c:pt>
                <c:pt idx="2">
                  <c:v>ROMP</c:v>
                </c:pt>
                <c:pt idx="3">
                  <c:v>RPS</c:v>
                </c:pt>
              </c:strCache>
            </c:strRef>
          </c:cat>
          <c:val>
            <c:numRef>
              <c:f>'Registration date'!$B$19:$E$19</c:f>
              <c:numCache>
                <c:formatCode>General</c:formatCode>
                <c:ptCount val="4"/>
                <c:pt idx="0">
                  <c:v>11</c:v>
                </c:pt>
                <c:pt idx="1">
                  <c:v>17</c:v>
                </c:pt>
                <c:pt idx="2">
                  <c:v>90</c:v>
                </c:pt>
                <c:pt idx="3">
                  <c:v>27</c:v>
                </c:pt>
              </c:numCache>
            </c:numRef>
          </c:val>
          <c:extLst>
            <c:ext xmlns:c16="http://schemas.microsoft.com/office/drawing/2014/chart" uri="{C3380CC4-5D6E-409C-BE32-E72D297353CC}">
              <c16:uniqueId val="{00000001-2407-4454-9B74-0C4F217FEE12}"/>
            </c:ext>
          </c:extLst>
        </c:ser>
        <c:dLbls>
          <c:dLblPos val="ctr"/>
          <c:showLegendKey val="0"/>
          <c:showVal val="1"/>
          <c:showCatName val="0"/>
          <c:showSerName val="0"/>
          <c:showPercent val="0"/>
          <c:showBubbleSize val="0"/>
        </c:dLbls>
        <c:gapWidth val="40"/>
        <c:overlap val="100"/>
        <c:axId val="1789318095"/>
        <c:axId val="1789319535"/>
      </c:barChart>
      <c:catAx>
        <c:axId val="1789318095"/>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789319535"/>
        <c:crosses val="autoZero"/>
        <c:auto val="1"/>
        <c:lblAlgn val="ctr"/>
        <c:lblOffset val="100"/>
        <c:noMultiLvlLbl val="0"/>
      </c:catAx>
      <c:valAx>
        <c:axId val="1789319535"/>
        <c:scaling>
          <c:orientation val="minMax"/>
        </c:scaling>
        <c:delete val="0"/>
        <c:axPos val="l"/>
        <c:numFmt formatCode="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789318095"/>
        <c:crosses val="autoZero"/>
        <c:crossBetween val="between"/>
      </c:valAx>
      <c:spPr>
        <a:noFill/>
        <a:ln w="25400">
          <a:noFill/>
        </a:ln>
        <a:effectLst/>
      </c:spPr>
    </c:plotArea>
    <c:legend>
      <c:legendPos val="b"/>
      <c:layout>
        <c:manualLayout>
          <c:xMode val="edge"/>
          <c:yMode val="edge"/>
          <c:x val="0.36159836319672639"/>
          <c:y val="0.89896156659452864"/>
          <c:w val="0.29996341992683984"/>
          <c:h val="6.1953419351361935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40977690288713"/>
          <c:y val="8.6443504906714264E-2"/>
          <c:w val="0.78715321522309711"/>
          <c:h val="0.70596967045785941"/>
        </c:manualLayout>
      </c:layout>
      <c:lineChart>
        <c:grouping val="standard"/>
        <c:varyColors val="0"/>
        <c:ser>
          <c:idx val="0"/>
          <c:order val="0"/>
          <c:tx>
            <c:strRef>
              <c:f>Sheet2!$B$29</c:f>
              <c:strCache>
                <c:ptCount val="1"/>
                <c:pt idx="0">
                  <c:v>Successful</c:v>
                </c:pt>
              </c:strCache>
            </c:strRef>
          </c:tx>
          <c:spPr>
            <a:ln w="12700" cap="rnd">
              <a:solidFill>
                <a:srgbClr val="000080"/>
              </a:solidFill>
              <a:prstDash val="solid"/>
              <a:round/>
            </a:ln>
            <a:effectLst/>
          </c:spPr>
          <c:marker>
            <c:symbol val="diamond"/>
            <c:size val="3"/>
            <c:spPr>
              <a:solidFill>
                <a:srgbClr val="000080"/>
              </a:solidFill>
              <a:ln w="9525">
                <a:solidFill>
                  <a:srgbClr val="000080"/>
                </a:solidFill>
                <a:prstDash val="solid"/>
              </a:ln>
              <a:effectLst/>
            </c:spPr>
          </c:marker>
          <c:cat>
            <c:numRef>
              <c:f>Sheet2!$A$30:$A$34</c:f>
              <c:numCache>
                <c:formatCode>General</c:formatCode>
                <c:ptCount val="5"/>
                <c:pt idx="0">
                  <c:v>2018</c:v>
                </c:pt>
                <c:pt idx="1">
                  <c:v>2019</c:v>
                </c:pt>
                <c:pt idx="2">
                  <c:v>2021</c:v>
                </c:pt>
                <c:pt idx="3">
                  <c:v>2022</c:v>
                </c:pt>
                <c:pt idx="4">
                  <c:v>2023</c:v>
                </c:pt>
              </c:numCache>
            </c:numRef>
          </c:cat>
          <c:val>
            <c:numRef>
              <c:f>Sheet2!$B$30:$B$34</c:f>
              <c:numCache>
                <c:formatCode>General</c:formatCode>
                <c:ptCount val="5"/>
                <c:pt idx="0">
                  <c:v>26</c:v>
                </c:pt>
                <c:pt idx="1">
                  <c:v>25</c:v>
                </c:pt>
                <c:pt idx="2">
                  <c:v>17</c:v>
                </c:pt>
                <c:pt idx="3">
                  <c:v>19</c:v>
                </c:pt>
                <c:pt idx="4">
                  <c:v>14</c:v>
                </c:pt>
              </c:numCache>
            </c:numRef>
          </c:val>
          <c:smooth val="0"/>
          <c:extLst>
            <c:ext xmlns:c16="http://schemas.microsoft.com/office/drawing/2014/chart" uri="{C3380CC4-5D6E-409C-BE32-E72D297353CC}">
              <c16:uniqueId val="{00000000-1CDD-47C9-BD79-790D33BD2495}"/>
            </c:ext>
          </c:extLst>
        </c:ser>
        <c:ser>
          <c:idx val="1"/>
          <c:order val="1"/>
          <c:tx>
            <c:strRef>
              <c:f>Sheet2!$C$29</c:f>
              <c:strCache>
                <c:ptCount val="1"/>
                <c:pt idx="0">
                  <c:v>Unsuccessful</c:v>
                </c:pt>
              </c:strCache>
            </c:strRef>
          </c:tx>
          <c:spPr>
            <a:ln w="12700" cap="rnd">
              <a:solidFill>
                <a:srgbClr val="FF00FF"/>
              </a:solidFill>
              <a:prstDash val="solid"/>
              <a:round/>
            </a:ln>
            <a:effectLst/>
          </c:spPr>
          <c:marker>
            <c:symbol val="square"/>
            <c:size val="3"/>
            <c:spPr>
              <a:solidFill>
                <a:srgbClr val="FF00FF"/>
              </a:solidFill>
              <a:ln w="9525">
                <a:solidFill>
                  <a:srgbClr val="FF00FF"/>
                </a:solidFill>
                <a:prstDash val="solid"/>
              </a:ln>
              <a:effectLst/>
            </c:spPr>
          </c:marker>
          <c:cat>
            <c:numRef>
              <c:f>Sheet2!$A$30:$A$34</c:f>
              <c:numCache>
                <c:formatCode>General</c:formatCode>
                <c:ptCount val="5"/>
                <c:pt idx="0">
                  <c:v>2018</c:v>
                </c:pt>
                <c:pt idx="1">
                  <c:v>2019</c:v>
                </c:pt>
                <c:pt idx="2">
                  <c:v>2021</c:v>
                </c:pt>
                <c:pt idx="3">
                  <c:v>2022</c:v>
                </c:pt>
                <c:pt idx="4">
                  <c:v>2023</c:v>
                </c:pt>
              </c:numCache>
            </c:numRef>
          </c:cat>
          <c:val>
            <c:numRef>
              <c:f>Sheet2!$C$30:$C$34</c:f>
              <c:numCache>
                <c:formatCode>General</c:formatCode>
                <c:ptCount val="5"/>
                <c:pt idx="0">
                  <c:v>1</c:v>
                </c:pt>
                <c:pt idx="1">
                  <c:v>3</c:v>
                </c:pt>
                <c:pt idx="2">
                  <c:v>9</c:v>
                </c:pt>
                <c:pt idx="3">
                  <c:v>5</c:v>
                </c:pt>
                <c:pt idx="4">
                  <c:v>1</c:v>
                </c:pt>
              </c:numCache>
            </c:numRef>
          </c:val>
          <c:smooth val="0"/>
          <c:extLst>
            <c:ext xmlns:c16="http://schemas.microsoft.com/office/drawing/2014/chart" uri="{C3380CC4-5D6E-409C-BE32-E72D297353CC}">
              <c16:uniqueId val="{00000001-1CDD-47C9-BD79-790D33BD2495}"/>
            </c:ext>
          </c:extLst>
        </c:ser>
        <c:ser>
          <c:idx val="2"/>
          <c:order val="2"/>
          <c:tx>
            <c:strRef>
              <c:f>Sheet2!$D$29</c:f>
              <c:strCache>
                <c:ptCount val="1"/>
                <c:pt idx="0">
                  <c:v>Total</c:v>
                </c:pt>
              </c:strCache>
            </c:strRef>
          </c:tx>
          <c:spPr>
            <a:ln w="12700" cap="rnd">
              <a:solidFill>
                <a:srgbClr val="1E49E2"/>
              </a:solidFill>
              <a:prstDash val="solid"/>
              <a:round/>
            </a:ln>
            <a:effectLst/>
          </c:spPr>
          <c:marker>
            <c:symbol val="triangle"/>
            <c:size val="3"/>
            <c:spPr>
              <a:solidFill>
                <a:srgbClr val="FFFF00"/>
              </a:solidFill>
              <a:ln w="9525">
                <a:solidFill>
                  <a:srgbClr val="1E49E2"/>
                </a:solidFill>
                <a:prstDash val="solid"/>
              </a:ln>
              <a:effectLst/>
            </c:spPr>
          </c:marker>
          <c:cat>
            <c:numRef>
              <c:f>Sheet2!$A$30:$A$34</c:f>
              <c:numCache>
                <c:formatCode>General</c:formatCode>
                <c:ptCount val="5"/>
                <c:pt idx="0">
                  <c:v>2018</c:v>
                </c:pt>
                <c:pt idx="1">
                  <c:v>2019</c:v>
                </c:pt>
                <c:pt idx="2">
                  <c:v>2021</c:v>
                </c:pt>
                <c:pt idx="3">
                  <c:v>2022</c:v>
                </c:pt>
                <c:pt idx="4">
                  <c:v>2023</c:v>
                </c:pt>
              </c:numCache>
            </c:numRef>
          </c:cat>
          <c:val>
            <c:numRef>
              <c:f>Sheet2!$D$30:$D$34</c:f>
              <c:numCache>
                <c:formatCode>General</c:formatCode>
                <c:ptCount val="5"/>
                <c:pt idx="0">
                  <c:v>27</c:v>
                </c:pt>
                <c:pt idx="1">
                  <c:v>28</c:v>
                </c:pt>
                <c:pt idx="2">
                  <c:v>26</c:v>
                </c:pt>
                <c:pt idx="3">
                  <c:v>24</c:v>
                </c:pt>
                <c:pt idx="4">
                  <c:v>15</c:v>
                </c:pt>
              </c:numCache>
            </c:numRef>
          </c:val>
          <c:smooth val="0"/>
          <c:extLst>
            <c:ext xmlns:c16="http://schemas.microsoft.com/office/drawing/2014/chart" uri="{C3380CC4-5D6E-409C-BE32-E72D297353CC}">
              <c16:uniqueId val="{00000002-1CDD-47C9-BD79-790D33BD2495}"/>
            </c:ext>
          </c:extLst>
        </c:ser>
        <c:dLbls>
          <c:showLegendKey val="0"/>
          <c:showVal val="0"/>
          <c:showCatName val="0"/>
          <c:showSerName val="0"/>
          <c:showPercent val="0"/>
          <c:showBubbleSize val="0"/>
        </c:dLbls>
        <c:marker val="1"/>
        <c:smooth val="0"/>
        <c:axId val="1823101327"/>
        <c:axId val="1823103247"/>
      </c:lineChart>
      <c:catAx>
        <c:axId val="1823101327"/>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823103247"/>
        <c:crosses val="autoZero"/>
        <c:auto val="1"/>
        <c:lblAlgn val="ctr"/>
        <c:lblOffset val="100"/>
        <c:noMultiLvlLbl val="0"/>
      </c:catAx>
      <c:valAx>
        <c:axId val="1823103247"/>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Applications</a:t>
                </a:r>
              </a:p>
            </c:rich>
          </c:tx>
          <c:layout>
            <c:manualLayout>
              <c:xMode val="edge"/>
              <c:yMode val="edge"/>
              <c:x val="2.5725310847506073E-2"/>
              <c:y val="0.3197568323918684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823101327"/>
        <c:crosses val="autoZero"/>
        <c:crossBetween val="midCat"/>
      </c:valAx>
      <c:spPr>
        <a:noFill/>
        <a:ln w="25400">
          <a:noFill/>
        </a:ln>
        <a:effectLst/>
      </c:spPr>
    </c:plotArea>
    <c:legend>
      <c:legendPos val="b"/>
      <c:layout>
        <c:manualLayout>
          <c:xMode val="edge"/>
          <c:yMode val="edge"/>
          <c:x val="0.14810650807838982"/>
          <c:y val="0.91647458840372231"/>
          <c:w val="0.60280898687064888"/>
          <c:h val="6.7664496586969478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53792129194859"/>
          <c:y val="9.2854593175853012E-2"/>
          <c:w val="0.78814836218867135"/>
          <c:h val="0.69151811023622045"/>
        </c:manualLayout>
      </c:layout>
      <c:barChart>
        <c:barDir val="col"/>
        <c:grouping val="clustered"/>
        <c:varyColors val="0"/>
        <c:ser>
          <c:idx val="0"/>
          <c:order val="0"/>
          <c:tx>
            <c:strRef>
              <c:f>Sheet2!$I$18</c:f>
              <c:strCache>
                <c:ptCount val="1"/>
                <c:pt idx="0">
                  <c:v>DIMP</c:v>
                </c:pt>
              </c:strCache>
            </c:strRef>
          </c:tx>
          <c:spPr>
            <a:solidFill>
              <a:srgbClr val="00338D"/>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(Sheet2!$H$19:$H$20,Sheet2!$H$22:$H$24)</c:f>
              <c:strCache>
                <c:ptCount val="5"/>
                <c:pt idx="0">
                  <c:v>2018</c:v>
                </c:pt>
                <c:pt idx="1">
                  <c:v>2019</c:v>
                </c:pt>
                <c:pt idx="2">
                  <c:v>2021</c:v>
                </c:pt>
                <c:pt idx="3">
                  <c:v>2022</c:v>
                </c:pt>
                <c:pt idx="4">
                  <c:v>2023</c:v>
                </c:pt>
              </c:strCache>
              <c:extLst/>
            </c:strRef>
          </c:cat>
          <c:val>
            <c:numRef>
              <c:f>(Sheet2!$I$19:$I$20,Sheet2!$I$22:$I$24)</c:f>
              <c:numCache>
                <c:formatCode>General</c:formatCode>
                <c:ptCount val="5"/>
                <c:pt idx="0">
                  <c:v>8</c:v>
                </c:pt>
                <c:pt idx="1">
                  <c:v>13</c:v>
                </c:pt>
                <c:pt idx="2">
                  <c:v>9</c:v>
                </c:pt>
                <c:pt idx="3">
                  <c:v>5</c:v>
                </c:pt>
                <c:pt idx="4">
                  <c:v>5</c:v>
                </c:pt>
              </c:numCache>
              <c:extLst/>
            </c:numRef>
          </c:val>
          <c:extLst>
            <c:ext xmlns:c16="http://schemas.microsoft.com/office/drawing/2014/chart" uri="{C3380CC4-5D6E-409C-BE32-E72D297353CC}">
              <c16:uniqueId val="{00000000-2489-47A2-BC58-92A0915B6160}"/>
            </c:ext>
          </c:extLst>
        </c:ser>
        <c:ser>
          <c:idx val="1"/>
          <c:order val="1"/>
          <c:tx>
            <c:strRef>
              <c:f>Sheet2!$J$18</c:f>
              <c:strCache>
                <c:ptCount val="1"/>
                <c:pt idx="0">
                  <c:v>ROMP</c:v>
                </c:pt>
              </c:strCache>
            </c:strRef>
          </c:tx>
          <c:spPr>
            <a:solidFill>
              <a:srgbClr val="00B8F5"/>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(Sheet2!$H$19:$H$20,Sheet2!$H$22:$H$24)</c:f>
              <c:strCache>
                <c:ptCount val="5"/>
                <c:pt idx="0">
                  <c:v>2018</c:v>
                </c:pt>
                <c:pt idx="1">
                  <c:v>2019</c:v>
                </c:pt>
                <c:pt idx="2">
                  <c:v>2021</c:v>
                </c:pt>
                <c:pt idx="3">
                  <c:v>2022</c:v>
                </c:pt>
                <c:pt idx="4">
                  <c:v>2023</c:v>
                </c:pt>
              </c:strCache>
              <c:extLst/>
            </c:strRef>
          </c:cat>
          <c:val>
            <c:numRef>
              <c:f>(Sheet2!$J$19:$J$20,Sheet2!$J$22:$J$24)</c:f>
              <c:numCache>
                <c:formatCode>General</c:formatCode>
                <c:ptCount val="5"/>
                <c:pt idx="0">
                  <c:v>15</c:v>
                </c:pt>
                <c:pt idx="1">
                  <c:v>11</c:v>
                </c:pt>
                <c:pt idx="2">
                  <c:v>12</c:v>
                </c:pt>
                <c:pt idx="3">
                  <c:v>16</c:v>
                </c:pt>
                <c:pt idx="4">
                  <c:v>8</c:v>
                </c:pt>
              </c:numCache>
              <c:extLst/>
            </c:numRef>
          </c:val>
          <c:extLst>
            <c:ext xmlns:c16="http://schemas.microsoft.com/office/drawing/2014/chart" uri="{C3380CC4-5D6E-409C-BE32-E72D297353CC}">
              <c16:uniqueId val="{00000001-2489-47A2-BC58-92A0915B6160}"/>
            </c:ext>
          </c:extLst>
        </c:ser>
        <c:ser>
          <c:idx val="2"/>
          <c:order val="2"/>
          <c:tx>
            <c:strRef>
              <c:f>Sheet2!$K$18</c:f>
              <c:strCache>
                <c:ptCount val="1"/>
                <c:pt idx="0">
                  <c:v>RPS</c:v>
                </c:pt>
              </c:strCache>
            </c:strRef>
          </c:tx>
          <c:spPr>
            <a:solidFill>
              <a:srgbClr val="1E49E2"/>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(Sheet2!$H$19:$H$20,Sheet2!$H$22:$H$24)</c:f>
              <c:strCache>
                <c:ptCount val="5"/>
                <c:pt idx="0">
                  <c:v>2018</c:v>
                </c:pt>
                <c:pt idx="1">
                  <c:v>2019</c:v>
                </c:pt>
                <c:pt idx="2">
                  <c:v>2021</c:v>
                </c:pt>
                <c:pt idx="3">
                  <c:v>2022</c:v>
                </c:pt>
                <c:pt idx="4">
                  <c:v>2023</c:v>
                </c:pt>
              </c:strCache>
              <c:extLst/>
            </c:strRef>
          </c:cat>
          <c:val>
            <c:numRef>
              <c:f>(Sheet2!$K$19:$K$20,Sheet2!$K$22:$K$24)</c:f>
              <c:numCache>
                <c:formatCode>General</c:formatCode>
                <c:ptCount val="5"/>
                <c:pt idx="0">
                  <c:v>4</c:v>
                </c:pt>
                <c:pt idx="1">
                  <c:v>4</c:v>
                </c:pt>
                <c:pt idx="2">
                  <c:v>5</c:v>
                </c:pt>
                <c:pt idx="3">
                  <c:v>3</c:v>
                </c:pt>
                <c:pt idx="4">
                  <c:v>2</c:v>
                </c:pt>
              </c:numCache>
              <c:extLst/>
            </c:numRef>
          </c:val>
          <c:extLst>
            <c:ext xmlns:c16="http://schemas.microsoft.com/office/drawing/2014/chart" uri="{C3380CC4-5D6E-409C-BE32-E72D297353CC}">
              <c16:uniqueId val="{00000002-2489-47A2-BC58-92A0915B6160}"/>
            </c:ext>
          </c:extLst>
        </c:ser>
        <c:dLbls>
          <c:dLblPos val="outEnd"/>
          <c:showLegendKey val="0"/>
          <c:showVal val="1"/>
          <c:showCatName val="0"/>
          <c:showSerName val="0"/>
          <c:showPercent val="0"/>
          <c:showBubbleSize val="0"/>
        </c:dLbls>
        <c:gapWidth val="40"/>
        <c:axId val="1192158176"/>
        <c:axId val="1192157696"/>
      </c:barChart>
      <c:catAx>
        <c:axId val="1192158176"/>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192157696"/>
        <c:crosses val="autoZero"/>
        <c:auto val="1"/>
        <c:lblAlgn val="ctr"/>
        <c:lblOffset val="100"/>
        <c:noMultiLvlLbl val="0"/>
      </c:catAx>
      <c:valAx>
        <c:axId val="1192157696"/>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Grants</a:t>
                </a:r>
              </a:p>
            </c:rich>
          </c:tx>
          <c:layout>
            <c:manualLayout>
              <c:xMode val="edge"/>
              <c:yMode val="edge"/>
              <c:x val="2.5670279520821449E-2"/>
              <c:y val="0.3208484010049494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192158176"/>
        <c:crosses val="autoZero"/>
        <c:crossBetween val="between"/>
      </c:valAx>
      <c:spPr>
        <a:noFill/>
        <a:ln w="25400">
          <a:noFill/>
        </a:ln>
        <a:effectLst/>
      </c:spPr>
    </c:plotArea>
    <c:legend>
      <c:legendPos val="b"/>
      <c:layout>
        <c:manualLayout>
          <c:xMode val="edge"/>
          <c:yMode val="edge"/>
          <c:x val="0.37750869607784665"/>
          <c:y val="0.90144731566010294"/>
          <c:w val="0.49922838076612974"/>
          <c:h val="6.7803564974565439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57190809190809189"/>
          <c:h val="1"/>
        </c:manualLayout>
      </c:layout>
      <c:doughnutChart>
        <c:varyColors val="1"/>
        <c:ser>
          <c:idx val="0"/>
          <c:order val="0"/>
          <c:dPt>
            <c:idx val="0"/>
            <c:bubble3D val="0"/>
            <c:spPr>
              <a:solidFill>
                <a:srgbClr val="00338D"/>
              </a:solidFill>
              <a:ln w="3175">
                <a:solidFill>
                  <a:srgbClr val="FFFFFF"/>
                </a:solidFill>
                <a:prstDash val="solid"/>
              </a:ln>
            </c:spPr>
            <c:extLst>
              <c:ext xmlns:c16="http://schemas.microsoft.com/office/drawing/2014/chart" uri="{C3380CC4-5D6E-409C-BE32-E72D297353CC}">
                <c16:uniqueId val="{00000001-6E51-4204-9678-168442C87E07}"/>
              </c:ext>
            </c:extLst>
          </c:dPt>
          <c:dPt>
            <c:idx val="1"/>
            <c:bubble3D val="0"/>
            <c:spPr>
              <a:solidFill>
                <a:srgbClr val="00B8F5"/>
              </a:solidFill>
              <a:ln w="3175">
                <a:solidFill>
                  <a:srgbClr val="FFFFFF"/>
                </a:solidFill>
                <a:prstDash val="solid"/>
              </a:ln>
            </c:spPr>
            <c:extLst>
              <c:ext xmlns:c16="http://schemas.microsoft.com/office/drawing/2014/chart" uri="{C3380CC4-5D6E-409C-BE32-E72D297353CC}">
                <c16:uniqueId val="{00000003-6E51-4204-9678-168442C87E07}"/>
              </c:ext>
            </c:extLst>
          </c:dPt>
          <c:dPt>
            <c:idx val="2"/>
            <c:bubble3D val="0"/>
            <c:spPr>
              <a:solidFill>
                <a:srgbClr val="1E49E2"/>
              </a:solidFill>
              <a:ln w="3175">
                <a:solidFill>
                  <a:srgbClr val="FFFFFF"/>
                </a:solidFill>
                <a:prstDash val="solid"/>
              </a:ln>
            </c:spPr>
            <c:extLst>
              <c:ext xmlns:c16="http://schemas.microsoft.com/office/drawing/2014/chart" uri="{C3380CC4-5D6E-409C-BE32-E72D297353CC}">
                <c16:uniqueId val="{00000005-6E51-4204-9678-168442C87E07}"/>
              </c:ext>
            </c:extLst>
          </c:dPt>
          <c:dLbls>
            <c:dLbl>
              <c:idx val="0"/>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1-6E51-4204-9678-168442C87E07}"/>
                </c:ext>
              </c:extLst>
            </c:dLbl>
            <c:dLbl>
              <c:idx val="1"/>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3-6E51-4204-9678-168442C87E07}"/>
                </c:ext>
              </c:extLst>
            </c:dLbl>
            <c:dLbl>
              <c:idx val="2"/>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5-6E51-4204-9678-168442C87E07}"/>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Delivery!$B$110:$B$114</c:f>
              <c:strCache>
                <c:ptCount val="5"/>
                <c:pt idx="0">
                  <c:v>Strongly agree</c:v>
                </c:pt>
                <c:pt idx="1">
                  <c:v>Somewhat agree</c:v>
                </c:pt>
                <c:pt idx="2">
                  <c:v>Neither agree nor disagree</c:v>
                </c:pt>
                <c:pt idx="3">
                  <c:v>Somewhat disagree</c:v>
                </c:pt>
                <c:pt idx="4">
                  <c:v>Strongly disagree</c:v>
                </c:pt>
              </c:strCache>
            </c:strRef>
          </c:cat>
          <c:val>
            <c:numRef>
              <c:f>Delivery!$C$110:$C$114</c:f>
              <c:numCache>
                <c:formatCode>General</c:formatCode>
                <c:ptCount val="5"/>
                <c:pt idx="0">
                  <c:v>33</c:v>
                </c:pt>
                <c:pt idx="1">
                  <c:v>8</c:v>
                </c:pt>
                <c:pt idx="2">
                  <c:v>7</c:v>
                </c:pt>
                <c:pt idx="3">
                  <c:v>6</c:v>
                </c:pt>
                <c:pt idx="4">
                  <c:v>6</c:v>
                </c:pt>
              </c:numCache>
            </c:numRef>
          </c:val>
          <c:extLst>
            <c:ext xmlns:c16="http://schemas.microsoft.com/office/drawing/2014/chart" uri="{C3380CC4-5D6E-409C-BE32-E72D297353CC}">
              <c16:uniqueId val="{00000006-6E51-4204-9678-168442C87E07}"/>
            </c:ext>
          </c:extLst>
        </c:ser>
        <c:dLbls>
          <c:showLegendKey val="0"/>
          <c:showVal val="0"/>
          <c:showCatName val="0"/>
          <c:showSerName val="0"/>
          <c:showPercent val="0"/>
          <c:showBubbleSize val="0"/>
          <c:showLeaderLines val="1"/>
        </c:dLbls>
        <c:firstSliceAng val="0"/>
        <c:holeSize val="50"/>
      </c:doughnutChart>
      <c:spPr>
        <a:noFill/>
        <a:ln w="25400">
          <a:noFill/>
        </a:ln>
      </c:spPr>
    </c:plotArea>
    <c:legend>
      <c:legendPos val="r"/>
      <c:layout>
        <c:manualLayout>
          <c:xMode val="edge"/>
          <c:yMode val="edge"/>
          <c:x val="0.63733557780801886"/>
          <c:y val="0.26702936885364575"/>
          <c:w val="0.33868839821595725"/>
          <c:h val="0.69249741059595271"/>
        </c:manualLayout>
      </c:layout>
      <c:overlay val="0"/>
      <c:txPr>
        <a:bodyPr/>
        <a:lstStyle/>
        <a:p>
          <a:pPr rtl="0">
            <a:defRPr>
              <a:solidFill>
                <a:schemeClr val="bg1"/>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89703189504296"/>
          <c:y val="0.12977705177452495"/>
          <c:w val="0.56999903755346093"/>
          <c:h val="0.8061898867179691"/>
        </c:manualLayout>
      </c:layout>
      <c:pieChart>
        <c:varyColors val="1"/>
        <c:ser>
          <c:idx val="0"/>
          <c:order val="0"/>
          <c:dPt>
            <c:idx val="0"/>
            <c:bubble3D val="0"/>
            <c:spPr>
              <a:solidFill>
                <a:srgbClr val="00338D"/>
              </a:solidFill>
              <a:ln w="3175">
                <a:solidFill>
                  <a:srgbClr val="FFFFFF"/>
                </a:solidFill>
                <a:prstDash val="solid"/>
              </a:ln>
            </c:spPr>
            <c:extLst>
              <c:ext xmlns:c16="http://schemas.microsoft.com/office/drawing/2014/chart" uri="{C3380CC4-5D6E-409C-BE32-E72D297353CC}">
                <c16:uniqueId val="{00000001-12EC-43B8-8F3A-5D7687BC0BA6}"/>
              </c:ext>
            </c:extLst>
          </c:dPt>
          <c:dPt>
            <c:idx val="1"/>
            <c:bubble3D val="0"/>
            <c:spPr>
              <a:solidFill>
                <a:srgbClr val="00B8F5"/>
              </a:solidFill>
              <a:ln w="3175">
                <a:solidFill>
                  <a:srgbClr val="FFFFFF"/>
                </a:solidFill>
                <a:prstDash val="solid"/>
              </a:ln>
            </c:spPr>
            <c:extLst>
              <c:ext xmlns:c16="http://schemas.microsoft.com/office/drawing/2014/chart" uri="{C3380CC4-5D6E-409C-BE32-E72D297353CC}">
                <c16:uniqueId val="{00000003-12EC-43B8-8F3A-5D7687BC0BA6}"/>
              </c:ext>
            </c:extLst>
          </c:dPt>
          <c:dPt>
            <c:idx val="2"/>
            <c:bubble3D val="0"/>
            <c:spPr>
              <a:solidFill>
                <a:srgbClr val="1E49E2"/>
              </a:solidFill>
              <a:ln w="3175">
                <a:solidFill>
                  <a:srgbClr val="FFFFFF"/>
                </a:solidFill>
                <a:prstDash val="solid"/>
              </a:ln>
            </c:spPr>
            <c:extLst>
              <c:ext xmlns:c16="http://schemas.microsoft.com/office/drawing/2014/chart" uri="{C3380CC4-5D6E-409C-BE32-E72D297353CC}">
                <c16:uniqueId val="{00000005-12EC-43B8-8F3A-5D7687BC0BA6}"/>
              </c:ext>
            </c:extLst>
          </c:dPt>
          <c:dPt>
            <c:idx val="3"/>
            <c:bubble3D val="0"/>
            <c:spPr>
              <a:solidFill>
                <a:srgbClr val="76D2FF"/>
              </a:solidFill>
              <a:ln w="3175">
                <a:solidFill>
                  <a:srgbClr val="FFFFFF"/>
                </a:solidFill>
                <a:prstDash val="solid"/>
              </a:ln>
            </c:spPr>
            <c:extLst>
              <c:ext xmlns:c16="http://schemas.microsoft.com/office/drawing/2014/chart" uri="{C3380CC4-5D6E-409C-BE32-E72D297353CC}">
                <c16:uniqueId val="{00000007-12EC-43B8-8F3A-5D7687BC0BA6}"/>
              </c:ext>
            </c:extLst>
          </c:dPt>
          <c:dPt>
            <c:idx val="4"/>
            <c:bubble3D val="0"/>
            <c:spPr>
              <a:solidFill>
                <a:srgbClr val="7213EA"/>
              </a:solidFill>
              <a:ln w="3175">
                <a:solidFill>
                  <a:srgbClr val="FFFFFF"/>
                </a:solidFill>
                <a:prstDash val="solid"/>
              </a:ln>
            </c:spPr>
            <c:extLst>
              <c:ext xmlns:c16="http://schemas.microsoft.com/office/drawing/2014/chart" uri="{C3380CC4-5D6E-409C-BE32-E72D297353CC}">
                <c16:uniqueId val="{00000009-12EC-43B8-8F3A-5D7687BC0BA6}"/>
              </c:ext>
            </c:extLst>
          </c:dPt>
          <c:dPt>
            <c:idx val="5"/>
            <c:bubble3D val="0"/>
            <c:spPr>
              <a:solidFill>
                <a:srgbClr val="B497FF"/>
              </a:solidFill>
              <a:ln w="3175">
                <a:solidFill>
                  <a:srgbClr val="FFFFFF"/>
                </a:solidFill>
                <a:prstDash val="solid"/>
              </a:ln>
            </c:spPr>
            <c:extLst>
              <c:ext xmlns:c16="http://schemas.microsoft.com/office/drawing/2014/chart" uri="{C3380CC4-5D6E-409C-BE32-E72D297353CC}">
                <c16:uniqueId val="{0000000B-12EC-43B8-8F3A-5D7687BC0BA6}"/>
              </c:ext>
            </c:extLst>
          </c:dPt>
          <c:dLbls>
            <c:dLbl>
              <c:idx val="0"/>
              <c:spPr>
                <a:noFill/>
                <a:ln>
                  <a:noFill/>
                </a:ln>
                <a:effectLst/>
              </c:spPr>
              <c:txPr>
                <a:bodyPr wrap="square" lIns="38100" tIns="19050" rIns="38100" bIns="19050" anchor="ctr">
                  <a:spAutoFit/>
                </a:bodyPr>
                <a:lstStyle/>
                <a:p>
                  <a:pPr>
                    <a:defRPr sz="700">
                      <a:solidFill>
                        <a:schemeClr val="bg1"/>
                      </a:solidFill>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1-12EC-43B8-8F3A-5D7687BC0BA6}"/>
                </c:ext>
              </c:extLst>
            </c:dLbl>
            <c:dLbl>
              <c:idx val="1"/>
              <c:spPr>
                <a:noFill/>
                <a:ln>
                  <a:noFill/>
                </a:ln>
                <a:effectLst/>
              </c:spPr>
              <c:txPr>
                <a:bodyPr wrap="square" lIns="38100" tIns="19050" rIns="38100" bIns="19050" anchor="ctr">
                  <a:spAutoFit/>
                </a:bodyPr>
                <a:lstStyle/>
                <a:p>
                  <a:pPr>
                    <a:defRPr sz="700">
                      <a:solidFill>
                        <a:schemeClr val="bg1"/>
                      </a:solidFill>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3-12EC-43B8-8F3A-5D7687BC0BA6}"/>
                </c:ext>
              </c:extLst>
            </c:dLbl>
            <c:dLbl>
              <c:idx val="2"/>
              <c:spPr>
                <a:noFill/>
                <a:ln>
                  <a:noFill/>
                </a:ln>
                <a:effectLst/>
              </c:spPr>
              <c:txPr>
                <a:bodyPr wrap="square" lIns="38100" tIns="19050" rIns="38100" bIns="19050" anchor="ctr">
                  <a:spAutoFit/>
                </a:bodyPr>
                <a:lstStyle/>
                <a:p>
                  <a:pPr>
                    <a:defRPr sz="700">
                      <a:solidFill>
                        <a:schemeClr val="bg1"/>
                      </a:solidFill>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5-12EC-43B8-8F3A-5D7687BC0BA6}"/>
                </c:ext>
              </c:extLst>
            </c:dLbl>
            <c:dLbl>
              <c:idx val="3"/>
              <c:spPr>
                <a:noFill/>
                <a:ln>
                  <a:noFill/>
                </a:ln>
                <a:effectLst/>
              </c:spPr>
              <c:txPr>
                <a:bodyPr wrap="square" lIns="38100" tIns="19050" rIns="38100" bIns="19050" anchor="ctr">
                  <a:spAutoFit/>
                </a:bodyPr>
                <a:lstStyle/>
                <a:p>
                  <a:pPr>
                    <a:defRPr sz="700">
                      <a:solidFill>
                        <a:schemeClr val="bg1"/>
                      </a:solidFill>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7-12EC-43B8-8F3A-5D7687BC0BA6}"/>
                </c:ext>
              </c:extLst>
            </c:dLbl>
            <c:dLbl>
              <c:idx val="4"/>
              <c:spPr>
                <a:noFill/>
                <a:ln>
                  <a:noFill/>
                </a:ln>
                <a:effectLst/>
              </c:spPr>
              <c:txPr>
                <a:bodyPr wrap="square" lIns="38100" tIns="19050" rIns="38100" bIns="19050" anchor="ctr">
                  <a:spAutoFit/>
                </a:bodyPr>
                <a:lstStyle/>
                <a:p>
                  <a:pPr>
                    <a:defRPr sz="700">
                      <a:solidFill>
                        <a:schemeClr val="bg1"/>
                      </a:solidFill>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9-12EC-43B8-8F3A-5D7687BC0BA6}"/>
                </c:ext>
              </c:extLst>
            </c:dLbl>
            <c:dLbl>
              <c:idx val="5"/>
              <c:spPr>
                <a:noFill/>
                <a:ln>
                  <a:noFill/>
                </a:ln>
                <a:effectLst/>
              </c:spPr>
              <c:txPr>
                <a:bodyPr wrap="square" lIns="38100" tIns="19050" rIns="38100" bIns="19050" anchor="ctr">
                  <a:spAutoFit/>
                </a:bodyPr>
                <a:lstStyle/>
                <a:p>
                  <a:pPr>
                    <a:defRPr sz="700">
                      <a:solidFill>
                        <a:schemeClr val="bg1"/>
                      </a:solidFill>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B-12EC-43B8-8F3A-5D7687BC0BA6}"/>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inEnd"/>
            <c:showLegendKey val="0"/>
            <c:showVal val="0"/>
            <c:showCatName val="0"/>
            <c:showSerName val="0"/>
            <c:showPercent val="1"/>
            <c:showBubbleSize val="0"/>
            <c:showLeaderLines val="1"/>
            <c:leaderLines>
              <c:spPr>
                <a:ln>
                  <a:solidFill>
                    <a:srgbClr val="000000"/>
                  </a:solidFill>
                  <a:prstDash val="solid"/>
                </a:ln>
              </c:spPr>
            </c:leaderLines>
            <c:extLst>
              <c:ext xmlns:c15="http://schemas.microsoft.com/office/drawing/2012/chart" uri="{CE6537A1-D6FC-4f65-9D91-7224C49458BB}"/>
            </c:extLst>
          </c:dLbls>
          <c:cat>
            <c:strRef>
              <c:f>'Grants by State'!$B$50:$B$55</c:f>
              <c:strCache>
                <c:ptCount val="6"/>
                <c:pt idx="0">
                  <c:v>ACT</c:v>
                </c:pt>
                <c:pt idx="1">
                  <c:v>NSW</c:v>
                </c:pt>
                <c:pt idx="2">
                  <c:v>QLD</c:v>
                </c:pt>
                <c:pt idx="3">
                  <c:v>WA</c:v>
                </c:pt>
                <c:pt idx="4">
                  <c:v>VIC</c:v>
                </c:pt>
                <c:pt idx="5">
                  <c:v>SA</c:v>
                </c:pt>
              </c:strCache>
            </c:strRef>
          </c:cat>
          <c:val>
            <c:numRef>
              <c:f>'Grants by State'!$G$50:$G$55</c:f>
              <c:numCache>
                <c:formatCode>0%</c:formatCode>
                <c:ptCount val="6"/>
                <c:pt idx="0">
                  <c:v>6.0606060606060608E-2</c:v>
                </c:pt>
                <c:pt idx="1">
                  <c:v>0.27272727272727271</c:v>
                </c:pt>
                <c:pt idx="2">
                  <c:v>0.23232323232323232</c:v>
                </c:pt>
                <c:pt idx="3">
                  <c:v>0.12121212121212122</c:v>
                </c:pt>
                <c:pt idx="4">
                  <c:v>0.20202020202020202</c:v>
                </c:pt>
                <c:pt idx="5">
                  <c:v>0.1111111111111111</c:v>
                </c:pt>
              </c:numCache>
            </c:numRef>
          </c:val>
          <c:extLst>
            <c:ext xmlns:c16="http://schemas.microsoft.com/office/drawing/2014/chart" uri="{C3380CC4-5D6E-409C-BE32-E72D297353CC}">
              <c16:uniqueId val="{0000000C-12EC-43B8-8F3A-5D7687BC0BA6}"/>
            </c:ext>
          </c:extLst>
        </c:ser>
        <c:dLbls>
          <c:dLblPos val="inEnd"/>
          <c:showLegendKey val="0"/>
          <c:showVal val="1"/>
          <c:showCatName val="0"/>
          <c:showSerName val="0"/>
          <c:showPercent val="0"/>
          <c:showBubbleSize val="0"/>
          <c:showLeaderLines val="1"/>
        </c:dLbls>
        <c:firstSliceAng val="0"/>
      </c:pieChart>
      <c:spPr>
        <a:noFill/>
        <a:ln w="25400">
          <a:noFill/>
        </a:ln>
      </c:spPr>
    </c:plotArea>
    <c:legend>
      <c:legendPos val="r"/>
      <c:overlay val="0"/>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2540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2209883294379"/>
          <c:y val="7.1210725686316242E-2"/>
          <c:w val="0.85198537910265981"/>
          <c:h val="0.74927942115343693"/>
        </c:manualLayout>
      </c:layout>
      <c:barChart>
        <c:barDir val="col"/>
        <c:grouping val="clustered"/>
        <c:varyColors val="0"/>
        <c:ser>
          <c:idx val="0"/>
          <c:order val="0"/>
          <c:tx>
            <c:strRef>
              <c:f>'Grants by State'!$C$49</c:f>
              <c:strCache>
                <c:ptCount val="1"/>
                <c:pt idx="0">
                  <c:v>ROMP</c:v>
                </c:pt>
              </c:strCache>
            </c:strRef>
          </c:tx>
          <c:spPr>
            <a:solidFill>
              <a:srgbClr val="00338D"/>
            </a:solidFill>
            <a:ln w="3175">
              <a:solidFill>
                <a:srgbClr val="FFFFFF"/>
              </a:solidFill>
              <a:prstDash val="solid"/>
            </a:ln>
          </c:spPr>
          <c:invertIfNegative val="0"/>
          <c:dLbls>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'Grants by State'!$B$50:$B$55</c:f>
              <c:strCache>
                <c:ptCount val="6"/>
                <c:pt idx="0">
                  <c:v>ACT</c:v>
                </c:pt>
                <c:pt idx="1">
                  <c:v>NSW</c:v>
                </c:pt>
                <c:pt idx="2">
                  <c:v>QLD</c:v>
                </c:pt>
                <c:pt idx="3">
                  <c:v>WA</c:v>
                </c:pt>
                <c:pt idx="4">
                  <c:v>VIC</c:v>
                </c:pt>
                <c:pt idx="5">
                  <c:v>SA</c:v>
                </c:pt>
              </c:strCache>
            </c:strRef>
          </c:cat>
          <c:val>
            <c:numRef>
              <c:f>'Grants by State'!$C$50:$C$55</c:f>
              <c:numCache>
                <c:formatCode>General</c:formatCode>
                <c:ptCount val="6"/>
                <c:pt idx="0">
                  <c:v>4</c:v>
                </c:pt>
                <c:pt idx="1">
                  <c:v>9</c:v>
                </c:pt>
                <c:pt idx="2">
                  <c:v>14</c:v>
                </c:pt>
                <c:pt idx="3">
                  <c:v>5</c:v>
                </c:pt>
                <c:pt idx="4">
                  <c:v>8</c:v>
                </c:pt>
                <c:pt idx="5">
                  <c:v>7</c:v>
                </c:pt>
              </c:numCache>
            </c:numRef>
          </c:val>
          <c:extLst>
            <c:ext xmlns:c16="http://schemas.microsoft.com/office/drawing/2014/chart" uri="{C3380CC4-5D6E-409C-BE32-E72D297353CC}">
              <c16:uniqueId val="{00000000-727F-4921-B97F-91FD11F00186}"/>
            </c:ext>
          </c:extLst>
        </c:ser>
        <c:ser>
          <c:idx val="1"/>
          <c:order val="1"/>
          <c:tx>
            <c:strRef>
              <c:f>'Grants by State'!$D$49</c:f>
              <c:strCache>
                <c:ptCount val="1"/>
                <c:pt idx="0">
                  <c:v>DIMP</c:v>
                </c:pt>
              </c:strCache>
            </c:strRef>
          </c:tx>
          <c:spPr>
            <a:solidFill>
              <a:srgbClr val="00B8F5"/>
            </a:solidFill>
            <a:ln w="3175">
              <a:solidFill>
                <a:srgbClr val="FFFFFF"/>
              </a:solidFill>
              <a:prstDash val="solid"/>
            </a:ln>
          </c:spPr>
          <c:invertIfNegative val="0"/>
          <c:dLbls>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'Grants by State'!$B$50:$B$55</c:f>
              <c:strCache>
                <c:ptCount val="6"/>
                <c:pt idx="0">
                  <c:v>ACT</c:v>
                </c:pt>
                <c:pt idx="1">
                  <c:v>NSW</c:v>
                </c:pt>
                <c:pt idx="2">
                  <c:v>QLD</c:v>
                </c:pt>
                <c:pt idx="3">
                  <c:v>WA</c:v>
                </c:pt>
                <c:pt idx="4">
                  <c:v>VIC</c:v>
                </c:pt>
                <c:pt idx="5">
                  <c:v>SA</c:v>
                </c:pt>
              </c:strCache>
            </c:strRef>
          </c:cat>
          <c:val>
            <c:numRef>
              <c:f>'Grants by State'!$D$50:$D$55</c:f>
              <c:numCache>
                <c:formatCode>General</c:formatCode>
                <c:ptCount val="6"/>
                <c:pt idx="0">
                  <c:v>2</c:v>
                </c:pt>
                <c:pt idx="1">
                  <c:v>12</c:v>
                </c:pt>
                <c:pt idx="2">
                  <c:v>8</c:v>
                </c:pt>
                <c:pt idx="3">
                  <c:v>5</c:v>
                </c:pt>
                <c:pt idx="4">
                  <c:v>8</c:v>
                </c:pt>
                <c:pt idx="5">
                  <c:v>2</c:v>
                </c:pt>
              </c:numCache>
            </c:numRef>
          </c:val>
          <c:extLst>
            <c:ext xmlns:c16="http://schemas.microsoft.com/office/drawing/2014/chart" uri="{C3380CC4-5D6E-409C-BE32-E72D297353CC}">
              <c16:uniqueId val="{00000001-727F-4921-B97F-91FD11F00186}"/>
            </c:ext>
          </c:extLst>
        </c:ser>
        <c:ser>
          <c:idx val="2"/>
          <c:order val="2"/>
          <c:tx>
            <c:strRef>
              <c:f>'Grants by State'!$E$49</c:f>
              <c:strCache>
                <c:ptCount val="1"/>
                <c:pt idx="0">
                  <c:v>RPS</c:v>
                </c:pt>
              </c:strCache>
            </c:strRef>
          </c:tx>
          <c:spPr>
            <a:solidFill>
              <a:srgbClr val="1E49E2"/>
            </a:solidFill>
            <a:ln w="3175">
              <a:solidFill>
                <a:srgbClr val="FFFFFF"/>
              </a:solidFill>
              <a:prstDash val="solid"/>
            </a:ln>
          </c:spPr>
          <c:invertIfNegative val="0"/>
          <c:dLbls>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'Grants by State'!$B$50:$B$55</c:f>
              <c:strCache>
                <c:ptCount val="6"/>
                <c:pt idx="0">
                  <c:v>ACT</c:v>
                </c:pt>
                <c:pt idx="1">
                  <c:v>NSW</c:v>
                </c:pt>
                <c:pt idx="2">
                  <c:v>QLD</c:v>
                </c:pt>
                <c:pt idx="3">
                  <c:v>WA</c:v>
                </c:pt>
                <c:pt idx="4">
                  <c:v>VIC</c:v>
                </c:pt>
                <c:pt idx="5">
                  <c:v>SA</c:v>
                </c:pt>
              </c:strCache>
            </c:strRef>
          </c:cat>
          <c:val>
            <c:numRef>
              <c:f>'Grants by State'!$E$50:$E$55</c:f>
              <c:numCache>
                <c:formatCode>General</c:formatCode>
                <c:ptCount val="6"/>
                <c:pt idx="0">
                  <c:v>0</c:v>
                </c:pt>
                <c:pt idx="1">
                  <c:v>6</c:v>
                </c:pt>
                <c:pt idx="2">
                  <c:v>1</c:v>
                </c:pt>
                <c:pt idx="3">
                  <c:v>2</c:v>
                </c:pt>
                <c:pt idx="4">
                  <c:v>4</c:v>
                </c:pt>
                <c:pt idx="5">
                  <c:v>2</c:v>
                </c:pt>
              </c:numCache>
            </c:numRef>
          </c:val>
          <c:extLst>
            <c:ext xmlns:c16="http://schemas.microsoft.com/office/drawing/2014/chart" uri="{C3380CC4-5D6E-409C-BE32-E72D297353CC}">
              <c16:uniqueId val="{00000002-727F-4921-B97F-91FD11F00186}"/>
            </c:ext>
          </c:extLst>
        </c:ser>
        <c:dLbls>
          <c:showLegendKey val="0"/>
          <c:showVal val="0"/>
          <c:showCatName val="0"/>
          <c:showSerName val="0"/>
          <c:showPercent val="0"/>
          <c:showBubbleSize val="0"/>
        </c:dLbls>
        <c:gapWidth val="40"/>
        <c:axId val="1214428336"/>
        <c:axId val="890185936"/>
      </c:barChart>
      <c:catAx>
        <c:axId val="1214428336"/>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en-US"/>
          </a:p>
        </c:txPr>
        <c:crossAx val="890185936"/>
        <c:crosses val="autoZero"/>
        <c:auto val="1"/>
        <c:lblAlgn val="ctr"/>
        <c:lblOffset val="100"/>
        <c:noMultiLvlLbl val="0"/>
      </c:catAx>
      <c:valAx>
        <c:axId val="890185936"/>
        <c:scaling>
          <c:orientation val="minMax"/>
        </c:scaling>
        <c:delete val="0"/>
        <c:axPos val="l"/>
        <c:title>
          <c:tx>
            <c:rich>
              <a:bodyPr rot="-5400000" vert="horz"/>
              <a:lstStyle/>
              <a:p>
                <a:pPr>
                  <a:defRPr>
                    <a:solidFill>
                      <a:srgbClr val="000000"/>
                    </a:solidFill>
                  </a:defRPr>
                </a:pPr>
                <a:r>
                  <a:rPr lang="en-AU"/>
                  <a:t>Number of grants</a:t>
                </a:r>
              </a:p>
            </c:rich>
          </c:tx>
          <c:layout>
            <c:manualLayout>
              <c:xMode val="edge"/>
              <c:yMode val="edge"/>
              <c:x val="2.8857047518016606E-2"/>
              <c:y val="0.30482326370058149"/>
            </c:manualLayout>
          </c:layout>
          <c:overlay val="0"/>
        </c:title>
        <c:numFmt formatCode="General" sourceLinked="1"/>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1214428336"/>
        <c:crosses val="autoZero"/>
        <c:crossBetween val="between"/>
      </c:valAx>
      <c:spPr>
        <a:noFill/>
        <a:ln w="25400">
          <a:noFill/>
        </a:ln>
      </c:spPr>
    </c:plotArea>
    <c:legend>
      <c:legendPos val="b"/>
      <c:layout>
        <c:manualLayout>
          <c:xMode val="edge"/>
          <c:yMode val="edge"/>
          <c:x val="0.28939793067545655"/>
          <c:y val="0.90810810810810816"/>
          <c:w val="0.25672996249578706"/>
          <c:h val="6.4711557702017045E-2"/>
        </c:manualLayout>
      </c:layout>
      <c:overlay val="0"/>
      <c:spPr>
        <a:noFill/>
        <a:ln w="25400">
          <a:noFill/>
        </a:ln>
      </c:spPr>
      <c:txPr>
        <a:bodyPr/>
        <a:lstStyle/>
        <a:p>
          <a:pPr>
            <a:defRPr>
              <a:solidFill>
                <a:srgbClr val="000000"/>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2540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99776212184006"/>
          <c:y val="0.1521250542501085"/>
          <c:w val="0.79634060742407198"/>
          <c:h val="0.63759484609878314"/>
        </c:manualLayout>
      </c:layout>
      <c:barChart>
        <c:barDir val="col"/>
        <c:grouping val="clustered"/>
        <c:varyColors val="0"/>
        <c:ser>
          <c:idx val="0"/>
          <c:order val="0"/>
          <c:tx>
            <c:strRef>
              <c:f>'Grants '!$T$45</c:f>
              <c:strCache>
                <c:ptCount val="1"/>
                <c:pt idx="0">
                  <c:v>2021</c:v>
                </c:pt>
              </c:strCache>
            </c:strRef>
          </c:tx>
          <c:spPr>
            <a:solidFill>
              <a:srgbClr val="00338D"/>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'Grants '!$S$46:$S$48</c:f>
              <c:strCache>
                <c:ptCount val="3"/>
                <c:pt idx="0">
                  <c:v>Regional</c:v>
                </c:pt>
                <c:pt idx="1">
                  <c:v>Expanded</c:v>
                </c:pt>
                <c:pt idx="2">
                  <c:v>Metropolitan</c:v>
                </c:pt>
              </c:strCache>
            </c:strRef>
          </c:cat>
          <c:val>
            <c:numRef>
              <c:f>'Grants '!$T$46:$T$48</c:f>
              <c:numCache>
                <c:formatCode>General</c:formatCode>
                <c:ptCount val="3"/>
                <c:pt idx="0">
                  <c:v>4</c:v>
                </c:pt>
                <c:pt idx="1">
                  <c:v>1</c:v>
                </c:pt>
                <c:pt idx="2">
                  <c:v>12</c:v>
                </c:pt>
              </c:numCache>
            </c:numRef>
          </c:val>
          <c:extLst>
            <c:ext xmlns:c16="http://schemas.microsoft.com/office/drawing/2014/chart" uri="{C3380CC4-5D6E-409C-BE32-E72D297353CC}">
              <c16:uniqueId val="{00000000-6806-48DC-8477-DCD30267C384}"/>
            </c:ext>
          </c:extLst>
        </c:ser>
        <c:ser>
          <c:idx val="1"/>
          <c:order val="1"/>
          <c:tx>
            <c:strRef>
              <c:f>'Grants '!$U$45</c:f>
              <c:strCache>
                <c:ptCount val="1"/>
                <c:pt idx="0">
                  <c:v>2022</c:v>
                </c:pt>
              </c:strCache>
            </c:strRef>
          </c:tx>
          <c:spPr>
            <a:solidFill>
              <a:srgbClr val="00B8F5"/>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'Grants '!$S$46:$S$48</c:f>
              <c:strCache>
                <c:ptCount val="3"/>
                <c:pt idx="0">
                  <c:v>Regional</c:v>
                </c:pt>
                <c:pt idx="1">
                  <c:v>Expanded</c:v>
                </c:pt>
                <c:pt idx="2">
                  <c:v>Metropolitan</c:v>
                </c:pt>
              </c:strCache>
            </c:strRef>
          </c:cat>
          <c:val>
            <c:numRef>
              <c:f>'Grants '!$U$46:$U$48</c:f>
              <c:numCache>
                <c:formatCode>General</c:formatCode>
                <c:ptCount val="3"/>
                <c:pt idx="0">
                  <c:v>3</c:v>
                </c:pt>
                <c:pt idx="1">
                  <c:v>0</c:v>
                </c:pt>
                <c:pt idx="2">
                  <c:v>12</c:v>
                </c:pt>
              </c:numCache>
            </c:numRef>
          </c:val>
          <c:extLst>
            <c:ext xmlns:c16="http://schemas.microsoft.com/office/drawing/2014/chart" uri="{C3380CC4-5D6E-409C-BE32-E72D297353CC}">
              <c16:uniqueId val="{00000001-6806-48DC-8477-DCD30267C384}"/>
            </c:ext>
          </c:extLst>
        </c:ser>
        <c:ser>
          <c:idx val="2"/>
          <c:order val="2"/>
          <c:tx>
            <c:strRef>
              <c:f>'Grants '!$V$45</c:f>
              <c:strCache>
                <c:ptCount val="1"/>
                <c:pt idx="0">
                  <c:v>2023</c:v>
                </c:pt>
              </c:strCache>
            </c:strRef>
          </c:tx>
          <c:spPr>
            <a:solidFill>
              <a:srgbClr val="1E49E2"/>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'Grants '!$S$46:$S$48</c:f>
              <c:strCache>
                <c:ptCount val="3"/>
                <c:pt idx="0">
                  <c:v>Regional</c:v>
                </c:pt>
                <c:pt idx="1">
                  <c:v>Expanded</c:v>
                </c:pt>
                <c:pt idx="2">
                  <c:v>Metropolitan</c:v>
                </c:pt>
              </c:strCache>
            </c:strRef>
          </c:cat>
          <c:val>
            <c:numRef>
              <c:f>'Grants '!$V$46:$V$48</c:f>
              <c:numCache>
                <c:formatCode>General</c:formatCode>
                <c:ptCount val="3"/>
                <c:pt idx="0">
                  <c:v>4</c:v>
                </c:pt>
                <c:pt idx="1">
                  <c:v>2</c:v>
                </c:pt>
                <c:pt idx="2">
                  <c:v>8</c:v>
                </c:pt>
              </c:numCache>
            </c:numRef>
          </c:val>
          <c:extLst>
            <c:ext xmlns:c16="http://schemas.microsoft.com/office/drawing/2014/chart" uri="{C3380CC4-5D6E-409C-BE32-E72D297353CC}">
              <c16:uniqueId val="{00000002-6806-48DC-8477-DCD30267C384}"/>
            </c:ext>
          </c:extLst>
        </c:ser>
        <c:dLbls>
          <c:showLegendKey val="0"/>
          <c:showVal val="0"/>
          <c:showCatName val="0"/>
          <c:showSerName val="0"/>
          <c:showPercent val="0"/>
          <c:showBubbleSize val="0"/>
        </c:dLbls>
        <c:gapWidth val="40"/>
        <c:axId val="1288046912"/>
        <c:axId val="1827103840"/>
      </c:barChart>
      <c:catAx>
        <c:axId val="1288046912"/>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827103840"/>
        <c:crosses val="autoZero"/>
        <c:auto val="1"/>
        <c:lblAlgn val="ctr"/>
        <c:lblOffset val="100"/>
        <c:noMultiLvlLbl val="0"/>
      </c:catAx>
      <c:valAx>
        <c:axId val="1827103840"/>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Number of grants</a:t>
                </a:r>
              </a:p>
            </c:rich>
          </c:tx>
          <c:layout>
            <c:manualLayout>
              <c:xMode val="edge"/>
              <c:yMode val="edge"/>
              <c:x val="4.6617488603398274E-3"/>
              <c:y val="0.2876382086097505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288046912"/>
        <c:crosses val="autoZero"/>
        <c:crossBetween val="between"/>
      </c:valAx>
      <c:spPr>
        <a:noFill/>
        <a:ln w="25400">
          <a:noFill/>
        </a:ln>
        <a:effectLst/>
      </c:spPr>
    </c:plotArea>
    <c:legend>
      <c:legendPos val="b"/>
      <c:layout>
        <c:manualLayout>
          <c:xMode val="edge"/>
          <c:yMode val="edge"/>
          <c:x val="0.27747666804807297"/>
          <c:y val="0.90806466612933223"/>
          <c:w val="0.48895615416493993"/>
          <c:h val="6.7479957050823186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4808694687811"/>
          <c:y val="0.10905257445834346"/>
          <c:w val="0.8332521209936784"/>
          <c:h val="0.6512312097351467"/>
        </c:manualLayout>
      </c:layout>
      <c:barChart>
        <c:barDir val="col"/>
        <c:grouping val="clustered"/>
        <c:varyColors val="0"/>
        <c:ser>
          <c:idx val="0"/>
          <c:order val="0"/>
          <c:tx>
            <c:strRef>
              <c:f>'Grants '!$T$56</c:f>
              <c:strCache>
                <c:ptCount val="1"/>
                <c:pt idx="0">
                  <c:v>Regional</c:v>
                </c:pt>
              </c:strCache>
            </c:strRef>
          </c:tx>
          <c:spPr>
            <a:solidFill>
              <a:srgbClr val="00338D"/>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'Grants '!$S$57:$S$62</c:f>
              <c:strCache>
                <c:ptCount val="6"/>
                <c:pt idx="0">
                  <c:v>ACT</c:v>
                </c:pt>
                <c:pt idx="1">
                  <c:v>NSW </c:v>
                </c:pt>
                <c:pt idx="2">
                  <c:v>QLD </c:v>
                </c:pt>
                <c:pt idx="3">
                  <c:v>SA </c:v>
                </c:pt>
                <c:pt idx="4">
                  <c:v>VIC </c:v>
                </c:pt>
                <c:pt idx="5">
                  <c:v>WA</c:v>
                </c:pt>
              </c:strCache>
            </c:strRef>
          </c:cat>
          <c:val>
            <c:numRef>
              <c:f>'Grants '!$T$57:$T$62</c:f>
              <c:numCache>
                <c:formatCode>General</c:formatCode>
                <c:ptCount val="6"/>
                <c:pt idx="1">
                  <c:v>3</c:v>
                </c:pt>
                <c:pt idx="2">
                  <c:v>7</c:v>
                </c:pt>
                <c:pt idx="4">
                  <c:v>1</c:v>
                </c:pt>
              </c:numCache>
            </c:numRef>
          </c:val>
          <c:extLst>
            <c:ext xmlns:c16="http://schemas.microsoft.com/office/drawing/2014/chart" uri="{C3380CC4-5D6E-409C-BE32-E72D297353CC}">
              <c16:uniqueId val="{00000000-8A89-4ECB-9E15-6C00A110FCAE}"/>
            </c:ext>
          </c:extLst>
        </c:ser>
        <c:ser>
          <c:idx val="1"/>
          <c:order val="1"/>
          <c:tx>
            <c:strRef>
              <c:f>'Grants '!$U$56</c:f>
              <c:strCache>
                <c:ptCount val="1"/>
                <c:pt idx="0">
                  <c:v>Expanded Setting</c:v>
                </c:pt>
              </c:strCache>
            </c:strRef>
          </c:tx>
          <c:spPr>
            <a:solidFill>
              <a:srgbClr val="00B8F5"/>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'Grants '!$S$57:$S$62</c:f>
              <c:strCache>
                <c:ptCount val="6"/>
                <c:pt idx="0">
                  <c:v>ACT</c:v>
                </c:pt>
                <c:pt idx="1">
                  <c:v>NSW </c:v>
                </c:pt>
                <c:pt idx="2">
                  <c:v>QLD </c:v>
                </c:pt>
                <c:pt idx="3">
                  <c:v>SA </c:v>
                </c:pt>
                <c:pt idx="4">
                  <c:v>VIC </c:v>
                </c:pt>
                <c:pt idx="5">
                  <c:v>WA</c:v>
                </c:pt>
              </c:strCache>
            </c:strRef>
          </c:cat>
          <c:val>
            <c:numRef>
              <c:f>'Grants '!$U$57:$U$62</c:f>
              <c:numCache>
                <c:formatCode>General</c:formatCode>
                <c:ptCount val="6"/>
                <c:pt idx="1">
                  <c:v>1</c:v>
                </c:pt>
                <c:pt idx="2">
                  <c:v>1</c:v>
                </c:pt>
                <c:pt idx="3">
                  <c:v>1</c:v>
                </c:pt>
              </c:numCache>
            </c:numRef>
          </c:val>
          <c:extLst>
            <c:ext xmlns:c16="http://schemas.microsoft.com/office/drawing/2014/chart" uri="{C3380CC4-5D6E-409C-BE32-E72D297353CC}">
              <c16:uniqueId val="{00000001-8A89-4ECB-9E15-6C00A110FCAE}"/>
            </c:ext>
          </c:extLst>
        </c:ser>
        <c:ser>
          <c:idx val="2"/>
          <c:order val="2"/>
          <c:tx>
            <c:strRef>
              <c:f>'Grants '!$V$56</c:f>
              <c:strCache>
                <c:ptCount val="1"/>
                <c:pt idx="0">
                  <c:v>Metropolitan</c:v>
                </c:pt>
              </c:strCache>
            </c:strRef>
          </c:tx>
          <c:spPr>
            <a:solidFill>
              <a:srgbClr val="1E49E2"/>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'Grants '!$S$57:$S$62</c:f>
              <c:strCache>
                <c:ptCount val="6"/>
                <c:pt idx="0">
                  <c:v>ACT</c:v>
                </c:pt>
                <c:pt idx="1">
                  <c:v>NSW </c:v>
                </c:pt>
                <c:pt idx="2">
                  <c:v>QLD </c:v>
                </c:pt>
                <c:pt idx="3">
                  <c:v>SA </c:v>
                </c:pt>
                <c:pt idx="4">
                  <c:v>VIC </c:v>
                </c:pt>
                <c:pt idx="5">
                  <c:v>WA</c:v>
                </c:pt>
              </c:strCache>
            </c:strRef>
          </c:cat>
          <c:val>
            <c:numRef>
              <c:f>'Grants '!$V$57:$V$62</c:f>
              <c:numCache>
                <c:formatCode>General</c:formatCode>
                <c:ptCount val="6"/>
                <c:pt idx="0">
                  <c:v>2</c:v>
                </c:pt>
                <c:pt idx="1">
                  <c:v>5</c:v>
                </c:pt>
                <c:pt idx="2">
                  <c:v>4</c:v>
                </c:pt>
                <c:pt idx="3">
                  <c:v>6</c:v>
                </c:pt>
                <c:pt idx="4">
                  <c:v>9</c:v>
                </c:pt>
                <c:pt idx="5">
                  <c:v>6</c:v>
                </c:pt>
              </c:numCache>
            </c:numRef>
          </c:val>
          <c:extLst>
            <c:ext xmlns:c16="http://schemas.microsoft.com/office/drawing/2014/chart" uri="{C3380CC4-5D6E-409C-BE32-E72D297353CC}">
              <c16:uniqueId val="{00000002-8A89-4ECB-9E15-6C00A110FCAE}"/>
            </c:ext>
          </c:extLst>
        </c:ser>
        <c:dLbls>
          <c:showLegendKey val="0"/>
          <c:showVal val="0"/>
          <c:showCatName val="0"/>
          <c:showSerName val="0"/>
          <c:showPercent val="0"/>
          <c:showBubbleSize val="0"/>
        </c:dLbls>
        <c:gapWidth val="40"/>
        <c:axId val="471780703"/>
        <c:axId val="478491679"/>
      </c:barChart>
      <c:catAx>
        <c:axId val="471780703"/>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478491679"/>
        <c:crosses val="autoZero"/>
        <c:auto val="1"/>
        <c:lblAlgn val="ctr"/>
        <c:lblOffset val="100"/>
        <c:noMultiLvlLbl val="0"/>
      </c:catAx>
      <c:valAx>
        <c:axId val="478491679"/>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Number of grants</a:t>
                </a:r>
              </a:p>
            </c:rich>
          </c:tx>
          <c:layout>
            <c:manualLayout>
              <c:xMode val="edge"/>
              <c:yMode val="edge"/>
              <c:x val="3.707233558833315E-3"/>
              <c:y val="0.2242024501980480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471780703"/>
        <c:crosses val="autoZero"/>
        <c:crossBetween val="between"/>
      </c:valAx>
      <c:spPr>
        <a:noFill/>
        <a:ln w="25400">
          <a:noFill/>
        </a:ln>
        <a:effectLst/>
      </c:spPr>
    </c:plotArea>
    <c:legend>
      <c:legendPos val="b"/>
      <c:layout>
        <c:manualLayout>
          <c:xMode val="edge"/>
          <c:yMode val="edge"/>
          <c:x val="0.10229219807031166"/>
          <c:y val="0.87272727272727268"/>
          <c:w val="0.87981728956415661"/>
          <c:h val="6.7479957050823186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78585356866859"/>
          <c:y val="6.8181818181818177E-2"/>
          <c:w val="0.47264264027160691"/>
          <c:h val="0.75335612025769505"/>
        </c:manualLayout>
      </c:layout>
      <c:barChart>
        <c:barDir val="bar"/>
        <c:grouping val="clustered"/>
        <c:varyColors val="0"/>
        <c:ser>
          <c:idx val="0"/>
          <c:order val="0"/>
          <c:spPr>
            <a:solidFill>
              <a:srgbClr val="00338D"/>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'MMM movement'!$A$73:$A$78</c:f>
              <c:strCache>
                <c:ptCount val="6"/>
                <c:pt idx="0">
                  <c:v>Employment opportunities elsewhere</c:v>
                </c:pt>
                <c:pt idx="1">
                  <c:v>Lack of ongoing positions at the facility where I undertook training</c:v>
                </c:pt>
                <c:pt idx="2">
                  <c:v>More competitive remuneration elsewhere</c:v>
                </c:pt>
                <c:pt idx="3">
                  <c:v>More attractive lifestyle/affordability/accessibility elsewhere</c:v>
                </c:pt>
                <c:pt idx="4">
                  <c:v>Family/personal reasons</c:v>
                </c:pt>
                <c:pt idx="5">
                  <c:v>Other</c:v>
                </c:pt>
              </c:strCache>
            </c:strRef>
          </c:cat>
          <c:val>
            <c:numRef>
              <c:f>'MMM movement'!$B$73:$B$78</c:f>
              <c:numCache>
                <c:formatCode>General</c:formatCode>
                <c:ptCount val="6"/>
                <c:pt idx="0">
                  <c:v>11</c:v>
                </c:pt>
                <c:pt idx="1">
                  <c:v>16</c:v>
                </c:pt>
                <c:pt idx="2">
                  <c:v>4</c:v>
                </c:pt>
                <c:pt idx="3">
                  <c:v>8</c:v>
                </c:pt>
                <c:pt idx="4">
                  <c:v>5</c:v>
                </c:pt>
                <c:pt idx="5">
                  <c:v>2</c:v>
                </c:pt>
              </c:numCache>
            </c:numRef>
          </c:val>
          <c:extLst>
            <c:ext xmlns:c16="http://schemas.microsoft.com/office/drawing/2014/chart" uri="{C3380CC4-5D6E-409C-BE32-E72D297353CC}">
              <c16:uniqueId val="{00000000-9690-44D1-B7BB-29953BBF7C13}"/>
            </c:ext>
          </c:extLst>
        </c:ser>
        <c:dLbls>
          <c:dLblPos val="outEnd"/>
          <c:showLegendKey val="0"/>
          <c:showVal val="1"/>
          <c:showCatName val="0"/>
          <c:showSerName val="0"/>
          <c:showPercent val="0"/>
          <c:showBubbleSize val="0"/>
        </c:dLbls>
        <c:gapWidth val="40"/>
        <c:axId val="971978767"/>
        <c:axId val="971979727"/>
      </c:barChart>
      <c:catAx>
        <c:axId val="971978767"/>
        <c:scaling>
          <c:orientation val="minMax"/>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71979727"/>
        <c:crosses val="autoZero"/>
        <c:auto val="1"/>
        <c:lblAlgn val="ctr"/>
        <c:lblOffset val="100"/>
        <c:noMultiLvlLbl val="0"/>
      </c:catAx>
      <c:valAx>
        <c:axId val="971979727"/>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Number</a:t>
                </a:r>
                <a:r>
                  <a:rPr lang="en-AU" baseline="0"/>
                  <a:t> of survery respondents</a:t>
                </a:r>
                <a:endParaRPr lang="en-AU"/>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AU"/>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71978767"/>
        <c:crosses val="autoZero"/>
        <c:crossBetween val="between"/>
      </c:valAx>
      <c:spPr>
        <a:noFill/>
        <a:ln w="25400">
          <a:noFill/>
        </a:ln>
        <a:effectLst/>
      </c:spPr>
    </c:plotArea>
    <c:plotVisOnly val="1"/>
    <c:dispBlanksAs val="gap"/>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69872267099667"/>
          <c:y val="9.5867230719166932E-2"/>
          <c:w val="0.51121625783074576"/>
          <c:h val="0.8"/>
        </c:manualLayout>
      </c:layout>
      <c:doughnutChart>
        <c:varyColors val="1"/>
        <c:ser>
          <c:idx val="0"/>
          <c:order val="0"/>
          <c:dPt>
            <c:idx val="0"/>
            <c:bubble3D val="0"/>
            <c:spPr>
              <a:solidFill>
                <a:srgbClr val="00338D"/>
              </a:solidFill>
              <a:ln w="3175">
                <a:solidFill>
                  <a:srgbClr val="FFFFFF"/>
                </a:solidFill>
                <a:prstDash val="solid"/>
              </a:ln>
            </c:spPr>
            <c:extLst>
              <c:ext xmlns:c16="http://schemas.microsoft.com/office/drawing/2014/chart" uri="{C3380CC4-5D6E-409C-BE32-E72D297353CC}">
                <c16:uniqueId val="{00000001-0EEF-43D0-9A1C-6DC9A5446370}"/>
              </c:ext>
            </c:extLst>
          </c:dPt>
          <c:dPt>
            <c:idx val="1"/>
            <c:bubble3D val="0"/>
            <c:spPr>
              <a:solidFill>
                <a:srgbClr val="00B8F5"/>
              </a:solidFill>
              <a:ln w="3175">
                <a:solidFill>
                  <a:srgbClr val="FFFFFF"/>
                </a:solidFill>
                <a:prstDash val="solid"/>
              </a:ln>
            </c:spPr>
            <c:extLst>
              <c:ext xmlns:c16="http://schemas.microsoft.com/office/drawing/2014/chart" uri="{C3380CC4-5D6E-409C-BE32-E72D297353CC}">
                <c16:uniqueId val="{00000003-0EEF-43D0-9A1C-6DC9A5446370}"/>
              </c:ext>
            </c:extLst>
          </c:dPt>
          <c:dPt>
            <c:idx val="2"/>
            <c:bubble3D val="0"/>
            <c:spPr>
              <a:solidFill>
                <a:srgbClr val="1E49E2"/>
              </a:solidFill>
              <a:ln w="3175">
                <a:solidFill>
                  <a:srgbClr val="FFFFFF"/>
                </a:solidFill>
                <a:prstDash val="solid"/>
              </a:ln>
            </c:spPr>
            <c:extLst>
              <c:ext xmlns:c16="http://schemas.microsoft.com/office/drawing/2014/chart" uri="{C3380CC4-5D6E-409C-BE32-E72D297353CC}">
                <c16:uniqueId val="{00000005-0EEF-43D0-9A1C-6DC9A5446370}"/>
              </c:ext>
            </c:extLst>
          </c:dPt>
          <c:dLbls>
            <c:dLbl>
              <c:idx val="0"/>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1-0EEF-43D0-9A1C-6DC9A5446370}"/>
                </c:ext>
              </c:extLst>
            </c:dLbl>
            <c:dLbl>
              <c:idx val="1"/>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3-0EEF-43D0-9A1C-6DC9A5446370}"/>
                </c:ext>
              </c:extLst>
            </c:dLbl>
            <c:dLbl>
              <c:idx val="2"/>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5-0EEF-43D0-9A1C-6DC9A5446370}"/>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Outcomes!$F$65:$F$69</c:f>
              <c:strCache>
                <c:ptCount val="5"/>
                <c:pt idx="0">
                  <c:v>Strongly agree</c:v>
                </c:pt>
                <c:pt idx="1">
                  <c:v>Somewhat agree</c:v>
                </c:pt>
                <c:pt idx="2">
                  <c:v>Neither agree nor disagree</c:v>
                </c:pt>
                <c:pt idx="3">
                  <c:v>Somewhat disagree</c:v>
                </c:pt>
                <c:pt idx="4">
                  <c:v>Strongly disagree</c:v>
                </c:pt>
              </c:strCache>
            </c:strRef>
          </c:cat>
          <c:val>
            <c:numRef>
              <c:f>Outcomes!$G$65:$G$69</c:f>
              <c:numCache>
                <c:formatCode>General</c:formatCode>
                <c:ptCount val="5"/>
                <c:pt idx="0">
                  <c:v>3</c:v>
                </c:pt>
                <c:pt idx="1">
                  <c:v>5</c:v>
                </c:pt>
                <c:pt idx="2">
                  <c:v>3</c:v>
                </c:pt>
                <c:pt idx="3">
                  <c:v>10</c:v>
                </c:pt>
                <c:pt idx="4">
                  <c:v>4</c:v>
                </c:pt>
              </c:numCache>
            </c:numRef>
          </c:val>
          <c:extLst>
            <c:ext xmlns:c16="http://schemas.microsoft.com/office/drawing/2014/chart" uri="{C3380CC4-5D6E-409C-BE32-E72D297353CC}">
              <c16:uniqueId val="{00000006-0EEF-43D0-9A1C-6DC9A5446370}"/>
            </c:ext>
          </c:extLst>
        </c:ser>
        <c:dLbls>
          <c:showLegendKey val="0"/>
          <c:showVal val="0"/>
          <c:showCatName val="0"/>
          <c:showSerName val="0"/>
          <c:showPercent val="0"/>
          <c:showBubbleSize val="0"/>
          <c:showLeaderLines val="1"/>
        </c:dLbls>
        <c:firstSliceAng val="0"/>
        <c:holeSize val="50"/>
      </c:doughnutChart>
      <c:spPr>
        <a:noFill/>
        <a:ln w="25400">
          <a:noFill/>
        </a:ln>
      </c:spPr>
    </c:plotArea>
    <c:legend>
      <c:legendPos val="r"/>
      <c:overlay val="0"/>
      <c:txPr>
        <a:bodyPr/>
        <a:lstStyle/>
        <a:p>
          <a:pPr rtl="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8194629517464147E-2"/>
          <c:w val="0.58080821119416703"/>
          <c:h val="0.89935917625681405"/>
        </c:manualLayout>
      </c:layout>
      <c:doughnutChart>
        <c:varyColors val="1"/>
        <c:ser>
          <c:idx val="0"/>
          <c:order val="0"/>
          <c:dPt>
            <c:idx val="0"/>
            <c:bubble3D val="0"/>
            <c:spPr>
              <a:solidFill>
                <a:srgbClr val="00338D"/>
              </a:solidFill>
              <a:ln w="3175">
                <a:solidFill>
                  <a:srgbClr val="FFFFFF"/>
                </a:solidFill>
                <a:prstDash val="solid"/>
              </a:ln>
            </c:spPr>
            <c:extLst>
              <c:ext xmlns:c16="http://schemas.microsoft.com/office/drawing/2014/chart" uri="{C3380CC4-5D6E-409C-BE32-E72D297353CC}">
                <c16:uniqueId val="{00000001-FC52-40A0-A093-94D6AAEF3B85}"/>
              </c:ext>
            </c:extLst>
          </c:dPt>
          <c:dPt>
            <c:idx val="1"/>
            <c:bubble3D val="0"/>
            <c:spPr>
              <a:solidFill>
                <a:srgbClr val="00B8F5"/>
              </a:solidFill>
              <a:ln w="3175">
                <a:solidFill>
                  <a:srgbClr val="FFFFFF"/>
                </a:solidFill>
                <a:prstDash val="solid"/>
              </a:ln>
            </c:spPr>
            <c:extLst>
              <c:ext xmlns:c16="http://schemas.microsoft.com/office/drawing/2014/chart" uri="{C3380CC4-5D6E-409C-BE32-E72D297353CC}">
                <c16:uniqueId val="{00000003-FC52-40A0-A093-94D6AAEF3B85}"/>
              </c:ext>
            </c:extLst>
          </c:dPt>
          <c:dPt>
            <c:idx val="2"/>
            <c:bubble3D val="0"/>
            <c:spPr>
              <a:solidFill>
                <a:srgbClr val="1E49E2"/>
              </a:solidFill>
              <a:ln w="3175">
                <a:solidFill>
                  <a:srgbClr val="FFFFFF"/>
                </a:solidFill>
                <a:prstDash val="solid"/>
              </a:ln>
            </c:spPr>
            <c:extLst>
              <c:ext xmlns:c16="http://schemas.microsoft.com/office/drawing/2014/chart" uri="{C3380CC4-5D6E-409C-BE32-E72D297353CC}">
                <c16:uniqueId val="{00000005-FC52-40A0-A093-94D6AAEF3B85}"/>
              </c:ext>
            </c:extLst>
          </c:dPt>
          <c:dPt>
            <c:idx val="3"/>
            <c:bubble3D val="0"/>
            <c:spPr>
              <a:solidFill>
                <a:srgbClr val="76D2FF"/>
              </a:solidFill>
              <a:ln w="3175">
                <a:solidFill>
                  <a:srgbClr val="FFFFFF"/>
                </a:solidFill>
                <a:prstDash val="solid"/>
              </a:ln>
            </c:spPr>
            <c:extLst>
              <c:ext xmlns:c16="http://schemas.microsoft.com/office/drawing/2014/chart" uri="{C3380CC4-5D6E-409C-BE32-E72D297353CC}">
                <c16:uniqueId val="{00000007-FC52-40A0-A093-94D6AAEF3B85}"/>
              </c:ext>
            </c:extLst>
          </c:dPt>
          <c:dPt>
            <c:idx val="4"/>
            <c:bubble3D val="0"/>
            <c:spPr>
              <a:solidFill>
                <a:srgbClr val="7213EA"/>
              </a:solidFill>
              <a:ln w="3175">
                <a:solidFill>
                  <a:srgbClr val="FFFFFF"/>
                </a:solidFill>
                <a:prstDash val="solid"/>
              </a:ln>
            </c:spPr>
            <c:extLst>
              <c:ext xmlns:c16="http://schemas.microsoft.com/office/drawing/2014/chart" uri="{C3380CC4-5D6E-409C-BE32-E72D297353CC}">
                <c16:uniqueId val="{00000009-FC52-40A0-A093-94D6AAEF3B85}"/>
              </c:ext>
            </c:extLst>
          </c:dPt>
          <c:dLbls>
            <c:dLbl>
              <c:idx val="0"/>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1-FC52-40A0-A093-94D6AAEF3B85}"/>
                </c:ext>
              </c:extLst>
            </c:dLbl>
            <c:dLbl>
              <c:idx val="1"/>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3-FC52-40A0-A093-94D6AAEF3B85}"/>
                </c:ext>
              </c:extLst>
            </c:dLbl>
            <c:dLbl>
              <c:idx val="2"/>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5-FC52-40A0-A093-94D6AAEF3B85}"/>
                </c:ext>
              </c:extLst>
            </c:dLbl>
            <c:dLbl>
              <c:idx val="3"/>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7-FC52-40A0-A093-94D6AAEF3B85}"/>
                </c:ext>
              </c:extLst>
            </c:dLbl>
            <c:dLbl>
              <c:idx val="4"/>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9-FC52-40A0-A093-94D6AAEF3B85}"/>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Outcomes!$F$46:$F$50</c:f>
              <c:strCache>
                <c:ptCount val="5"/>
                <c:pt idx="0">
                  <c:v>Strongly agree</c:v>
                </c:pt>
                <c:pt idx="1">
                  <c:v>Somewhat agree</c:v>
                </c:pt>
                <c:pt idx="2">
                  <c:v>Neither agree nor disagree</c:v>
                </c:pt>
                <c:pt idx="3">
                  <c:v>Somewhat disagree</c:v>
                </c:pt>
                <c:pt idx="4">
                  <c:v>Strongly disagree</c:v>
                </c:pt>
              </c:strCache>
            </c:strRef>
          </c:cat>
          <c:val>
            <c:numRef>
              <c:f>Outcomes!$G$46:$G$50</c:f>
              <c:numCache>
                <c:formatCode>General</c:formatCode>
                <c:ptCount val="5"/>
                <c:pt idx="0">
                  <c:v>9</c:v>
                </c:pt>
                <c:pt idx="1">
                  <c:v>10</c:v>
                </c:pt>
                <c:pt idx="2">
                  <c:v>23</c:v>
                </c:pt>
                <c:pt idx="3">
                  <c:v>8</c:v>
                </c:pt>
                <c:pt idx="4">
                  <c:v>4</c:v>
                </c:pt>
              </c:numCache>
            </c:numRef>
          </c:val>
          <c:extLst>
            <c:ext xmlns:c16="http://schemas.microsoft.com/office/drawing/2014/chart" uri="{C3380CC4-5D6E-409C-BE32-E72D297353CC}">
              <c16:uniqueId val="{0000000A-FC52-40A0-A093-94D6AAEF3B85}"/>
            </c:ext>
          </c:extLst>
        </c:ser>
        <c:dLbls>
          <c:showLegendKey val="0"/>
          <c:showVal val="0"/>
          <c:showCatName val="0"/>
          <c:showSerName val="0"/>
          <c:showPercent val="0"/>
          <c:showBubbleSize val="0"/>
          <c:showLeaderLines val="1"/>
        </c:dLbls>
        <c:firstSliceAng val="0"/>
        <c:holeSize val="50"/>
      </c:doughnutChart>
      <c:spPr>
        <a:noFill/>
        <a:ln w="25400">
          <a:noFill/>
        </a:ln>
      </c:spPr>
    </c:plotArea>
    <c:legend>
      <c:legendPos val="r"/>
      <c:layout>
        <c:manualLayout>
          <c:xMode val="edge"/>
          <c:yMode val="edge"/>
          <c:x val="0.63053459599219241"/>
          <c:y val="0.21101424493567025"/>
          <c:w val="0.34566943879734463"/>
          <c:h val="0.59213094860515469"/>
        </c:manualLayout>
      </c:layout>
      <c:overlay val="0"/>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5"/>
          <c:order val="0"/>
          <c:tx>
            <c:strRef>
              <c:f>'Stream 1A Actuals'!$Q$9</c:f>
              <c:strCache>
                <c:ptCount val="1"/>
                <c:pt idx="0">
                  <c:v>2023</c:v>
                </c:pt>
              </c:strCache>
            </c:strRef>
          </c:tx>
          <c:spPr>
            <a:solidFill>
              <a:schemeClr val="accent6">
                <a:lumMod val="60000"/>
              </a:schemeClr>
            </a:solidFill>
            <a:ln>
              <a:noFill/>
            </a:ln>
            <a:effectLst/>
          </c:spPr>
          <c:invertIfNegative val="0"/>
          <c:cat>
            <c:strRef>
              <c:f>'Stream 1A Actuals'!$K$10:$K$26</c:f>
              <c:strCache>
                <c:ptCount val="17"/>
                <c:pt idx="0">
                  <c:v>Bank Charges</c:v>
                </c:pt>
                <c:pt idx="1">
                  <c:v>Depreciation</c:v>
                </c:pt>
                <c:pt idx="2">
                  <c:v>Facility Fees (Workshops)</c:v>
                </c:pt>
                <c:pt idx="3">
                  <c:v>Office</c:v>
                </c:pt>
                <c:pt idx="4">
                  <c:v>Legal &amp; Accounting</c:v>
                </c:pt>
                <c:pt idx="5">
                  <c:v>Insurances</c:v>
                </c:pt>
                <c:pt idx="6">
                  <c:v>Employment Expenses</c:v>
                </c:pt>
                <c:pt idx="7">
                  <c:v>Travel Expenses</c:v>
                </c:pt>
                <c:pt idx="8">
                  <c:v>Contractors</c:v>
                </c:pt>
                <c:pt idx="9">
                  <c:v>Business Systems</c:v>
                </c:pt>
                <c:pt idx="10">
                  <c:v>ICT/Telecommunications</c:v>
                </c:pt>
                <c:pt idx="11">
                  <c:v>Honorariums</c:v>
                </c:pt>
                <c:pt idx="12">
                  <c:v>Repairs/Maintenance</c:v>
                </c:pt>
                <c:pt idx="13">
                  <c:v>Rent Paid</c:v>
                </c:pt>
                <c:pt idx="14">
                  <c:v>Grant add (interest/G1)</c:v>
                </c:pt>
                <c:pt idx="15">
                  <c:v>Unexpended grants</c:v>
                </c:pt>
                <c:pt idx="16">
                  <c:v>Misc</c:v>
                </c:pt>
              </c:strCache>
            </c:strRef>
          </c:cat>
          <c:val>
            <c:numRef>
              <c:f>'Stream 1A Actuals'!$Q$10:$Q$26</c:f>
              <c:numCache>
                <c:formatCode>_-* #,##0_-;\-* #,##0_-;_-* "-"??_-;_-@_-</c:formatCode>
                <c:ptCount val="17"/>
                <c:pt idx="0">
                  <c:v>6144.64</c:v>
                </c:pt>
                <c:pt idx="1">
                  <c:v>0</c:v>
                </c:pt>
                <c:pt idx="2">
                  <c:v>9060</c:v>
                </c:pt>
                <c:pt idx="3">
                  <c:v>24608.46</c:v>
                </c:pt>
                <c:pt idx="4">
                  <c:v>17687</c:v>
                </c:pt>
                <c:pt idx="5">
                  <c:v>18462</c:v>
                </c:pt>
                <c:pt idx="6">
                  <c:v>1001271</c:v>
                </c:pt>
                <c:pt idx="7">
                  <c:v>64647.39</c:v>
                </c:pt>
                <c:pt idx="8">
                  <c:v>85790</c:v>
                </c:pt>
                <c:pt idx="9">
                  <c:v>89255</c:v>
                </c:pt>
                <c:pt idx="10">
                  <c:v>6816</c:v>
                </c:pt>
                <c:pt idx="11">
                  <c:v>118073</c:v>
                </c:pt>
                <c:pt idx="12">
                  <c:v>0</c:v>
                </c:pt>
                <c:pt idx="13">
                  <c:v>58148</c:v>
                </c:pt>
                <c:pt idx="15">
                  <c:v>0</c:v>
                </c:pt>
                <c:pt idx="16">
                  <c:v>0</c:v>
                </c:pt>
              </c:numCache>
            </c:numRef>
          </c:val>
          <c:extLst>
            <c:ext xmlns:c16="http://schemas.microsoft.com/office/drawing/2014/chart" uri="{C3380CC4-5D6E-409C-BE32-E72D297353CC}">
              <c16:uniqueId val="{00000000-9CF7-4DC1-BDF2-DFAA5A24B270}"/>
            </c:ext>
          </c:extLst>
        </c:ser>
        <c:ser>
          <c:idx val="4"/>
          <c:order val="1"/>
          <c:tx>
            <c:strRef>
              <c:f>'Stream 1A Actuals'!$P$9</c:f>
              <c:strCache>
                <c:ptCount val="1"/>
                <c:pt idx="0">
                  <c:v>2022</c:v>
                </c:pt>
              </c:strCache>
            </c:strRef>
          </c:tx>
          <c:spPr>
            <a:solidFill>
              <a:schemeClr val="accent4">
                <a:lumMod val="60000"/>
              </a:schemeClr>
            </a:solidFill>
            <a:ln>
              <a:noFill/>
            </a:ln>
            <a:effectLst/>
          </c:spPr>
          <c:invertIfNegative val="0"/>
          <c:cat>
            <c:strRef>
              <c:f>'Stream 1A Actuals'!$K$10:$K$26</c:f>
              <c:strCache>
                <c:ptCount val="17"/>
                <c:pt idx="0">
                  <c:v>Bank Charges</c:v>
                </c:pt>
                <c:pt idx="1">
                  <c:v>Depreciation</c:v>
                </c:pt>
                <c:pt idx="2">
                  <c:v>Facility Fees (Workshops)</c:v>
                </c:pt>
                <c:pt idx="3">
                  <c:v>Office</c:v>
                </c:pt>
                <c:pt idx="4">
                  <c:v>Legal &amp; Accounting</c:v>
                </c:pt>
                <c:pt idx="5">
                  <c:v>Insurances</c:v>
                </c:pt>
                <c:pt idx="6">
                  <c:v>Employment Expenses</c:v>
                </c:pt>
                <c:pt idx="7">
                  <c:v>Travel Expenses</c:v>
                </c:pt>
                <c:pt idx="8">
                  <c:v>Contractors</c:v>
                </c:pt>
                <c:pt idx="9">
                  <c:v>Business Systems</c:v>
                </c:pt>
                <c:pt idx="10">
                  <c:v>ICT/Telecommunications</c:v>
                </c:pt>
                <c:pt idx="11">
                  <c:v>Honorariums</c:v>
                </c:pt>
                <c:pt idx="12">
                  <c:v>Repairs/Maintenance</c:v>
                </c:pt>
                <c:pt idx="13">
                  <c:v>Rent Paid</c:v>
                </c:pt>
                <c:pt idx="14">
                  <c:v>Grant add (interest/G1)</c:v>
                </c:pt>
                <c:pt idx="15">
                  <c:v>Unexpended grants</c:v>
                </c:pt>
                <c:pt idx="16">
                  <c:v>Misc</c:v>
                </c:pt>
              </c:strCache>
            </c:strRef>
          </c:cat>
          <c:val>
            <c:numRef>
              <c:f>'Stream 1A Actuals'!$P$10:$P$26</c:f>
              <c:numCache>
                <c:formatCode>_-* #,##0_-;\-* #,##0_-;_-* "-"??_-;_-@_-</c:formatCode>
                <c:ptCount val="17"/>
                <c:pt idx="0">
                  <c:v>6292.93</c:v>
                </c:pt>
                <c:pt idx="1">
                  <c:v>0</c:v>
                </c:pt>
                <c:pt idx="2">
                  <c:v>7819.41</c:v>
                </c:pt>
                <c:pt idx="3">
                  <c:v>28939.1</c:v>
                </c:pt>
                <c:pt idx="4">
                  <c:v>15500.72</c:v>
                </c:pt>
                <c:pt idx="5">
                  <c:v>2418</c:v>
                </c:pt>
                <c:pt idx="6">
                  <c:v>902999.82</c:v>
                </c:pt>
                <c:pt idx="7">
                  <c:v>70920</c:v>
                </c:pt>
                <c:pt idx="8">
                  <c:v>209565.05</c:v>
                </c:pt>
                <c:pt idx="9">
                  <c:v>99408.7</c:v>
                </c:pt>
                <c:pt idx="10">
                  <c:v>4558.6400000000003</c:v>
                </c:pt>
                <c:pt idx="11">
                  <c:v>131121.44</c:v>
                </c:pt>
                <c:pt idx="12">
                  <c:v>0</c:v>
                </c:pt>
                <c:pt idx="13">
                  <c:v>54511.22</c:v>
                </c:pt>
                <c:pt idx="15">
                  <c:v>0</c:v>
                </c:pt>
                <c:pt idx="16">
                  <c:v>0</c:v>
                </c:pt>
              </c:numCache>
            </c:numRef>
          </c:val>
          <c:extLst>
            <c:ext xmlns:c16="http://schemas.microsoft.com/office/drawing/2014/chart" uri="{C3380CC4-5D6E-409C-BE32-E72D297353CC}">
              <c16:uniqueId val="{00000001-9CF7-4DC1-BDF2-DFAA5A24B270}"/>
            </c:ext>
          </c:extLst>
        </c:ser>
        <c:ser>
          <c:idx val="3"/>
          <c:order val="2"/>
          <c:tx>
            <c:strRef>
              <c:f>'Stream 1A Actuals'!$O$9</c:f>
              <c:strCache>
                <c:ptCount val="1"/>
                <c:pt idx="0">
                  <c:v>2021</c:v>
                </c:pt>
              </c:strCache>
            </c:strRef>
          </c:tx>
          <c:spPr>
            <a:solidFill>
              <a:schemeClr val="accent2">
                <a:lumMod val="60000"/>
              </a:schemeClr>
            </a:solidFill>
            <a:ln>
              <a:noFill/>
            </a:ln>
            <a:effectLst/>
          </c:spPr>
          <c:invertIfNegative val="0"/>
          <c:cat>
            <c:strRef>
              <c:f>'Stream 1A Actuals'!$K$10:$K$26</c:f>
              <c:strCache>
                <c:ptCount val="17"/>
                <c:pt idx="0">
                  <c:v>Bank Charges</c:v>
                </c:pt>
                <c:pt idx="1">
                  <c:v>Depreciation</c:v>
                </c:pt>
                <c:pt idx="2">
                  <c:v>Facility Fees (Workshops)</c:v>
                </c:pt>
                <c:pt idx="3">
                  <c:v>Office</c:v>
                </c:pt>
                <c:pt idx="4">
                  <c:v>Legal &amp; Accounting</c:v>
                </c:pt>
                <c:pt idx="5">
                  <c:v>Insurances</c:v>
                </c:pt>
                <c:pt idx="6">
                  <c:v>Employment Expenses</c:v>
                </c:pt>
                <c:pt idx="7">
                  <c:v>Travel Expenses</c:v>
                </c:pt>
                <c:pt idx="8">
                  <c:v>Contractors</c:v>
                </c:pt>
                <c:pt idx="9">
                  <c:v>Business Systems</c:v>
                </c:pt>
                <c:pt idx="10">
                  <c:v>ICT/Telecommunications</c:v>
                </c:pt>
                <c:pt idx="11">
                  <c:v>Honorariums</c:v>
                </c:pt>
                <c:pt idx="12">
                  <c:v>Repairs/Maintenance</c:v>
                </c:pt>
                <c:pt idx="13">
                  <c:v>Rent Paid</c:v>
                </c:pt>
                <c:pt idx="14">
                  <c:v>Grant add (interest/G1)</c:v>
                </c:pt>
                <c:pt idx="15">
                  <c:v>Unexpended grants</c:v>
                </c:pt>
                <c:pt idx="16">
                  <c:v>Misc</c:v>
                </c:pt>
              </c:strCache>
            </c:strRef>
          </c:cat>
          <c:val>
            <c:numRef>
              <c:f>'Stream 1A Actuals'!$O$10:$O$26</c:f>
              <c:numCache>
                <c:formatCode>_-* #,##0_-;\-* #,##0_-;_-* "-"??_-;_-@_-</c:formatCode>
                <c:ptCount val="17"/>
                <c:pt idx="0">
                  <c:v>14339</c:v>
                </c:pt>
                <c:pt idx="1">
                  <c:v>0</c:v>
                </c:pt>
                <c:pt idx="2">
                  <c:v>20703</c:v>
                </c:pt>
                <c:pt idx="3">
                  <c:v>41272</c:v>
                </c:pt>
                <c:pt idx="4">
                  <c:v>21163</c:v>
                </c:pt>
                <c:pt idx="5">
                  <c:v>15306</c:v>
                </c:pt>
                <c:pt idx="6">
                  <c:v>906693</c:v>
                </c:pt>
                <c:pt idx="7">
                  <c:v>10605</c:v>
                </c:pt>
                <c:pt idx="8">
                  <c:v>233333</c:v>
                </c:pt>
                <c:pt idx="9">
                  <c:v>89708</c:v>
                </c:pt>
                <c:pt idx="10">
                  <c:v>10865</c:v>
                </c:pt>
                <c:pt idx="11">
                  <c:v>166474</c:v>
                </c:pt>
                <c:pt idx="12">
                  <c:v>3512</c:v>
                </c:pt>
                <c:pt idx="13">
                  <c:v>60172</c:v>
                </c:pt>
                <c:pt idx="15">
                  <c:v>0</c:v>
                </c:pt>
                <c:pt idx="16">
                  <c:v>7624</c:v>
                </c:pt>
              </c:numCache>
            </c:numRef>
          </c:val>
          <c:extLst>
            <c:ext xmlns:c16="http://schemas.microsoft.com/office/drawing/2014/chart" uri="{C3380CC4-5D6E-409C-BE32-E72D297353CC}">
              <c16:uniqueId val="{00000002-9CF7-4DC1-BDF2-DFAA5A24B270}"/>
            </c:ext>
          </c:extLst>
        </c:ser>
        <c:ser>
          <c:idx val="1"/>
          <c:order val="4"/>
          <c:tx>
            <c:strRef>
              <c:f>'Stream 1A Actuals'!$M$9</c:f>
              <c:strCache>
                <c:ptCount val="1"/>
                <c:pt idx="0">
                  <c:v>2019</c:v>
                </c:pt>
              </c:strCache>
            </c:strRef>
          </c:tx>
          <c:spPr>
            <a:solidFill>
              <a:schemeClr val="accent4"/>
            </a:solidFill>
            <a:ln>
              <a:noFill/>
            </a:ln>
            <a:effectLst/>
          </c:spPr>
          <c:invertIfNegative val="0"/>
          <c:cat>
            <c:strRef>
              <c:f>'Stream 1A Actuals'!$K$10:$K$26</c:f>
              <c:strCache>
                <c:ptCount val="17"/>
                <c:pt idx="0">
                  <c:v>Bank Charges</c:v>
                </c:pt>
                <c:pt idx="1">
                  <c:v>Depreciation</c:v>
                </c:pt>
                <c:pt idx="2">
                  <c:v>Facility Fees (Workshops)</c:v>
                </c:pt>
                <c:pt idx="3">
                  <c:v>Office</c:v>
                </c:pt>
                <c:pt idx="4">
                  <c:v>Legal &amp; Accounting</c:v>
                </c:pt>
                <c:pt idx="5">
                  <c:v>Insurances</c:v>
                </c:pt>
                <c:pt idx="6">
                  <c:v>Employment Expenses</c:v>
                </c:pt>
                <c:pt idx="7">
                  <c:v>Travel Expenses</c:v>
                </c:pt>
                <c:pt idx="8">
                  <c:v>Contractors</c:v>
                </c:pt>
                <c:pt idx="9">
                  <c:v>Business Systems</c:v>
                </c:pt>
                <c:pt idx="10">
                  <c:v>ICT/Telecommunications</c:v>
                </c:pt>
                <c:pt idx="11">
                  <c:v>Honorariums</c:v>
                </c:pt>
                <c:pt idx="12">
                  <c:v>Repairs/Maintenance</c:v>
                </c:pt>
                <c:pt idx="13">
                  <c:v>Rent Paid</c:v>
                </c:pt>
                <c:pt idx="14">
                  <c:v>Grant add (interest/G1)</c:v>
                </c:pt>
                <c:pt idx="15">
                  <c:v>Unexpended grants</c:v>
                </c:pt>
                <c:pt idx="16">
                  <c:v>Misc</c:v>
                </c:pt>
              </c:strCache>
            </c:strRef>
          </c:cat>
          <c:val>
            <c:numRef>
              <c:f>'Stream 1A Actuals'!$M$10:$M$26</c:f>
              <c:numCache>
                <c:formatCode>_-* #,##0_-;\-* #,##0_-;_-* "-"??_-;_-@_-</c:formatCode>
                <c:ptCount val="17"/>
                <c:pt idx="0">
                  <c:v>5307</c:v>
                </c:pt>
                <c:pt idx="1">
                  <c:v>42044</c:v>
                </c:pt>
                <c:pt idx="2">
                  <c:v>1025</c:v>
                </c:pt>
                <c:pt idx="3">
                  <c:v>31367</c:v>
                </c:pt>
                <c:pt idx="4">
                  <c:v>16396</c:v>
                </c:pt>
                <c:pt idx="5">
                  <c:v>11939</c:v>
                </c:pt>
                <c:pt idx="6">
                  <c:v>672446</c:v>
                </c:pt>
                <c:pt idx="7">
                  <c:v>23687</c:v>
                </c:pt>
                <c:pt idx="8">
                  <c:v>328383</c:v>
                </c:pt>
                <c:pt idx="9">
                  <c:v>64358</c:v>
                </c:pt>
                <c:pt idx="10">
                  <c:v>12531</c:v>
                </c:pt>
                <c:pt idx="11">
                  <c:v>118571</c:v>
                </c:pt>
                <c:pt idx="12">
                  <c:v>10380</c:v>
                </c:pt>
                <c:pt idx="13">
                  <c:v>19958</c:v>
                </c:pt>
                <c:pt idx="14">
                  <c:v>60000</c:v>
                </c:pt>
                <c:pt idx="15">
                  <c:v>120064</c:v>
                </c:pt>
                <c:pt idx="16">
                  <c:v>35447</c:v>
                </c:pt>
              </c:numCache>
            </c:numRef>
          </c:val>
          <c:extLst>
            <c:ext xmlns:c16="http://schemas.microsoft.com/office/drawing/2014/chart" uri="{C3380CC4-5D6E-409C-BE32-E72D297353CC}">
              <c16:uniqueId val="{00000003-9CF7-4DC1-BDF2-DFAA5A24B270}"/>
            </c:ext>
          </c:extLst>
        </c:ser>
        <c:ser>
          <c:idx val="0"/>
          <c:order val="5"/>
          <c:tx>
            <c:strRef>
              <c:f>'Stream 1A Actuals'!$L$9</c:f>
              <c:strCache>
                <c:ptCount val="1"/>
                <c:pt idx="0">
                  <c:v>2018</c:v>
                </c:pt>
              </c:strCache>
            </c:strRef>
          </c:tx>
          <c:spPr>
            <a:solidFill>
              <a:schemeClr val="accent2"/>
            </a:solidFill>
            <a:ln>
              <a:noFill/>
            </a:ln>
            <a:effectLst/>
          </c:spPr>
          <c:invertIfNegative val="0"/>
          <c:cat>
            <c:strRef>
              <c:f>'Stream 1A Actuals'!$K$10:$K$26</c:f>
              <c:strCache>
                <c:ptCount val="17"/>
                <c:pt idx="0">
                  <c:v>Bank Charges</c:v>
                </c:pt>
                <c:pt idx="1">
                  <c:v>Depreciation</c:v>
                </c:pt>
                <c:pt idx="2">
                  <c:v>Facility Fees (Workshops)</c:v>
                </c:pt>
                <c:pt idx="3">
                  <c:v>Office</c:v>
                </c:pt>
                <c:pt idx="4">
                  <c:v>Legal &amp; Accounting</c:v>
                </c:pt>
                <c:pt idx="5">
                  <c:v>Insurances</c:v>
                </c:pt>
                <c:pt idx="6">
                  <c:v>Employment Expenses</c:v>
                </c:pt>
                <c:pt idx="7">
                  <c:v>Travel Expenses</c:v>
                </c:pt>
                <c:pt idx="8">
                  <c:v>Contractors</c:v>
                </c:pt>
                <c:pt idx="9">
                  <c:v>Business Systems</c:v>
                </c:pt>
                <c:pt idx="10">
                  <c:v>ICT/Telecommunications</c:v>
                </c:pt>
                <c:pt idx="11">
                  <c:v>Honorariums</c:v>
                </c:pt>
                <c:pt idx="12">
                  <c:v>Repairs/Maintenance</c:v>
                </c:pt>
                <c:pt idx="13">
                  <c:v>Rent Paid</c:v>
                </c:pt>
                <c:pt idx="14">
                  <c:v>Grant add (interest/G1)</c:v>
                </c:pt>
                <c:pt idx="15">
                  <c:v>Unexpended grants</c:v>
                </c:pt>
                <c:pt idx="16">
                  <c:v>Misc</c:v>
                </c:pt>
              </c:strCache>
            </c:strRef>
          </c:cat>
          <c:val>
            <c:numRef>
              <c:f>'Stream 1A Actuals'!$L$10:$L$26</c:f>
              <c:numCache>
                <c:formatCode>_-* #,##0_-;\-* #,##0_-;_-* "-"??_-;_-@_-</c:formatCode>
                <c:ptCount val="17"/>
                <c:pt idx="0">
                  <c:v>1210</c:v>
                </c:pt>
                <c:pt idx="1">
                  <c:v>24472</c:v>
                </c:pt>
                <c:pt idx="2">
                  <c:v>10462</c:v>
                </c:pt>
                <c:pt idx="3">
                  <c:v>20572</c:v>
                </c:pt>
                <c:pt idx="4">
                  <c:v>60293</c:v>
                </c:pt>
                <c:pt idx="5">
                  <c:v>16583</c:v>
                </c:pt>
                <c:pt idx="6">
                  <c:v>746197</c:v>
                </c:pt>
                <c:pt idx="7">
                  <c:v>14284</c:v>
                </c:pt>
                <c:pt idx="8">
                  <c:v>265957</c:v>
                </c:pt>
                <c:pt idx="9">
                  <c:v>41942</c:v>
                </c:pt>
                <c:pt idx="10">
                  <c:v>28775</c:v>
                </c:pt>
                <c:pt idx="11">
                  <c:v>87478</c:v>
                </c:pt>
                <c:pt idx="12">
                  <c:v>2138</c:v>
                </c:pt>
                <c:pt idx="13">
                  <c:v>49950</c:v>
                </c:pt>
                <c:pt idx="14">
                  <c:v>158371</c:v>
                </c:pt>
                <c:pt idx="15">
                  <c:v>77826</c:v>
                </c:pt>
                <c:pt idx="16">
                  <c:v>76559</c:v>
                </c:pt>
              </c:numCache>
            </c:numRef>
          </c:val>
          <c:extLst>
            <c:ext xmlns:c16="http://schemas.microsoft.com/office/drawing/2014/chart" uri="{C3380CC4-5D6E-409C-BE32-E72D297353CC}">
              <c16:uniqueId val="{00000004-9CF7-4DC1-BDF2-DFAA5A24B270}"/>
            </c:ext>
          </c:extLst>
        </c:ser>
        <c:dLbls>
          <c:showLegendKey val="0"/>
          <c:showVal val="0"/>
          <c:showCatName val="0"/>
          <c:showSerName val="0"/>
          <c:showPercent val="0"/>
          <c:showBubbleSize val="0"/>
        </c:dLbls>
        <c:gapWidth val="182"/>
        <c:axId val="1857796224"/>
        <c:axId val="50752959"/>
        <c:extLst>
          <c:ext xmlns:c15="http://schemas.microsoft.com/office/drawing/2012/chart" uri="{02D57815-91ED-43cb-92C2-25804820EDAC}">
            <c15:filteredBarSeries>
              <c15:ser>
                <c:idx val="2"/>
                <c:order val="3"/>
                <c:tx>
                  <c:strRef>
                    <c:extLst>
                      <c:ext uri="{02D57815-91ED-43cb-92C2-25804820EDAC}">
                        <c15:formulaRef>
                          <c15:sqref>'Stream 1A Actuals'!$N$9</c15:sqref>
                        </c15:formulaRef>
                      </c:ext>
                    </c:extLst>
                    <c:strCache>
                      <c:ptCount val="1"/>
                      <c:pt idx="0">
                        <c:v>2020</c:v>
                      </c:pt>
                    </c:strCache>
                  </c:strRef>
                </c:tx>
                <c:spPr>
                  <a:solidFill>
                    <a:schemeClr val="accent6"/>
                  </a:solidFill>
                  <a:ln>
                    <a:noFill/>
                  </a:ln>
                  <a:effectLst/>
                </c:spPr>
                <c:invertIfNegative val="0"/>
                <c:cat>
                  <c:strRef>
                    <c:extLst>
                      <c:ext uri="{02D57815-91ED-43cb-92C2-25804820EDAC}">
                        <c15:formulaRef>
                          <c15:sqref>'Stream 1A Actuals'!$K$10:$K$26</c15:sqref>
                        </c15:formulaRef>
                      </c:ext>
                    </c:extLst>
                    <c:strCache>
                      <c:ptCount val="17"/>
                      <c:pt idx="0">
                        <c:v>Bank Charges</c:v>
                      </c:pt>
                      <c:pt idx="1">
                        <c:v>Depreciation</c:v>
                      </c:pt>
                      <c:pt idx="2">
                        <c:v>Facility Fees (Workshops)</c:v>
                      </c:pt>
                      <c:pt idx="3">
                        <c:v>Office</c:v>
                      </c:pt>
                      <c:pt idx="4">
                        <c:v>Legal &amp; Accounting</c:v>
                      </c:pt>
                      <c:pt idx="5">
                        <c:v>Insurances</c:v>
                      </c:pt>
                      <c:pt idx="6">
                        <c:v>Employment Expenses</c:v>
                      </c:pt>
                      <c:pt idx="7">
                        <c:v>Travel Expenses</c:v>
                      </c:pt>
                      <c:pt idx="8">
                        <c:v>Contractors</c:v>
                      </c:pt>
                      <c:pt idx="9">
                        <c:v>Business Systems</c:v>
                      </c:pt>
                      <c:pt idx="10">
                        <c:v>ICT/Telecommunications</c:v>
                      </c:pt>
                      <c:pt idx="11">
                        <c:v>Honorariums</c:v>
                      </c:pt>
                      <c:pt idx="12">
                        <c:v>Repairs/Maintenance</c:v>
                      </c:pt>
                      <c:pt idx="13">
                        <c:v>Rent Paid</c:v>
                      </c:pt>
                      <c:pt idx="14">
                        <c:v>Grant add (interest/G1)</c:v>
                      </c:pt>
                      <c:pt idx="15">
                        <c:v>Unexpended grants</c:v>
                      </c:pt>
                      <c:pt idx="16">
                        <c:v>Misc</c:v>
                      </c:pt>
                    </c:strCache>
                  </c:strRef>
                </c:cat>
                <c:val>
                  <c:numRef>
                    <c:extLst>
                      <c:ext uri="{02D57815-91ED-43cb-92C2-25804820EDAC}">
                        <c15:formulaRef>
                          <c15:sqref>'Stream 1A Actuals'!$N$10:$N$26</c15:sqref>
                        </c15:formulaRef>
                      </c:ext>
                    </c:extLst>
                    <c:numCache>
                      <c:formatCode>_-* #,##0_-;\-* #,##0_-;_-* "-"??_-;_-@_-</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5">
                        <c:v>0</c:v>
                      </c:pt>
                      <c:pt idx="16">
                        <c:v>0</c:v>
                      </c:pt>
                    </c:numCache>
                  </c:numRef>
                </c:val>
                <c:extLst>
                  <c:ext xmlns:c16="http://schemas.microsoft.com/office/drawing/2014/chart" uri="{C3380CC4-5D6E-409C-BE32-E72D297353CC}">
                    <c16:uniqueId val="{00000005-9CF7-4DC1-BDF2-DFAA5A24B270}"/>
                  </c:ext>
                </c:extLst>
              </c15:ser>
            </c15:filteredBarSeries>
          </c:ext>
        </c:extLst>
      </c:barChart>
      <c:catAx>
        <c:axId val="1857796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52959"/>
        <c:crosses val="autoZero"/>
        <c:auto val="1"/>
        <c:lblAlgn val="ctr"/>
        <c:lblOffset val="100"/>
        <c:noMultiLvlLbl val="0"/>
      </c:catAx>
      <c:valAx>
        <c:axId val="50752959"/>
        <c:scaling>
          <c:orientation val="minMax"/>
          <c:max val="1000000"/>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79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65939257592801"/>
          <c:y val="0.15212491052254831"/>
          <c:w val="0.74655738121480275"/>
          <c:h val="0.63908852923714521"/>
        </c:manualLayout>
      </c:layout>
      <c:lineChart>
        <c:grouping val="standard"/>
        <c:varyColors val="0"/>
        <c:ser>
          <c:idx val="0"/>
          <c:order val="0"/>
          <c:tx>
            <c:strRef>
              <c:f>Enrolments!$C$18</c:f>
              <c:strCache>
                <c:ptCount val="1"/>
                <c:pt idx="0">
                  <c:v>Target enrolments</c:v>
                </c:pt>
              </c:strCache>
            </c:strRef>
          </c:tx>
          <c:spPr>
            <a:ln w="12700">
              <a:solidFill>
                <a:srgbClr val="000080"/>
              </a:solidFill>
              <a:prstDash val="solid"/>
            </a:ln>
          </c:spPr>
          <c:marker>
            <c:symbol val="diamond"/>
            <c:size val="3"/>
            <c:spPr>
              <a:solidFill>
                <a:srgbClr val="000080"/>
              </a:solidFill>
              <a:ln>
                <a:solidFill>
                  <a:srgbClr val="000080"/>
                </a:solidFill>
                <a:prstDash val="solid"/>
              </a:ln>
            </c:spPr>
          </c:marker>
          <c:cat>
            <c:numRef>
              <c:f>Enrolments!$F$17:$K$17</c:f>
              <c:numCache>
                <c:formatCode>General</c:formatCode>
                <c:ptCount val="6"/>
                <c:pt idx="0">
                  <c:v>2018</c:v>
                </c:pt>
                <c:pt idx="1">
                  <c:v>2019</c:v>
                </c:pt>
                <c:pt idx="2">
                  <c:v>2020</c:v>
                </c:pt>
                <c:pt idx="3">
                  <c:v>2021</c:v>
                </c:pt>
                <c:pt idx="4">
                  <c:v>2022</c:v>
                </c:pt>
                <c:pt idx="5">
                  <c:v>2023</c:v>
                </c:pt>
              </c:numCache>
              <c:extLst/>
            </c:numRef>
          </c:cat>
          <c:val>
            <c:numRef>
              <c:f>Enrolments!$F$18:$K$18</c:f>
              <c:numCache>
                <c:formatCode>General</c:formatCode>
                <c:ptCount val="6"/>
                <c:pt idx="0">
                  <c:v>115</c:v>
                </c:pt>
                <c:pt idx="1">
                  <c:v>120</c:v>
                </c:pt>
                <c:pt idx="2">
                  <c:v>120</c:v>
                </c:pt>
                <c:pt idx="3">
                  <c:v>120</c:v>
                </c:pt>
                <c:pt idx="4">
                  <c:v>104</c:v>
                </c:pt>
                <c:pt idx="5">
                  <c:v>104</c:v>
                </c:pt>
              </c:numCache>
              <c:extLst/>
            </c:numRef>
          </c:val>
          <c:smooth val="0"/>
          <c:extLst>
            <c:ext xmlns:c16="http://schemas.microsoft.com/office/drawing/2014/chart" uri="{C3380CC4-5D6E-409C-BE32-E72D297353CC}">
              <c16:uniqueId val="{00000000-132A-44CF-8928-65794F1A33DB}"/>
            </c:ext>
          </c:extLst>
        </c:ser>
        <c:ser>
          <c:idx val="1"/>
          <c:order val="1"/>
          <c:tx>
            <c:strRef>
              <c:f>Enrolments!$C$19</c:f>
              <c:strCache>
                <c:ptCount val="1"/>
                <c:pt idx="0">
                  <c:v>Actual enrolments</c:v>
                </c:pt>
              </c:strCache>
            </c:strRef>
          </c:tx>
          <c:spPr>
            <a:ln w="12700">
              <a:solidFill>
                <a:srgbClr val="FF00FF"/>
              </a:solidFill>
              <a:prstDash val="solid"/>
            </a:ln>
          </c:spPr>
          <c:marker>
            <c:symbol val="square"/>
            <c:size val="3"/>
            <c:spPr>
              <a:solidFill>
                <a:srgbClr val="FF00FF"/>
              </a:solidFill>
              <a:ln>
                <a:solidFill>
                  <a:srgbClr val="FF00FF"/>
                </a:solidFill>
                <a:prstDash val="solid"/>
              </a:ln>
            </c:spPr>
          </c:marker>
          <c:cat>
            <c:numRef>
              <c:f>Enrolments!$F$17:$K$17</c:f>
              <c:numCache>
                <c:formatCode>General</c:formatCode>
                <c:ptCount val="6"/>
                <c:pt idx="0">
                  <c:v>2018</c:v>
                </c:pt>
                <c:pt idx="1">
                  <c:v>2019</c:v>
                </c:pt>
                <c:pt idx="2">
                  <c:v>2020</c:v>
                </c:pt>
                <c:pt idx="3">
                  <c:v>2021</c:v>
                </c:pt>
                <c:pt idx="4">
                  <c:v>2022</c:v>
                </c:pt>
                <c:pt idx="5">
                  <c:v>2023</c:v>
                </c:pt>
              </c:numCache>
              <c:extLst/>
            </c:numRef>
          </c:cat>
          <c:val>
            <c:numRef>
              <c:f>Enrolments!$F$19:$K$19</c:f>
              <c:numCache>
                <c:formatCode>General</c:formatCode>
                <c:ptCount val="6"/>
                <c:pt idx="0">
                  <c:v>116</c:v>
                </c:pt>
                <c:pt idx="1">
                  <c:v>124</c:v>
                </c:pt>
                <c:pt idx="2">
                  <c:v>116</c:v>
                </c:pt>
                <c:pt idx="3">
                  <c:v>116</c:v>
                </c:pt>
                <c:pt idx="4">
                  <c:v>112</c:v>
                </c:pt>
                <c:pt idx="5">
                  <c:v>115</c:v>
                </c:pt>
              </c:numCache>
              <c:extLst/>
            </c:numRef>
          </c:val>
          <c:smooth val="0"/>
          <c:extLst>
            <c:ext xmlns:c16="http://schemas.microsoft.com/office/drawing/2014/chart" uri="{C3380CC4-5D6E-409C-BE32-E72D297353CC}">
              <c16:uniqueId val="{00000001-132A-44CF-8928-65794F1A33DB}"/>
            </c:ext>
          </c:extLst>
        </c:ser>
        <c:dLbls>
          <c:showLegendKey val="0"/>
          <c:showVal val="0"/>
          <c:showCatName val="0"/>
          <c:showSerName val="0"/>
          <c:showPercent val="0"/>
          <c:showBubbleSize val="0"/>
        </c:dLbls>
        <c:marker val="1"/>
        <c:smooth val="0"/>
        <c:axId val="1142495232"/>
        <c:axId val="1091421216"/>
      </c:lineChart>
      <c:catAx>
        <c:axId val="1142495232"/>
        <c:scaling>
          <c:orientation val="minMax"/>
        </c:scaling>
        <c:delete val="0"/>
        <c:axPos val="b"/>
        <c:numFmt formatCode="General" sourceLinked="1"/>
        <c:majorTickMark val="out"/>
        <c:minorTickMark val="none"/>
        <c:tickLblPos val="low"/>
        <c:spPr>
          <a:ln w="3175">
            <a:solidFill>
              <a:srgbClr val="000000"/>
            </a:solidFill>
            <a:prstDash val="solid"/>
          </a:ln>
        </c:spPr>
        <c:crossAx val="1091421216"/>
        <c:crosses val="autoZero"/>
        <c:auto val="1"/>
        <c:lblAlgn val="ctr"/>
        <c:lblOffset val="100"/>
        <c:noMultiLvlLbl val="0"/>
      </c:catAx>
      <c:valAx>
        <c:axId val="1091421216"/>
        <c:scaling>
          <c:orientation val="minMax"/>
          <c:min val="0"/>
        </c:scaling>
        <c:delete val="0"/>
        <c:axPos val="l"/>
        <c:title>
          <c:tx>
            <c:rich>
              <a:bodyPr rot="-5400000" vert="horz"/>
              <a:lstStyle/>
              <a:p>
                <a:pPr>
                  <a:defRPr/>
                </a:pPr>
                <a:r>
                  <a:rPr lang="en-AU"/>
                  <a:t>Enrolments</a:t>
                </a:r>
              </a:p>
            </c:rich>
          </c:tx>
          <c:layout>
            <c:manualLayout>
              <c:xMode val="edge"/>
              <c:yMode val="edge"/>
              <c:x val="2.5714285714285714E-2"/>
              <c:y val="0.32041088045812455"/>
            </c:manualLayout>
          </c:layout>
          <c:overlay val="0"/>
        </c:title>
        <c:numFmt formatCode="General" sourceLinked="1"/>
        <c:majorTickMark val="out"/>
        <c:minorTickMark val="none"/>
        <c:tickLblPos val="nextTo"/>
        <c:spPr>
          <a:ln w="3175">
            <a:solidFill>
              <a:srgbClr val="000000"/>
            </a:solidFill>
            <a:prstDash val="solid"/>
          </a:ln>
        </c:spPr>
        <c:crossAx val="1142495232"/>
        <c:crosses val="autoZero"/>
        <c:crossBetween val="midCat"/>
      </c:valAx>
      <c:spPr>
        <a:noFill/>
        <a:ln w="25400">
          <a:noFill/>
        </a:ln>
      </c:spPr>
    </c:plotArea>
    <c:legend>
      <c:legendPos val="b"/>
      <c:layout>
        <c:manualLayout>
          <c:xMode val="edge"/>
          <c:yMode val="edge"/>
          <c:x val="8.6621874112153038E-2"/>
          <c:y val="0.90566575185387832"/>
          <c:w val="0.91337805270815053"/>
          <c:h val="6.7479957050823186E-2"/>
        </c:manualLayout>
      </c:layout>
      <c:overlay val="0"/>
      <c:spPr>
        <a:noFill/>
        <a:ln w="25400">
          <a:noFill/>
        </a:ln>
      </c:sp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noFill/>
    </a:ln>
  </c:spPr>
  <c:txPr>
    <a:bodyPr/>
    <a:lstStyle/>
    <a:p>
      <a:pPr>
        <a:defRPr sz="800" b="0" i="0">
          <a:solidFill>
            <a:schemeClr val="bg1"/>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65939257592801"/>
          <c:y val="0.15212491052254831"/>
          <c:w val="0.70529790824019334"/>
          <c:h val="0.62411848102754897"/>
        </c:manualLayout>
      </c:layout>
      <c:lineChart>
        <c:grouping val="standard"/>
        <c:varyColors val="0"/>
        <c:ser>
          <c:idx val="0"/>
          <c:order val="0"/>
          <c:tx>
            <c:strRef>
              <c:f>Enrolments!$AB$18</c:f>
              <c:strCache>
                <c:ptCount val="1"/>
                <c:pt idx="0">
                  <c:v>Target certifications</c:v>
                </c:pt>
              </c:strCache>
            </c:strRef>
          </c:tx>
          <c:spPr>
            <a:ln w="12700">
              <a:solidFill>
                <a:srgbClr val="000080"/>
              </a:solidFill>
            </a:ln>
          </c:spPr>
          <c:marker>
            <c:symbol val="diamond"/>
            <c:size val="3"/>
            <c:spPr>
              <a:solidFill>
                <a:srgbClr val="000080"/>
              </a:solidFill>
              <a:ln>
                <a:solidFill>
                  <a:srgbClr val="000080"/>
                </a:solidFill>
                <a:prstDash val="solid"/>
              </a:ln>
            </c:spPr>
          </c:marker>
          <c:cat>
            <c:numRef>
              <c:f>Enrolments!$AE$17:$AJ$17</c:f>
              <c:numCache>
                <c:formatCode>General</c:formatCode>
                <c:ptCount val="6"/>
                <c:pt idx="0">
                  <c:v>2018</c:v>
                </c:pt>
                <c:pt idx="1">
                  <c:v>2019</c:v>
                </c:pt>
                <c:pt idx="2">
                  <c:v>2020</c:v>
                </c:pt>
                <c:pt idx="3">
                  <c:v>2021</c:v>
                </c:pt>
                <c:pt idx="4">
                  <c:v>2022</c:v>
                </c:pt>
                <c:pt idx="5">
                  <c:v>2023</c:v>
                </c:pt>
              </c:numCache>
            </c:numRef>
          </c:cat>
          <c:val>
            <c:numRef>
              <c:f>Enrolments!$AE$18:$AJ$18</c:f>
              <c:numCache>
                <c:formatCode>General</c:formatCode>
                <c:ptCount val="6"/>
                <c:pt idx="0">
                  <c:v>20</c:v>
                </c:pt>
                <c:pt idx="1">
                  <c:v>20</c:v>
                </c:pt>
                <c:pt idx="2">
                  <c:v>20</c:v>
                </c:pt>
                <c:pt idx="3">
                  <c:v>20</c:v>
                </c:pt>
                <c:pt idx="4">
                  <c:v>22</c:v>
                </c:pt>
                <c:pt idx="5">
                  <c:v>22</c:v>
                </c:pt>
              </c:numCache>
            </c:numRef>
          </c:val>
          <c:smooth val="0"/>
          <c:extLst>
            <c:ext xmlns:c16="http://schemas.microsoft.com/office/drawing/2014/chart" uri="{C3380CC4-5D6E-409C-BE32-E72D297353CC}">
              <c16:uniqueId val="{00000000-D557-4CF8-9ADC-8907FAD71D3D}"/>
            </c:ext>
          </c:extLst>
        </c:ser>
        <c:ser>
          <c:idx val="1"/>
          <c:order val="1"/>
          <c:tx>
            <c:strRef>
              <c:f>Enrolments!$AB$19</c:f>
              <c:strCache>
                <c:ptCount val="1"/>
                <c:pt idx="0">
                  <c:v>Actual certifications</c:v>
                </c:pt>
              </c:strCache>
            </c:strRef>
          </c:tx>
          <c:spPr>
            <a:ln w="12700">
              <a:solidFill>
                <a:srgbClr val="FF00FF"/>
              </a:solidFill>
            </a:ln>
          </c:spPr>
          <c:marker>
            <c:symbol val="square"/>
            <c:size val="3"/>
            <c:spPr>
              <a:solidFill>
                <a:srgbClr val="FF00FF"/>
              </a:solidFill>
              <a:ln>
                <a:solidFill>
                  <a:srgbClr val="FF00FF"/>
                </a:solidFill>
                <a:prstDash val="solid"/>
              </a:ln>
            </c:spPr>
          </c:marker>
          <c:cat>
            <c:numRef>
              <c:f>Enrolments!$AE$17:$AJ$17</c:f>
              <c:numCache>
                <c:formatCode>General</c:formatCode>
                <c:ptCount val="6"/>
                <c:pt idx="0">
                  <c:v>2018</c:v>
                </c:pt>
                <c:pt idx="1">
                  <c:v>2019</c:v>
                </c:pt>
                <c:pt idx="2">
                  <c:v>2020</c:v>
                </c:pt>
                <c:pt idx="3">
                  <c:v>2021</c:v>
                </c:pt>
                <c:pt idx="4">
                  <c:v>2022</c:v>
                </c:pt>
                <c:pt idx="5">
                  <c:v>2023</c:v>
                </c:pt>
              </c:numCache>
            </c:numRef>
          </c:cat>
          <c:val>
            <c:numRef>
              <c:f>Enrolments!$AE$19:$AJ$19</c:f>
              <c:numCache>
                <c:formatCode>General</c:formatCode>
                <c:ptCount val="6"/>
                <c:pt idx="0">
                  <c:v>18</c:v>
                </c:pt>
                <c:pt idx="1">
                  <c:v>25</c:v>
                </c:pt>
                <c:pt idx="2">
                  <c:v>23</c:v>
                </c:pt>
                <c:pt idx="3">
                  <c:v>24</c:v>
                </c:pt>
                <c:pt idx="4">
                  <c:v>25</c:v>
                </c:pt>
                <c:pt idx="5">
                  <c:v>32</c:v>
                </c:pt>
              </c:numCache>
            </c:numRef>
          </c:val>
          <c:smooth val="0"/>
          <c:extLst>
            <c:ext xmlns:c16="http://schemas.microsoft.com/office/drawing/2014/chart" uri="{C3380CC4-5D6E-409C-BE32-E72D297353CC}">
              <c16:uniqueId val="{00000001-D557-4CF8-9ADC-8907FAD71D3D}"/>
            </c:ext>
          </c:extLst>
        </c:ser>
        <c:dLbls>
          <c:showLegendKey val="0"/>
          <c:showVal val="0"/>
          <c:showCatName val="0"/>
          <c:showSerName val="0"/>
          <c:showPercent val="0"/>
          <c:showBubbleSize val="0"/>
        </c:dLbls>
        <c:marker val="1"/>
        <c:smooth val="0"/>
        <c:axId val="1142495232"/>
        <c:axId val="1091421216"/>
      </c:lineChart>
      <c:catAx>
        <c:axId val="1142495232"/>
        <c:scaling>
          <c:orientation val="minMax"/>
        </c:scaling>
        <c:delete val="0"/>
        <c:axPos val="b"/>
        <c:numFmt formatCode="General" sourceLinked="1"/>
        <c:majorTickMark val="out"/>
        <c:minorTickMark val="none"/>
        <c:tickLblPos val="low"/>
        <c:spPr>
          <a:ln w="3175">
            <a:solidFill>
              <a:srgbClr val="000000"/>
            </a:solidFill>
            <a:prstDash val="solid"/>
          </a:ln>
        </c:spPr>
        <c:crossAx val="1091421216"/>
        <c:crosses val="autoZero"/>
        <c:auto val="1"/>
        <c:lblAlgn val="ctr"/>
        <c:lblOffset val="100"/>
        <c:noMultiLvlLbl val="0"/>
      </c:catAx>
      <c:valAx>
        <c:axId val="1091421216"/>
        <c:scaling>
          <c:orientation val="minMax"/>
        </c:scaling>
        <c:delete val="0"/>
        <c:axPos val="l"/>
        <c:title>
          <c:tx>
            <c:rich>
              <a:bodyPr rot="-5400000" vert="horz"/>
              <a:lstStyle/>
              <a:p>
                <a:pPr>
                  <a:defRPr/>
                </a:pPr>
                <a:r>
                  <a:rPr lang="en-AU"/>
                  <a:t>Certifications / registrations</a:t>
                </a:r>
              </a:p>
            </c:rich>
          </c:tx>
          <c:layout>
            <c:manualLayout>
              <c:xMode val="edge"/>
              <c:yMode val="edge"/>
              <c:x val="2.5714285714285714E-2"/>
              <c:y val="0.32041088045812455"/>
            </c:manualLayout>
          </c:layout>
          <c:overlay val="0"/>
        </c:title>
        <c:numFmt formatCode="General" sourceLinked="1"/>
        <c:majorTickMark val="out"/>
        <c:minorTickMark val="none"/>
        <c:tickLblPos val="nextTo"/>
        <c:spPr>
          <a:ln w="3175">
            <a:solidFill>
              <a:srgbClr val="000000"/>
            </a:solidFill>
            <a:prstDash val="solid"/>
          </a:ln>
        </c:spPr>
        <c:crossAx val="1142495232"/>
        <c:crosses val="autoZero"/>
        <c:crossBetween val="midCat"/>
      </c:valAx>
      <c:spPr>
        <a:noFill/>
        <a:ln w="25400">
          <a:noFill/>
        </a:ln>
      </c:spPr>
    </c:plotArea>
    <c:legend>
      <c:legendPos val="b"/>
      <c:layout>
        <c:manualLayout>
          <c:xMode val="edge"/>
          <c:yMode val="edge"/>
          <c:x val="3.7229854246942529E-2"/>
          <c:y val="0.91614272065364211"/>
          <c:w val="0.91337804848861981"/>
          <c:h val="6.7479957050823186E-2"/>
        </c:manualLayout>
      </c:layout>
      <c:overlay val="0"/>
      <c:spPr>
        <a:noFill/>
        <a:ln w="25400">
          <a:noFill/>
        </a:ln>
      </c:sp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noFill/>
    </a:ln>
  </c:spPr>
  <c:txPr>
    <a:bodyPr/>
    <a:lstStyle/>
    <a:p>
      <a:pPr>
        <a:defRPr sz="800" b="0" i="0">
          <a:solidFill>
            <a:schemeClr val="bg1"/>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09157883292553"/>
          <c:y val="6.1566597142427792E-2"/>
          <c:w val="0.63509183452469498"/>
          <c:h val="0.76561153108723023"/>
        </c:manualLayout>
      </c:layout>
      <c:barChart>
        <c:barDir val="bar"/>
        <c:grouping val="clustered"/>
        <c:varyColors val="0"/>
        <c:ser>
          <c:idx val="4"/>
          <c:order val="0"/>
          <c:tx>
            <c:strRef>
              <c:f>'Stream 2A Actuals'!$Q$6</c:f>
              <c:strCache>
                <c:ptCount val="1"/>
                <c:pt idx="0">
                  <c:v>2023</c:v>
                </c:pt>
              </c:strCache>
            </c:strRef>
          </c:tx>
          <c:spPr>
            <a:solidFill>
              <a:srgbClr val="00338D"/>
            </a:solidFill>
            <a:ln w="3175">
              <a:solidFill>
                <a:srgbClr val="FFFFFF"/>
              </a:solidFill>
              <a:prstDash val="solid"/>
            </a:ln>
            <a:effectLst/>
          </c:spPr>
          <c:invertIfNegative val="0"/>
          <c:cat>
            <c:strRef>
              <c:f>'Stream 2A Actuals'!$K$7:$K$11</c:f>
              <c:strCache>
                <c:ptCount val="5"/>
                <c:pt idx="0">
                  <c:v>Grants payable</c:v>
                </c:pt>
                <c:pt idx="1">
                  <c:v>Regional Innovations Pool Payable</c:v>
                </c:pt>
                <c:pt idx="2">
                  <c:v>Grant Administration and Projects</c:v>
                </c:pt>
                <c:pt idx="3">
                  <c:v>Other</c:v>
                </c:pt>
                <c:pt idx="4">
                  <c:v>Prior year Grants Payable</c:v>
                </c:pt>
              </c:strCache>
            </c:strRef>
          </c:cat>
          <c:val>
            <c:numRef>
              <c:f>'Stream 2A Actuals'!$Q$7:$Q$11</c:f>
              <c:numCache>
                <c:formatCode>_(* #,##0.00_);_(* \(#,##0.00\);_(* "-"??_);_(@_)</c:formatCode>
                <c:ptCount val="5"/>
                <c:pt idx="0">
                  <c:v>2620000</c:v>
                </c:pt>
                <c:pt idx="1">
                  <c:v>227196</c:v>
                </c:pt>
                <c:pt idx="2">
                  <c:v>136552</c:v>
                </c:pt>
                <c:pt idx="3">
                  <c:v>0</c:v>
                </c:pt>
                <c:pt idx="4">
                  <c:v>1280000</c:v>
                </c:pt>
              </c:numCache>
            </c:numRef>
          </c:val>
          <c:extLst>
            <c:ext xmlns:c16="http://schemas.microsoft.com/office/drawing/2014/chart" uri="{C3380CC4-5D6E-409C-BE32-E72D297353CC}">
              <c16:uniqueId val="{00000000-8B25-4102-849F-EED61FBE88A2}"/>
            </c:ext>
          </c:extLst>
        </c:ser>
        <c:ser>
          <c:idx val="3"/>
          <c:order val="1"/>
          <c:tx>
            <c:strRef>
              <c:f>'Stream 2A Actuals'!$P$6</c:f>
              <c:strCache>
                <c:ptCount val="1"/>
                <c:pt idx="0">
                  <c:v>2022</c:v>
                </c:pt>
              </c:strCache>
            </c:strRef>
          </c:tx>
          <c:spPr>
            <a:solidFill>
              <a:srgbClr val="00B8F5"/>
            </a:solidFill>
            <a:ln w="3175">
              <a:solidFill>
                <a:srgbClr val="FFFFFF"/>
              </a:solidFill>
              <a:prstDash val="solid"/>
            </a:ln>
            <a:effectLst/>
          </c:spPr>
          <c:invertIfNegative val="0"/>
          <c:cat>
            <c:strRef>
              <c:f>'Stream 2A Actuals'!$K$7:$K$11</c:f>
              <c:strCache>
                <c:ptCount val="5"/>
                <c:pt idx="0">
                  <c:v>Grants payable</c:v>
                </c:pt>
                <c:pt idx="1">
                  <c:v>Regional Innovations Pool Payable</c:v>
                </c:pt>
                <c:pt idx="2">
                  <c:v>Grant Administration and Projects</c:v>
                </c:pt>
                <c:pt idx="3">
                  <c:v>Other</c:v>
                </c:pt>
                <c:pt idx="4">
                  <c:v>Prior year Grants Payable</c:v>
                </c:pt>
              </c:strCache>
            </c:strRef>
          </c:cat>
          <c:val>
            <c:numRef>
              <c:f>'Stream 2A Actuals'!$P$7:$P$11</c:f>
              <c:numCache>
                <c:formatCode>_(* #,##0.00_);_(* \(#,##0.00\);_(* "-"??_);_(@_)</c:formatCode>
                <c:ptCount val="5"/>
                <c:pt idx="0">
                  <c:v>4660443.78</c:v>
                </c:pt>
                <c:pt idx="1">
                  <c:v>172803.55</c:v>
                </c:pt>
                <c:pt idx="2">
                  <c:v>105396.5</c:v>
                </c:pt>
                <c:pt idx="3">
                  <c:v>0</c:v>
                </c:pt>
                <c:pt idx="4">
                  <c:v>0</c:v>
                </c:pt>
              </c:numCache>
            </c:numRef>
          </c:val>
          <c:extLst>
            <c:ext xmlns:c16="http://schemas.microsoft.com/office/drawing/2014/chart" uri="{C3380CC4-5D6E-409C-BE32-E72D297353CC}">
              <c16:uniqueId val="{00000001-8B25-4102-849F-EED61FBE88A2}"/>
            </c:ext>
          </c:extLst>
        </c:ser>
        <c:ser>
          <c:idx val="2"/>
          <c:order val="2"/>
          <c:tx>
            <c:strRef>
              <c:f>'Stream 2A Actuals'!$O$6</c:f>
              <c:strCache>
                <c:ptCount val="1"/>
                <c:pt idx="0">
                  <c:v>2021</c:v>
                </c:pt>
              </c:strCache>
            </c:strRef>
          </c:tx>
          <c:spPr>
            <a:solidFill>
              <a:srgbClr val="1E49E2"/>
            </a:solidFill>
            <a:ln w="3175">
              <a:solidFill>
                <a:srgbClr val="FFFFFF"/>
              </a:solidFill>
              <a:prstDash val="solid"/>
            </a:ln>
            <a:effectLst/>
          </c:spPr>
          <c:invertIfNegative val="0"/>
          <c:cat>
            <c:strRef>
              <c:f>'Stream 2A Actuals'!$K$7:$K$11</c:f>
              <c:strCache>
                <c:ptCount val="5"/>
                <c:pt idx="0">
                  <c:v>Grants payable</c:v>
                </c:pt>
                <c:pt idx="1">
                  <c:v>Regional Innovations Pool Payable</c:v>
                </c:pt>
                <c:pt idx="2">
                  <c:v>Grant Administration and Projects</c:v>
                </c:pt>
                <c:pt idx="3">
                  <c:v>Other</c:v>
                </c:pt>
                <c:pt idx="4">
                  <c:v>Prior year Grants Payable</c:v>
                </c:pt>
              </c:strCache>
            </c:strRef>
          </c:cat>
          <c:val>
            <c:numRef>
              <c:f>'Stream 2A Actuals'!$O$7:$O$11</c:f>
              <c:numCache>
                <c:formatCode>_(* #,##0.00_);_(* \(#,##0.00\);_(* "-"??_);_(@_)</c:formatCode>
                <c:ptCount val="5"/>
                <c:pt idx="0">
                  <c:v>6481225.9199999999</c:v>
                </c:pt>
                <c:pt idx="1">
                  <c:v>0</c:v>
                </c:pt>
                <c:pt idx="2">
                  <c:v>101831.84</c:v>
                </c:pt>
                <c:pt idx="3">
                  <c:v>182000</c:v>
                </c:pt>
                <c:pt idx="4">
                  <c:v>0</c:v>
                </c:pt>
              </c:numCache>
            </c:numRef>
          </c:val>
          <c:extLst>
            <c:ext xmlns:c16="http://schemas.microsoft.com/office/drawing/2014/chart" uri="{C3380CC4-5D6E-409C-BE32-E72D297353CC}">
              <c16:uniqueId val="{00000002-8B25-4102-849F-EED61FBE88A2}"/>
            </c:ext>
          </c:extLst>
        </c:ser>
        <c:ser>
          <c:idx val="1"/>
          <c:order val="3"/>
          <c:tx>
            <c:strRef>
              <c:f>'Stream 2A Actuals'!$N$6</c:f>
              <c:strCache>
                <c:ptCount val="1"/>
                <c:pt idx="0">
                  <c:v>2020</c:v>
                </c:pt>
              </c:strCache>
            </c:strRef>
          </c:tx>
          <c:spPr>
            <a:solidFill>
              <a:srgbClr val="76D2FF"/>
            </a:solidFill>
            <a:ln w="3175">
              <a:solidFill>
                <a:srgbClr val="FFFFFF"/>
              </a:solidFill>
              <a:prstDash val="solid"/>
            </a:ln>
            <a:effectLst/>
          </c:spPr>
          <c:invertIfNegative val="0"/>
          <c:cat>
            <c:strRef>
              <c:f>'Stream 2A Actuals'!$K$7:$K$11</c:f>
              <c:strCache>
                <c:ptCount val="5"/>
                <c:pt idx="0">
                  <c:v>Grants payable</c:v>
                </c:pt>
                <c:pt idx="1">
                  <c:v>Regional Innovations Pool Payable</c:v>
                </c:pt>
                <c:pt idx="2">
                  <c:v>Grant Administration and Projects</c:v>
                </c:pt>
                <c:pt idx="3">
                  <c:v>Other</c:v>
                </c:pt>
                <c:pt idx="4">
                  <c:v>Prior year Grants Payable</c:v>
                </c:pt>
              </c:strCache>
            </c:strRef>
          </c:cat>
          <c:val>
            <c:numRef>
              <c:f>'Stream 2A Actuals'!$N$7:$N$11</c:f>
              <c:numCache>
                <c:formatCode>_(* #,##0.00_);_(* \(#,##0.00\);_(* "-"??_);_(@_)</c:formatCode>
                <c:ptCount val="5"/>
                <c:pt idx="0">
                  <c:v>560000</c:v>
                </c:pt>
                <c:pt idx="1">
                  <c:v>0</c:v>
                </c:pt>
                <c:pt idx="2">
                  <c:v>0</c:v>
                </c:pt>
                <c:pt idx="3">
                  <c:v>0</c:v>
                </c:pt>
                <c:pt idx="4">
                  <c:v>0</c:v>
                </c:pt>
              </c:numCache>
            </c:numRef>
          </c:val>
          <c:extLst>
            <c:ext xmlns:c16="http://schemas.microsoft.com/office/drawing/2014/chart" uri="{C3380CC4-5D6E-409C-BE32-E72D297353CC}">
              <c16:uniqueId val="{00000003-8B25-4102-849F-EED61FBE88A2}"/>
            </c:ext>
          </c:extLst>
        </c:ser>
        <c:ser>
          <c:idx val="0"/>
          <c:order val="4"/>
          <c:tx>
            <c:strRef>
              <c:f>'Stream 2A Actuals'!$M$6</c:f>
              <c:strCache>
                <c:ptCount val="1"/>
                <c:pt idx="0">
                  <c:v>2019</c:v>
                </c:pt>
              </c:strCache>
            </c:strRef>
          </c:tx>
          <c:spPr>
            <a:solidFill>
              <a:srgbClr val="7213EA"/>
            </a:solidFill>
            <a:ln w="3175">
              <a:solidFill>
                <a:srgbClr val="FFFFFF"/>
              </a:solidFill>
              <a:prstDash val="solid"/>
            </a:ln>
            <a:effectLst/>
          </c:spPr>
          <c:invertIfNegative val="0"/>
          <c:cat>
            <c:strRef>
              <c:f>'Stream 2A Actuals'!$K$7:$K$11</c:f>
              <c:strCache>
                <c:ptCount val="5"/>
                <c:pt idx="0">
                  <c:v>Grants payable</c:v>
                </c:pt>
                <c:pt idx="1">
                  <c:v>Regional Innovations Pool Payable</c:v>
                </c:pt>
                <c:pt idx="2">
                  <c:v>Grant Administration and Projects</c:v>
                </c:pt>
                <c:pt idx="3">
                  <c:v>Other</c:v>
                </c:pt>
                <c:pt idx="4">
                  <c:v>Prior year Grants Payable</c:v>
                </c:pt>
              </c:strCache>
            </c:strRef>
          </c:cat>
          <c:val>
            <c:numRef>
              <c:f>'Stream 2A Actuals'!$M$7:$M$11</c:f>
              <c:numCache>
                <c:formatCode>_(* #,##0.00_);_(* \(#,##0.00\);_(* "-"??_);_(@_)</c:formatCode>
                <c:ptCount val="5"/>
                <c:pt idx="0">
                  <c:v>1930631.32</c:v>
                </c:pt>
                <c:pt idx="1">
                  <c:v>0</c:v>
                </c:pt>
                <c:pt idx="2">
                  <c:v>0</c:v>
                </c:pt>
                <c:pt idx="3">
                  <c:v>0</c:v>
                </c:pt>
                <c:pt idx="4">
                  <c:v>0</c:v>
                </c:pt>
              </c:numCache>
            </c:numRef>
          </c:val>
          <c:extLst>
            <c:ext xmlns:c16="http://schemas.microsoft.com/office/drawing/2014/chart" uri="{C3380CC4-5D6E-409C-BE32-E72D297353CC}">
              <c16:uniqueId val="{00000004-8B25-4102-849F-EED61FBE88A2}"/>
            </c:ext>
          </c:extLst>
        </c:ser>
        <c:dLbls>
          <c:showLegendKey val="0"/>
          <c:showVal val="0"/>
          <c:showCatName val="0"/>
          <c:showSerName val="0"/>
          <c:showPercent val="0"/>
          <c:showBubbleSize val="0"/>
        </c:dLbls>
        <c:gapWidth val="40"/>
        <c:axId val="55559695"/>
        <c:axId val="138027311"/>
      </c:barChart>
      <c:catAx>
        <c:axId val="55559695"/>
        <c:scaling>
          <c:orientation val="minMax"/>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8027311"/>
        <c:crosses val="autoZero"/>
        <c:auto val="1"/>
        <c:lblAlgn val="ctr"/>
        <c:lblOffset val="100"/>
        <c:noMultiLvlLbl val="0"/>
      </c:catAx>
      <c:valAx>
        <c:axId val="138027311"/>
        <c:scaling>
          <c:orientation val="minMax"/>
        </c:scaling>
        <c:delete val="0"/>
        <c:axPos val="b"/>
        <c:numFmt formatCode="_(&quot;$&quot;* #,##0_);_(&quot;$&quot;* \(#,##0\);_(&quot;$&quot;* &quot;-&quot;_);_(@_)" sourceLinked="0"/>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5559695"/>
        <c:crosses val="autoZero"/>
        <c:crossBetween val="between"/>
        <c:majorUnit val="2500000"/>
      </c:valAx>
      <c:spPr>
        <a:noFill/>
        <a:ln w="25400">
          <a:noFill/>
        </a:ln>
        <a:effectLst/>
      </c:spPr>
    </c:plotArea>
    <c:legend>
      <c:legendPos val="b"/>
      <c:layout>
        <c:manualLayout>
          <c:xMode val="edge"/>
          <c:yMode val="edge"/>
          <c:x val="0.46608612229475438"/>
          <c:y val="0.91051809438230424"/>
          <c:w val="0.3392778223745116"/>
          <c:h val="5.794031446017097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52044334449635"/>
          <c:y val="7.3067725101905331E-2"/>
          <c:w val="0.81742079643383148"/>
          <c:h val="0.7174352695940206"/>
        </c:manualLayout>
      </c:layout>
      <c:barChart>
        <c:barDir val="bar"/>
        <c:grouping val="stacked"/>
        <c:varyColors val="0"/>
        <c:ser>
          <c:idx val="0"/>
          <c:order val="0"/>
          <c:tx>
            <c:strRef>
              <c:f>'Grants by year'!$B$13</c:f>
              <c:strCache>
                <c:ptCount val="1"/>
                <c:pt idx="0">
                  <c:v>ROMP</c:v>
                </c:pt>
              </c:strCache>
            </c:strRef>
          </c:tx>
          <c:spPr>
            <a:solidFill>
              <a:srgbClr val="00338D"/>
            </a:solidFill>
            <a:ln w="3175">
              <a:solidFill>
                <a:srgbClr val="FFFFFF"/>
              </a:solidFill>
              <a:prstDash val="solid"/>
            </a:ln>
            <a:effectLst/>
          </c:spPr>
          <c:invertIfNegative val="0"/>
          <c:cat>
            <c:numRef>
              <c:f>'Grants by year'!$C$12:$H$12</c:f>
              <c:numCache>
                <c:formatCode>General</c:formatCode>
                <c:ptCount val="6"/>
                <c:pt idx="0">
                  <c:v>2018</c:v>
                </c:pt>
                <c:pt idx="1">
                  <c:v>2019</c:v>
                </c:pt>
                <c:pt idx="2">
                  <c:v>2020</c:v>
                </c:pt>
                <c:pt idx="3">
                  <c:v>2021</c:v>
                </c:pt>
                <c:pt idx="4">
                  <c:v>2022</c:v>
                </c:pt>
                <c:pt idx="5">
                  <c:v>2023</c:v>
                </c:pt>
              </c:numCache>
            </c:numRef>
          </c:cat>
          <c:val>
            <c:numRef>
              <c:f>'Grants by year'!$C$13:$H$13</c:f>
              <c:numCache>
                <c:formatCode>General</c:formatCode>
                <c:ptCount val="6"/>
                <c:pt idx="0">
                  <c:v>15</c:v>
                </c:pt>
                <c:pt idx="1">
                  <c:v>9</c:v>
                </c:pt>
                <c:pt idx="2">
                  <c:v>0</c:v>
                </c:pt>
                <c:pt idx="3">
                  <c:v>7</c:v>
                </c:pt>
                <c:pt idx="4">
                  <c:v>9</c:v>
                </c:pt>
                <c:pt idx="5">
                  <c:v>7</c:v>
                </c:pt>
              </c:numCache>
            </c:numRef>
          </c:val>
          <c:extLst>
            <c:ext xmlns:c16="http://schemas.microsoft.com/office/drawing/2014/chart" uri="{C3380CC4-5D6E-409C-BE32-E72D297353CC}">
              <c16:uniqueId val="{00000000-303B-40AF-9D28-1797CF6762C9}"/>
            </c:ext>
          </c:extLst>
        </c:ser>
        <c:ser>
          <c:idx val="1"/>
          <c:order val="1"/>
          <c:tx>
            <c:strRef>
              <c:f>'Grants by year'!$B$14</c:f>
              <c:strCache>
                <c:ptCount val="1"/>
                <c:pt idx="0">
                  <c:v>DIMP</c:v>
                </c:pt>
              </c:strCache>
            </c:strRef>
          </c:tx>
          <c:spPr>
            <a:solidFill>
              <a:srgbClr val="00B8F5"/>
            </a:solidFill>
            <a:ln w="3175">
              <a:solidFill>
                <a:srgbClr val="FFFFFF"/>
              </a:solidFill>
              <a:prstDash val="solid"/>
            </a:ln>
            <a:effectLst/>
          </c:spPr>
          <c:invertIfNegative val="0"/>
          <c:cat>
            <c:numRef>
              <c:f>'Grants by year'!$C$12:$H$12</c:f>
              <c:numCache>
                <c:formatCode>General</c:formatCode>
                <c:ptCount val="6"/>
                <c:pt idx="0">
                  <c:v>2018</c:v>
                </c:pt>
                <c:pt idx="1">
                  <c:v>2019</c:v>
                </c:pt>
                <c:pt idx="2">
                  <c:v>2020</c:v>
                </c:pt>
                <c:pt idx="3">
                  <c:v>2021</c:v>
                </c:pt>
                <c:pt idx="4">
                  <c:v>2022</c:v>
                </c:pt>
                <c:pt idx="5">
                  <c:v>2023</c:v>
                </c:pt>
              </c:numCache>
            </c:numRef>
          </c:cat>
          <c:val>
            <c:numRef>
              <c:f>'Grants by year'!$C$14:$H$14</c:f>
              <c:numCache>
                <c:formatCode>General</c:formatCode>
                <c:ptCount val="6"/>
                <c:pt idx="0">
                  <c:v>8</c:v>
                </c:pt>
                <c:pt idx="1">
                  <c:v>13</c:v>
                </c:pt>
                <c:pt idx="2">
                  <c:v>0</c:v>
                </c:pt>
                <c:pt idx="3">
                  <c:v>7</c:v>
                </c:pt>
                <c:pt idx="4">
                  <c:v>4</c:v>
                </c:pt>
                <c:pt idx="5">
                  <c:v>5</c:v>
                </c:pt>
              </c:numCache>
            </c:numRef>
          </c:val>
          <c:extLst>
            <c:ext xmlns:c16="http://schemas.microsoft.com/office/drawing/2014/chart" uri="{C3380CC4-5D6E-409C-BE32-E72D297353CC}">
              <c16:uniqueId val="{00000001-303B-40AF-9D28-1797CF6762C9}"/>
            </c:ext>
          </c:extLst>
        </c:ser>
        <c:ser>
          <c:idx val="2"/>
          <c:order val="2"/>
          <c:tx>
            <c:strRef>
              <c:f>'Grants by year'!$B$15</c:f>
              <c:strCache>
                <c:ptCount val="1"/>
                <c:pt idx="0">
                  <c:v>RPS</c:v>
                </c:pt>
              </c:strCache>
            </c:strRef>
          </c:tx>
          <c:spPr>
            <a:solidFill>
              <a:srgbClr val="1E49E2"/>
            </a:solidFill>
            <a:ln w="3175">
              <a:solidFill>
                <a:srgbClr val="FFFFFF"/>
              </a:solidFill>
              <a:prstDash val="solid"/>
            </a:ln>
            <a:effectLst/>
          </c:spPr>
          <c:invertIfNegative val="0"/>
          <c:cat>
            <c:numRef>
              <c:f>'Grants by year'!$C$12:$H$12</c:f>
              <c:numCache>
                <c:formatCode>General</c:formatCode>
                <c:ptCount val="6"/>
                <c:pt idx="0">
                  <c:v>2018</c:v>
                </c:pt>
                <c:pt idx="1">
                  <c:v>2019</c:v>
                </c:pt>
                <c:pt idx="2">
                  <c:v>2020</c:v>
                </c:pt>
                <c:pt idx="3">
                  <c:v>2021</c:v>
                </c:pt>
                <c:pt idx="4">
                  <c:v>2022</c:v>
                </c:pt>
                <c:pt idx="5">
                  <c:v>2023</c:v>
                </c:pt>
              </c:numCache>
            </c:numRef>
          </c:cat>
          <c:val>
            <c:numRef>
              <c:f>'Grants by year'!$C$15:$H$15</c:f>
              <c:numCache>
                <c:formatCode>General</c:formatCode>
                <c:ptCount val="6"/>
                <c:pt idx="0">
                  <c:v>4</c:v>
                </c:pt>
                <c:pt idx="1">
                  <c:v>4</c:v>
                </c:pt>
                <c:pt idx="2">
                  <c:v>0</c:v>
                </c:pt>
                <c:pt idx="3">
                  <c:v>3</c:v>
                </c:pt>
                <c:pt idx="4">
                  <c:v>2</c:v>
                </c:pt>
                <c:pt idx="5">
                  <c:v>2</c:v>
                </c:pt>
              </c:numCache>
            </c:numRef>
          </c:val>
          <c:extLst>
            <c:ext xmlns:c16="http://schemas.microsoft.com/office/drawing/2014/chart" uri="{C3380CC4-5D6E-409C-BE32-E72D297353CC}">
              <c16:uniqueId val="{00000002-303B-40AF-9D28-1797CF6762C9}"/>
            </c:ext>
          </c:extLst>
        </c:ser>
        <c:ser>
          <c:idx val="3"/>
          <c:order val="3"/>
          <c:tx>
            <c:v/>
          </c:tx>
          <c:spPr>
            <a:noFill/>
            <a:ln w="25400">
              <a:noFill/>
            </a:ln>
            <a:effectLst/>
          </c:spPr>
          <c:invertIfNegative val="0"/>
          <c:dLbls>
            <c:dLbl>
              <c:idx val="0"/>
              <c:tx>
                <c:rich>
                  <a:bodyPr/>
                  <a:lstStyle/>
                  <a:p>
                    <a:r>
                      <a:rPr lang="en-US"/>
                      <a:t> 27 </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03B-40AF-9D28-1797CF6762C9}"/>
                </c:ext>
              </c:extLst>
            </c:dLbl>
            <c:dLbl>
              <c:idx val="1"/>
              <c:tx>
                <c:rich>
                  <a:bodyPr/>
                  <a:lstStyle/>
                  <a:p>
                    <a:r>
                      <a:rPr lang="en-US"/>
                      <a:t> 26 </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03B-40AF-9D28-1797CF6762C9}"/>
                </c:ext>
              </c:extLst>
            </c:dLbl>
            <c:dLbl>
              <c:idx val="2"/>
              <c:tx>
                <c:rich>
                  <a:bodyPr/>
                  <a:lstStyle/>
                  <a:p>
                    <a:r>
                      <a:rPr lang="en-US"/>
                      <a:t> 0 </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03B-40AF-9D28-1797CF6762C9}"/>
                </c:ext>
              </c:extLst>
            </c:dLbl>
            <c:dLbl>
              <c:idx val="3"/>
              <c:tx>
                <c:rich>
                  <a:bodyPr/>
                  <a:lstStyle/>
                  <a:p>
                    <a:r>
                      <a:rPr lang="en-US"/>
                      <a:t> 17 </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03B-40AF-9D28-1797CF6762C9}"/>
                </c:ext>
              </c:extLst>
            </c:dLbl>
            <c:dLbl>
              <c:idx val="4"/>
              <c:tx>
                <c:rich>
                  <a:bodyPr/>
                  <a:lstStyle/>
                  <a:p>
                    <a:r>
                      <a:rPr lang="en-US"/>
                      <a:t> 15 </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03B-40AF-9D28-1797CF6762C9}"/>
                </c:ext>
              </c:extLst>
            </c:dLbl>
            <c:dLbl>
              <c:idx val="5"/>
              <c:tx>
                <c:rich>
                  <a:bodyPr/>
                  <a:lstStyle/>
                  <a:p>
                    <a:r>
                      <a:rPr lang="en-US"/>
                      <a:t> 14 </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03B-40AF-9D28-1797CF6762C9}"/>
                </c:ext>
              </c:extLst>
            </c:dLbl>
            <c:spPr>
              <a:noFill/>
              <a:ln>
                <a:noFill/>
              </a:ln>
              <a:effectLst/>
            </c:spPr>
            <c:txPr>
              <a:bodyPr rot="0" spcFirstLastPara="1" vertOverflow="ellipsis" vert="horz" wrap="square" lIns="38100" tIns="19050" rIns="38100" bIns="19050" anchor="ctr" anchorCtr="1">
                <a:spAutoFit/>
              </a:bodyPr>
              <a:lstStyle/>
              <a:p>
                <a:pPr algn="ctr">
                  <a:defRPr sz="700" b="1" i="0" u="none" strike="noStrike" kern="1200" baseline="0">
                    <a:solidFill>
                      <a:srgbClr val="000000"/>
                    </a:solidFill>
                    <a:latin typeface="Arial"/>
                    <a:ea typeface="Arial"/>
                    <a:cs typeface="Arial"/>
                  </a:defRPr>
                </a:pPr>
                <a:endParaRPr lang="en-US"/>
              </a:p>
            </c:txPr>
            <c:dLblPos val="inBase"/>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'Grants by year'!$C$12:$H$12</c:f>
              <c:numCache>
                <c:formatCode>General</c:formatCode>
                <c:ptCount val="6"/>
                <c:pt idx="0">
                  <c:v>2018</c:v>
                </c:pt>
                <c:pt idx="1">
                  <c:v>2019</c:v>
                </c:pt>
                <c:pt idx="2">
                  <c:v>2020</c:v>
                </c:pt>
                <c:pt idx="3">
                  <c:v>2021</c:v>
                </c:pt>
                <c:pt idx="4">
                  <c:v>2022</c:v>
                </c:pt>
                <c:pt idx="5">
                  <c:v>2023</c:v>
                </c:pt>
              </c:numCache>
            </c:numRef>
          </c:cat>
          <c:val>
            <c:numLit>
              <c:formatCode>General</c:formatCode>
              <c:ptCount val="6"/>
              <c:pt idx="0">
                <c:v>0</c:v>
              </c:pt>
              <c:pt idx="1">
                <c:v>0</c:v>
              </c:pt>
              <c:pt idx="2">
                <c:v>0</c:v>
              </c:pt>
              <c:pt idx="3">
                <c:v>0</c:v>
              </c:pt>
              <c:pt idx="4">
                <c:v>0</c:v>
              </c:pt>
              <c:pt idx="5">
                <c:v>0</c:v>
              </c:pt>
            </c:numLit>
          </c:val>
          <c:extLst>
            <c:ext xmlns:c16="http://schemas.microsoft.com/office/drawing/2014/chart" uri="{C3380CC4-5D6E-409C-BE32-E72D297353CC}">
              <c16:uniqueId val="{00000009-303B-40AF-9D28-1797CF6762C9}"/>
            </c:ext>
          </c:extLst>
        </c:ser>
        <c:dLbls>
          <c:showLegendKey val="0"/>
          <c:showVal val="0"/>
          <c:showCatName val="0"/>
          <c:showSerName val="0"/>
          <c:showPercent val="0"/>
          <c:showBubbleSize val="0"/>
        </c:dLbls>
        <c:gapWidth val="40"/>
        <c:overlap val="100"/>
        <c:axId val="2014175776"/>
        <c:axId val="492775504"/>
      </c:barChart>
      <c:catAx>
        <c:axId val="2014175776"/>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Grant Round</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492775504"/>
        <c:crosses val="autoZero"/>
        <c:auto val="1"/>
        <c:lblAlgn val="ctr"/>
        <c:lblOffset val="100"/>
        <c:noMultiLvlLbl val="0"/>
      </c:catAx>
      <c:valAx>
        <c:axId val="492775504"/>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Number of TEAP grants made to facilities</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2014175776"/>
        <c:crosses val="autoZero"/>
        <c:crossBetween val="between"/>
      </c:valAx>
      <c:spPr>
        <a:noFill/>
        <a:ln w="25400">
          <a:noFill/>
        </a:ln>
        <a:effectLst/>
      </c:spPr>
    </c:plotArea>
    <c:legend>
      <c:legendPos val="b"/>
      <c:layout>
        <c:manualLayout>
          <c:xMode val="edge"/>
          <c:yMode val="edge"/>
          <c:x val="0.32755546019010429"/>
          <c:y val="0.91514052583862193"/>
          <c:w val="0.31711713735882885"/>
          <c:h val="6.729642135621533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193686711332437E-2"/>
          <c:y val="2.0840569642236888E-2"/>
          <c:w val="0.60340949860011772"/>
          <c:h val="0.96138915251085089"/>
        </c:manualLayout>
      </c:layout>
      <c:doughnutChart>
        <c:varyColors val="1"/>
        <c:ser>
          <c:idx val="0"/>
          <c:order val="0"/>
          <c:dPt>
            <c:idx val="0"/>
            <c:bubble3D val="0"/>
            <c:spPr>
              <a:solidFill>
                <a:srgbClr val="00338D"/>
              </a:solidFill>
              <a:ln w="3175">
                <a:solidFill>
                  <a:srgbClr val="FFFFFF"/>
                </a:solidFill>
                <a:prstDash val="solid"/>
              </a:ln>
            </c:spPr>
            <c:extLst>
              <c:ext xmlns:c16="http://schemas.microsoft.com/office/drawing/2014/chart" uri="{C3380CC4-5D6E-409C-BE32-E72D297353CC}">
                <c16:uniqueId val="{00000001-33CA-40D8-937C-7082DC6C386A}"/>
              </c:ext>
            </c:extLst>
          </c:dPt>
          <c:dPt>
            <c:idx val="1"/>
            <c:bubble3D val="0"/>
            <c:spPr>
              <a:solidFill>
                <a:srgbClr val="00B8F5"/>
              </a:solidFill>
              <a:ln w="3175">
                <a:solidFill>
                  <a:srgbClr val="FFFFFF"/>
                </a:solidFill>
                <a:prstDash val="solid"/>
              </a:ln>
            </c:spPr>
            <c:extLst>
              <c:ext xmlns:c16="http://schemas.microsoft.com/office/drawing/2014/chart" uri="{C3380CC4-5D6E-409C-BE32-E72D297353CC}">
                <c16:uniqueId val="{00000003-33CA-40D8-937C-7082DC6C386A}"/>
              </c:ext>
            </c:extLst>
          </c:dPt>
          <c:dPt>
            <c:idx val="2"/>
            <c:bubble3D val="0"/>
            <c:spPr>
              <a:solidFill>
                <a:srgbClr val="1E49E2"/>
              </a:solidFill>
              <a:ln w="3175">
                <a:solidFill>
                  <a:srgbClr val="FFFFFF"/>
                </a:solidFill>
                <a:prstDash val="solid"/>
              </a:ln>
            </c:spPr>
            <c:extLst>
              <c:ext xmlns:c16="http://schemas.microsoft.com/office/drawing/2014/chart" uri="{C3380CC4-5D6E-409C-BE32-E72D297353CC}">
                <c16:uniqueId val="{00000005-33CA-40D8-937C-7082DC6C386A}"/>
              </c:ext>
            </c:extLst>
          </c:dPt>
          <c:dLbls>
            <c:dLbl>
              <c:idx val="0"/>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1-33CA-40D8-937C-7082DC6C386A}"/>
                </c:ext>
              </c:extLst>
            </c:dLbl>
            <c:dLbl>
              <c:idx val="1"/>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3-33CA-40D8-937C-7082DC6C386A}"/>
                </c:ext>
              </c:extLst>
            </c:dLbl>
            <c:dLbl>
              <c:idx val="2"/>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5-33CA-40D8-937C-7082DC6C386A}"/>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Delivery!$B$248:$B$252</c:f>
              <c:strCache>
                <c:ptCount val="5"/>
                <c:pt idx="0">
                  <c:v>Strongly agree</c:v>
                </c:pt>
                <c:pt idx="1">
                  <c:v>Somewhat agree</c:v>
                </c:pt>
                <c:pt idx="2">
                  <c:v>Neither agree nor disagree</c:v>
                </c:pt>
                <c:pt idx="3">
                  <c:v>Somewhat disagree</c:v>
                </c:pt>
                <c:pt idx="4">
                  <c:v>Strongly disagree</c:v>
                </c:pt>
              </c:strCache>
            </c:strRef>
          </c:cat>
          <c:val>
            <c:numRef>
              <c:f>Delivery!$C$248:$C$252</c:f>
              <c:numCache>
                <c:formatCode>General</c:formatCode>
                <c:ptCount val="5"/>
                <c:pt idx="0">
                  <c:v>11</c:v>
                </c:pt>
                <c:pt idx="1">
                  <c:v>21</c:v>
                </c:pt>
                <c:pt idx="2">
                  <c:v>10</c:v>
                </c:pt>
                <c:pt idx="3">
                  <c:v>12</c:v>
                </c:pt>
                <c:pt idx="4">
                  <c:v>6</c:v>
                </c:pt>
              </c:numCache>
            </c:numRef>
          </c:val>
          <c:extLst>
            <c:ext xmlns:c16="http://schemas.microsoft.com/office/drawing/2014/chart" uri="{C3380CC4-5D6E-409C-BE32-E72D297353CC}">
              <c16:uniqueId val="{00000006-33CA-40D8-937C-7082DC6C386A}"/>
            </c:ext>
          </c:extLst>
        </c:ser>
        <c:dLbls>
          <c:showLegendKey val="0"/>
          <c:showVal val="0"/>
          <c:showCatName val="0"/>
          <c:showSerName val="0"/>
          <c:showPercent val="0"/>
          <c:showBubbleSize val="0"/>
          <c:showLeaderLines val="1"/>
        </c:dLbls>
        <c:firstSliceAng val="0"/>
        <c:holeSize val="50"/>
      </c:doughnutChart>
      <c:spPr>
        <a:noFill/>
        <a:ln w="25400">
          <a:noFill/>
        </a:ln>
      </c:spPr>
    </c:plotArea>
    <c:legend>
      <c:legendPos val="r"/>
      <c:overlay val="0"/>
      <c:txPr>
        <a:bodyPr/>
        <a:lstStyle/>
        <a:p>
          <a:pPr rtl="0">
            <a:defRPr>
              <a:solidFill>
                <a:schemeClr val="bg1"/>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265445381475431E-2"/>
          <c:y val="3.300395105493422E-2"/>
          <c:w val="0.60212929208881361"/>
          <c:h val="0.90192444724818077"/>
        </c:manualLayout>
      </c:layout>
      <c:doughnutChart>
        <c:varyColors val="1"/>
        <c:ser>
          <c:idx val="0"/>
          <c:order val="0"/>
          <c:dPt>
            <c:idx val="0"/>
            <c:bubble3D val="0"/>
            <c:spPr>
              <a:solidFill>
                <a:srgbClr val="00338D"/>
              </a:solidFill>
              <a:ln w="3175">
                <a:solidFill>
                  <a:srgbClr val="FFFFFF"/>
                </a:solidFill>
                <a:prstDash val="solid"/>
              </a:ln>
            </c:spPr>
            <c:extLst>
              <c:ext xmlns:c16="http://schemas.microsoft.com/office/drawing/2014/chart" uri="{C3380CC4-5D6E-409C-BE32-E72D297353CC}">
                <c16:uniqueId val="{00000001-BD15-4539-A078-5B7C5D99B33E}"/>
              </c:ext>
            </c:extLst>
          </c:dPt>
          <c:dPt>
            <c:idx val="1"/>
            <c:bubble3D val="0"/>
            <c:spPr>
              <a:solidFill>
                <a:srgbClr val="00B8F5"/>
              </a:solidFill>
              <a:ln w="3175">
                <a:solidFill>
                  <a:srgbClr val="FFFFFF"/>
                </a:solidFill>
                <a:prstDash val="solid"/>
              </a:ln>
            </c:spPr>
            <c:extLst>
              <c:ext xmlns:c16="http://schemas.microsoft.com/office/drawing/2014/chart" uri="{C3380CC4-5D6E-409C-BE32-E72D297353CC}">
                <c16:uniqueId val="{00000003-BD15-4539-A078-5B7C5D99B33E}"/>
              </c:ext>
            </c:extLst>
          </c:dPt>
          <c:dPt>
            <c:idx val="2"/>
            <c:bubble3D val="0"/>
            <c:spPr>
              <a:solidFill>
                <a:srgbClr val="1E49E2"/>
              </a:solidFill>
              <a:ln w="3175">
                <a:solidFill>
                  <a:srgbClr val="FFFFFF"/>
                </a:solidFill>
                <a:prstDash val="solid"/>
              </a:ln>
            </c:spPr>
            <c:extLst>
              <c:ext xmlns:c16="http://schemas.microsoft.com/office/drawing/2014/chart" uri="{C3380CC4-5D6E-409C-BE32-E72D297353CC}">
                <c16:uniqueId val="{00000005-BD15-4539-A078-5B7C5D99B33E}"/>
              </c:ext>
            </c:extLst>
          </c:dPt>
          <c:dPt>
            <c:idx val="3"/>
            <c:bubble3D val="0"/>
            <c:spPr>
              <a:solidFill>
                <a:srgbClr val="76D2FF"/>
              </a:solidFill>
              <a:ln w="3175">
                <a:solidFill>
                  <a:srgbClr val="FFFFFF"/>
                </a:solidFill>
                <a:prstDash val="solid"/>
              </a:ln>
            </c:spPr>
            <c:extLst>
              <c:ext xmlns:c16="http://schemas.microsoft.com/office/drawing/2014/chart" uri="{C3380CC4-5D6E-409C-BE32-E72D297353CC}">
                <c16:uniqueId val="{00000007-BD15-4539-A078-5B7C5D99B33E}"/>
              </c:ext>
            </c:extLst>
          </c:dPt>
          <c:dPt>
            <c:idx val="4"/>
            <c:bubble3D val="0"/>
            <c:spPr>
              <a:solidFill>
                <a:srgbClr val="7213EA"/>
              </a:solidFill>
              <a:ln w="3175">
                <a:solidFill>
                  <a:srgbClr val="FFFFFF"/>
                </a:solidFill>
                <a:prstDash val="solid"/>
              </a:ln>
            </c:spPr>
            <c:extLst>
              <c:ext xmlns:c16="http://schemas.microsoft.com/office/drawing/2014/chart" uri="{C3380CC4-5D6E-409C-BE32-E72D297353CC}">
                <c16:uniqueId val="{00000009-BD15-4539-A078-5B7C5D99B33E}"/>
              </c:ext>
            </c:extLst>
          </c:dPt>
          <c:dLbls>
            <c:dLbl>
              <c:idx val="0"/>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1-BD15-4539-A078-5B7C5D99B33E}"/>
                </c:ext>
              </c:extLst>
            </c:dLbl>
            <c:dLbl>
              <c:idx val="1"/>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3-BD15-4539-A078-5B7C5D99B33E}"/>
                </c:ext>
              </c:extLst>
            </c:dLbl>
            <c:dLbl>
              <c:idx val="2"/>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5-BD15-4539-A078-5B7C5D99B33E}"/>
                </c:ext>
              </c:extLst>
            </c:dLbl>
            <c:dLbl>
              <c:idx val="3"/>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7-BD15-4539-A078-5B7C5D99B33E}"/>
                </c:ext>
              </c:extLst>
            </c:dLbl>
            <c:dLbl>
              <c:idx val="4"/>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9-BD15-4539-A078-5B7C5D99B33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Delivery!$F$83:$F$87</c:f>
              <c:strCache>
                <c:ptCount val="5"/>
                <c:pt idx="0">
                  <c:v>Strongly agree</c:v>
                </c:pt>
                <c:pt idx="1">
                  <c:v>Somewhat agree</c:v>
                </c:pt>
                <c:pt idx="2">
                  <c:v>Neither agree nor disagree</c:v>
                </c:pt>
                <c:pt idx="3">
                  <c:v>Somewhat disagree</c:v>
                </c:pt>
                <c:pt idx="4">
                  <c:v>Strongly disagree</c:v>
                </c:pt>
              </c:strCache>
            </c:strRef>
          </c:cat>
          <c:val>
            <c:numRef>
              <c:f>Delivery!$G$83:$G$87</c:f>
              <c:numCache>
                <c:formatCode>General</c:formatCode>
                <c:ptCount val="5"/>
                <c:pt idx="0">
                  <c:v>5</c:v>
                </c:pt>
                <c:pt idx="1">
                  <c:v>13</c:v>
                </c:pt>
                <c:pt idx="2">
                  <c:v>13</c:v>
                </c:pt>
                <c:pt idx="3">
                  <c:v>16</c:v>
                </c:pt>
                <c:pt idx="4">
                  <c:v>7</c:v>
                </c:pt>
              </c:numCache>
            </c:numRef>
          </c:val>
          <c:extLst>
            <c:ext xmlns:c16="http://schemas.microsoft.com/office/drawing/2014/chart" uri="{C3380CC4-5D6E-409C-BE32-E72D297353CC}">
              <c16:uniqueId val="{0000000A-BD15-4539-A078-5B7C5D99B33E}"/>
            </c:ext>
          </c:extLst>
        </c:ser>
        <c:dLbls>
          <c:showLegendKey val="0"/>
          <c:showVal val="0"/>
          <c:showCatName val="0"/>
          <c:showSerName val="0"/>
          <c:showPercent val="0"/>
          <c:showBubbleSize val="0"/>
          <c:showLeaderLines val="1"/>
        </c:dLbls>
        <c:firstSliceAng val="0"/>
        <c:holeSize val="50"/>
      </c:doughnutChart>
      <c:spPr>
        <a:noFill/>
        <a:ln w="25400">
          <a:noFill/>
        </a:ln>
      </c:spPr>
    </c:plotArea>
    <c:legend>
      <c:legendPos val="r"/>
      <c:overlay val="0"/>
      <c:txPr>
        <a:bodyPr/>
        <a:lstStyle/>
        <a:p>
          <a:pPr>
            <a:defRPr>
              <a:solidFill>
                <a:schemeClr val="bg1"/>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0C233C"/>
      </a:dk2>
      <a:lt2>
        <a:srgbClr val="E7E6E6"/>
      </a:lt2>
      <a:accent1>
        <a:srgbClr val="00338D"/>
      </a:accent1>
      <a:accent2>
        <a:srgbClr val="1E49E2"/>
      </a:accent2>
      <a:accent3>
        <a:srgbClr val="0C233C"/>
      </a:accent3>
      <a:accent4>
        <a:srgbClr val="00B8F5"/>
      </a:accent4>
      <a:accent5>
        <a:srgbClr val="7213EA"/>
      </a:accent5>
      <a:accent6>
        <a:srgbClr val="FD349C"/>
      </a:accent6>
      <a:hlink>
        <a:srgbClr val="1E49E2"/>
      </a:hlink>
      <a:folHlink>
        <a:srgbClr val="00B8F5"/>
      </a:folHlink>
    </a:clrScheme>
    <a:fontScheme name="KPMG">
      <a:majorFont>
        <a:latin typeface="Univers 45 Light"/>
        <a:ea typeface=""/>
        <a:cs typeface=""/>
      </a:majorFont>
      <a:minorFont>
        <a:latin typeface="Univers 45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18AB464785D94B999F9EC212F80F00" ma:contentTypeVersion="4" ma:contentTypeDescription="Create a new document." ma:contentTypeScope="" ma:versionID="23b7bd08f8c36d23849bcd563e3a0805">
  <xsd:schema xmlns:xsd="http://www.w3.org/2001/XMLSchema" xmlns:xs="http://www.w3.org/2001/XMLSchema" xmlns:p="http://schemas.microsoft.com/office/2006/metadata/properties" xmlns:ns2="c9b40c1c-8d56-44be-a5f7-b0b0876952ff" targetNamespace="http://schemas.microsoft.com/office/2006/metadata/properties" ma:root="true" ma:fieldsID="5dce9c8c7f991b271efe6f2f43cf39fe" ns2:_="">
    <xsd:import namespace="c9b40c1c-8d56-44be-a5f7-b0b0876952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40c1c-8d56-44be-a5f7-b0b0876952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E8418-F302-4C02-A2E0-32B5A5478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40c1c-8d56-44be-a5f7-b0b087695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2FF5BA-1ED4-403C-8344-C0564CD7A0C4}">
  <ds:schemaRefs>
    <ds:schemaRef ds:uri="http://schemas.openxmlformats.org/officeDocument/2006/bibliography"/>
  </ds:schemaRefs>
</ds:datastoreItem>
</file>

<file path=customXml/itemProps3.xml><?xml version="1.0" encoding="utf-8"?>
<ds:datastoreItem xmlns:ds="http://schemas.openxmlformats.org/officeDocument/2006/customXml" ds:itemID="{7EB8D3B9-BD4C-4CB9-9FA1-CE69C8F524B3}">
  <ds:schemaRefs>
    <ds:schemaRef ds:uri="http://schemas.microsoft.com/office/2006/metadata/properties"/>
  </ds:schemaRefs>
</ds:datastoreItem>
</file>

<file path=customXml/itemProps4.xml><?xml version="1.0" encoding="utf-8"?>
<ds:datastoreItem xmlns:ds="http://schemas.openxmlformats.org/officeDocument/2006/customXml" ds:itemID="{33F73422-4BF0-4E4C-BBEA-883F8BD5DA4D}">
  <ds:schemaRefs>
    <ds:schemaRef ds:uri="http://schemas.microsoft.com/sharepoint/v3/contenttype/fo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proposal-template-portrait.dotx</Template>
  <TotalTime>2</TotalTime>
  <Pages>155</Pages>
  <Words>56522</Words>
  <Characters>279219</Characters>
  <Application>Microsoft Office Word</Application>
  <DocSecurity>0</DocSecurity>
  <Lines>34902</Lines>
  <Paragraphs>11577</Paragraphs>
  <ScaleCrop>false</ScaleCrop>
  <HeadingPairs>
    <vt:vector size="2" baseType="variant">
      <vt:variant>
        <vt:lpstr>Title</vt:lpstr>
      </vt:variant>
      <vt:variant>
        <vt:i4>1</vt:i4>
      </vt:variant>
    </vt:vector>
  </HeadingPairs>
  <TitlesOfParts>
    <vt:vector size="1" baseType="lpstr">
      <vt:lpstr>Evaluation of the Medical Physicists Support Program</vt:lpstr>
    </vt:vector>
  </TitlesOfParts>
  <Company/>
  <LinksUpToDate>false</LinksUpToDate>
  <CharactersWithSpaces>324164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Medical Physicists Support Program</dc:title>
  <dc:subject>Health workforce</dc:subject>
  <dc:creator>Australian Government Department of Health, Disability and Ageing</dc:creator>
  <cp:keywords>Medicial; Health workforce; Medical Physicists Support Program</cp:keywords>
  <dc:description/>
  <cp:lastModifiedBy>MASCHKE, Elvia</cp:lastModifiedBy>
  <cp:revision>2</cp:revision>
  <cp:lastPrinted>2025-08-05T06:37:00Z</cp:lastPrinted>
  <dcterms:created xsi:type="dcterms:W3CDTF">2025-12-19T00:34:00Z</dcterms:created>
  <dcterms:modified xsi:type="dcterms:W3CDTF">2025-12-19T00:34:00Z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0x0101009418AB464785D94B999F9EC212F80F00</vt:lpwstr>
  </property>
  <property fmtid="{D5CDD505-2E9C-101B-9397-08002B2CF9AE}" pid="3" name="Order">
    <vt:r8>19100</vt:r8>
  </property>
  <property fmtid="{D5CDD505-2E9C-101B-9397-08002B2CF9AE}" pid="4" name="PublishingRollupImage">
    <vt:lpwstr/>
  </property>
  <property fmtid="{D5CDD505-2E9C-101B-9397-08002B2CF9AE}" pid="5" name="KPMGDataAbstract">
    <vt:lpwstr/>
  </property>
  <property fmtid="{D5CDD505-2E9C-101B-9397-08002B2CF9AE}" pid="6" name="KPMGDataLanguage">
    <vt:lpwstr>2;#|d76496ca-e76d-48d8-9784-b2aab7c4d953</vt:lpwstr>
  </property>
  <property fmtid="{D5CDD505-2E9C-101B-9397-08002B2CF9AE}" pid="7" name="URL">
    <vt:lpwstr/>
  </property>
  <property fmtid="{D5CDD505-2E9C-101B-9397-08002B2CF9AE}" pid="8" name="KPMGDataCountryOfOrigin">
    <vt:lpwstr>5;#|7fdf9213-5458-4607-abbd-abb61cf0b681</vt:lpwstr>
  </property>
  <property fmtid="{D5CDD505-2E9C-101B-9397-08002B2CF9AE}" pid="9" name="xd_ProgID">
    <vt:lpwstr/>
  </property>
  <property fmtid="{D5CDD505-2E9C-101B-9397-08002B2CF9AE}" pid="10" name="TemplateUrl">
    <vt:lpwstr/>
  </property>
  <property fmtid="{D5CDD505-2E9C-101B-9397-08002B2CF9AE}" pid="11" name="KPMGDataPublicationDate">
    <vt:filetime>2017-06-09T05:00:00Z</vt:filetime>
  </property>
  <property fmtid="{D5CDD505-2E9C-101B-9397-08002B2CF9AE}" pid="12" name="TaxCatchAll">
    <vt:lpwstr>5;#|7fdf9213-5458-4607-abbd-abb61cf0b681;#2;#|d76496ca-e76d-48d8-9784-b2aab7c4d953</vt:lpwstr>
  </property>
  <property fmtid="{D5CDD505-2E9C-101B-9397-08002B2CF9AE}" pid="13" name="KPMGDataLanguage_NOTE">
    <vt:lpwstr>|d76496ca-e76d-48d8-9784-b2aab7c4d953</vt:lpwstr>
  </property>
  <property fmtid="{D5CDD505-2E9C-101B-9397-08002B2CF9AE}" pid="14" name="KPMGDataCountryOfOrigin_NOTE">
    <vt:lpwstr>|7fdf9213-5458-4607-abbd-abb61cf0b681</vt:lpwstr>
  </property>
  <property fmtid="{D5CDD505-2E9C-101B-9397-08002B2CF9AE}" pid="15" name="Template elements">
    <vt:lpwstr>No selection</vt:lpwstr>
  </property>
  <property fmtid="{D5CDD505-2E9C-101B-9397-08002B2CF9AE}" pid="16" name="Templates">
    <vt:lpwstr>No selection</vt:lpwstr>
  </property>
  <property fmtid="{D5CDD505-2E9C-101B-9397-08002B2CF9AE}" pid="17" name="Markets location">
    <vt:lpwstr>No selection</vt:lpwstr>
  </property>
  <property fmtid="{D5CDD505-2E9C-101B-9397-08002B2CF9AE}" pid="18" name="Design">
    <vt:lpwstr>No selection</vt:lpwstr>
  </property>
  <property fmtid="{D5CDD505-2E9C-101B-9397-08002B2CF9AE}" pid="19" name="Content">
    <vt:lpwstr>No selection</vt:lpwstr>
  </property>
  <property fmtid="{D5CDD505-2E9C-101B-9397-08002B2CF9AE}" pid="20" name="Pursuit process activities">
    <vt:lpwstr>;#No selection;#</vt:lpwstr>
  </property>
  <property fmtid="{D5CDD505-2E9C-101B-9397-08002B2CF9AE}" pid="21" name="ClassificationContentMarkingHeaderShapeIds">
    <vt:lpwstr>47c0ea9f,5fff5298,536eeea7,59bb8a89,8dab4b2,2cedbb5c,63367a6,2d74539c,3f7d5e32,2efc671e,4b8de9c,1613262f,6794599c,5f42193b</vt:lpwstr>
  </property>
  <property fmtid="{D5CDD505-2E9C-101B-9397-08002B2CF9AE}" pid="22" name="ClassificationContentMarkingHeaderFontProps">
    <vt:lpwstr>#ff0000,12,Aptos</vt:lpwstr>
  </property>
  <property fmtid="{D5CDD505-2E9C-101B-9397-08002B2CF9AE}" pid="23" name="ClassificationContentMarkingHeaderText">
    <vt:lpwstr>OFFICIAL</vt:lpwstr>
  </property>
  <property fmtid="{D5CDD505-2E9C-101B-9397-08002B2CF9AE}" pid="24" name="ClassificationContentMarkingFooterShapeIds">
    <vt:lpwstr>18ff5412,795890c4,71ee5bb8,6df6a8d4,47e4da32,2b99cebc</vt:lpwstr>
  </property>
  <property fmtid="{D5CDD505-2E9C-101B-9397-08002B2CF9AE}" pid="25" name="ClassificationContentMarkingFooterFontProps">
    <vt:lpwstr>#ff0000,12,Aptos</vt:lpwstr>
  </property>
  <property fmtid="{D5CDD505-2E9C-101B-9397-08002B2CF9AE}" pid="26" name="ClassificationContentMarkingFooterText">
    <vt:lpwstr>OFFICIAL</vt:lpwstr>
  </property>
  <property fmtid="{D5CDD505-2E9C-101B-9397-08002B2CF9AE}" pid="27" name="MSIP_Label_7cd3e8b9-ffed-43a8-b7f4-cc2fa0382d36_Enabled">
    <vt:lpwstr>true</vt:lpwstr>
  </property>
  <property fmtid="{D5CDD505-2E9C-101B-9397-08002B2CF9AE}" pid="28" name="MSIP_Label_7cd3e8b9-ffed-43a8-b7f4-cc2fa0382d36_SetDate">
    <vt:lpwstr>2025-12-08T03:41:11Z</vt:lpwstr>
  </property>
  <property fmtid="{D5CDD505-2E9C-101B-9397-08002B2CF9AE}" pid="29" name="MSIP_Label_7cd3e8b9-ffed-43a8-b7f4-cc2fa0382d36_Method">
    <vt:lpwstr>Privileged</vt:lpwstr>
  </property>
  <property fmtid="{D5CDD505-2E9C-101B-9397-08002B2CF9AE}" pid="30" name="MSIP_Label_7cd3e8b9-ffed-43a8-b7f4-cc2fa0382d36_Name">
    <vt:lpwstr>O</vt:lpwstr>
  </property>
  <property fmtid="{D5CDD505-2E9C-101B-9397-08002B2CF9AE}" pid="31" name="MSIP_Label_7cd3e8b9-ffed-43a8-b7f4-cc2fa0382d36_SiteId">
    <vt:lpwstr>34a3929c-73cf-4954-abfe-147dc3517892</vt:lpwstr>
  </property>
  <property fmtid="{D5CDD505-2E9C-101B-9397-08002B2CF9AE}" pid="32" name="MSIP_Label_7cd3e8b9-ffed-43a8-b7f4-cc2fa0382d36_ActionId">
    <vt:lpwstr>bf7f2a15-3586-430d-bf1e-a983f9228ffe</vt:lpwstr>
  </property>
  <property fmtid="{D5CDD505-2E9C-101B-9397-08002B2CF9AE}" pid="33" name="MSIP_Label_7cd3e8b9-ffed-43a8-b7f4-cc2fa0382d36_ContentBits">
    <vt:lpwstr>3</vt:lpwstr>
  </property>
  <property fmtid="{D5CDD505-2E9C-101B-9397-08002B2CF9AE}" pid="34" name="MSIP_Label_7cd3e8b9-ffed-43a8-b7f4-cc2fa0382d36_Tag">
    <vt:lpwstr>10, 0, 1, 1</vt:lpwstr>
  </property>
</Properties>
</file>