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EF54" w14:textId="0A984D71" w:rsidR="00B25B3F" w:rsidRDefault="00B25B3F" w:rsidP="00B25B3F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ADAF6B" wp14:editId="490E28A3">
            <wp:simplePos x="0" y="0"/>
            <wp:positionH relativeFrom="margin">
              <wp:align>left</wp:align>
            </wp:positionH>
            <wp:positionV relativeFrom="paragraph">
              <wp:posOffset>298450</wp:posOffset>
            </wp:positionV>
            <wp:extent cx="771525" cy="1127760"/>
            <wp:effectExtent l="0" t="0" r="0" b="0"/>
            <wp:wrapSquare wrapText="bothSides"/>
            <wp:docPr id="1815945932" name="Picture 1815945932" descr="Communicable Diseases Network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unicable Diseases Network Austral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815" cy="1140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5B3F">
        <w:t>Creutzfeldt-Jakob disease (CJD)</w:t>
      </w:r>
    </w:p>
    <w:p w14:paraId="0ECF58BC" w14:textId="38704BE9" w:rsidR="00B25B3F" w:rsidRDefault="00B25B3F" w:rsidP="00B25B3F">
      <w:pPr>
        <w:pStyle w:val="Subtitle"/>
      </w:pPr>
      <w:r w:rsidRPr="00B25B3F">
        <w:t>Australian national notifiable diseases case definition</w:t>
      </w:r>
    </w:p>
    <w:p w14:paraId="6472E441" w14:textId="586998F2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>case definition</w:t>
      </w:r>
      <w:r w:rsidR="004E54B9">
        <w:t>s</w:t>
      </w:r>
      <w:r w:rsidRPr="00872414">
        <w:t xml:space="preserve"> for </w:t>
      </w:r>
      <w:r w:rsidR="00805C55" w:rsidRPr="00805C55">
        <w:t>Creutzfeldt-Jakob disease (CJD)</w:t>
      </w:r>
      <w:r w:rsidR="00623A78">
        <w:t xml:space="preserve"> and closely related </w:t>
      </w:r>
      <w:r w:rsidR="00623A78" w:rsidRPr="004E54B9">
        <w:t>prion diseases</w:t>
      </w:r>
      <w:r w:rsidR="005F7166">
        <w:rPr>
          <w:rStyle w:val="EndnoteReference"/>
        </w:rPr>
        <w:endnoteReference w:id="2"/>
      </w:r>
      <w:r w:rsidR="00133092">
        <w:t>,</w:t>
      </w:r>
      <w:r w:rsidR="00133092" w:rsidRPr="00805C55">
        <w:t xml:space="preserve"> </w:t>
      </w:r>
      <w:r w:rsidR="00133092" w:rsidRPr="00872414">
        <w:t xml:space="preserve">which </w:t>
      </w:r>
      <w:r w:rsidR="00623A78">
        <w:t>are</w:t>
      </w:r>
      <w:r w:rsidR="00133092" w:rsidRPr="00872414">
        <w:t xml:space="preserve"> nationally notifiable within Australia</w:t>
      </w:r>
      <w:r w:rsidR="00623A78">
        <w:t>,</w:t>
      </w:r>
      <w:r w:rsidR="004E54B9" w:rsidRPr="004E54B9">
        <w:t xml:space="preserve"> </w:t>
      </w:r>
      <w:r w:rsidR="00623A78">
        <w:t xml:space="preserve">and </w:t>
      </w:r>
      <w:r w:rsidR="004E54B9" w:rsidRPr="004E54B9">
        <w:t>excluding variant CJD</w:t>
      </w:r>
      <w:r w:rsidR="005F7166">
        <w:rPr>
          <w:rStyle w:val="EndnoteReference"/>
        </w:rPr>
        <w:endnoteReference w:id="3"/>
      </w:r>
      <w:r w:rsidRPr="00872414">
        <w:t xml:space="preserve">. </w:t>
      </w:r>
      <w:r w:rsidR="004516E8">
        <w:t xml:space="preserve">State and territory health departments use this definition to decide whether to notify the Australian </w:t>
      </w:r>
      <w:r w:rsidR="004E54B9">
        <w:t>Centre for Disease Control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896"/>
        <w:gridCol w:w="4949"/>
        <w:gridCol w:w="1450"/>
        <w:gridCol w:w="1775"/>
      </w:tblGrid>
      <w:tr w:rsidR="00542EA3" w:rsidRPr="00872414" w14:paraId="44D53685" w14:textId="77777777" w:rsidTr="008C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AB6D1A" w14:textId="77777777" w:rsidR="00800DEB" w:rsidRPr="00872414" w:rsidRDefault="00800DEB" w:rsidP="008C2744">
            <w:pPr>
              <w:pStyle w:val="TableHeaderWhite"/>
              <w:rPr>
                <w:lang w:eastAsia="en-AU"/>
              </w:rPr>
            </w:pPr>
            <w:r w:rsidRPr="00872414">
              <w:rPr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19854FF8" w14:textId="77777777" w:rsidR="00800DEB" w:rsidRPr="00872414" w:rsidRDefault="00800DEB" w:rsidP="008C274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872414">
              <w:rPr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2A59A88C" w14:textId="77777777" w:rsidR="00800DEB" w:rsidRPr="00872414" w:rsidRDefault="00800DEB" w:rsidP="008C274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872414">
              <w:rPr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4CA3D954" w14:textId="77777777" w:rsidR="00800DEB" w:rsidRPr="00872414" w:rsidRDefault="00800DEB" w:rsidP="008C274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872414">
              <w:rPr>
                <w:lang w:eastAsia="en-AU"/>
              </w:rPr>
              <w:t>Implementation date</w:t>
            </w:r>
          </w:p>
        </w:tc>
      </w:tr>
      <w:tr w:rsidR="00542EA3" w:rsidRPr="00872414" w14:paraId="757E3EC6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995F56" w14:textId="054AF391" w:rsidR="00800DEB" w:rsidRPr="008C2744" w:rsidRDefault="00805C55" w:rsidP="00C40BED">
            <w:pPr>
              <w:pStyle w:val="Tabletextleft"/>
            </w:pPr>
            <w:r w:rsidRPr="008C2744">
              <w:t>1.0</w:t>
            </w:r>
          </w:p>
        </w:tc>
        <w:tc>
          <w:tcPr>
            <w:tcW w:w="0" w:type="auto"/>
          </w:tcPr>
          <w:p w14:paraId="10EB49FA" w14:textId="14B64434" w:rsidR="00800DEB" w:rsidRPr="008C2744" w:rsidRDefault="00805C55" w:rsidP="00C40BED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2744">
              <w:t>Initial CDNA case definition</w:t>
            </w:r>
          </w:p>
        </w:tc>
        <w:tc>
          <w:tcPr>
            <w:tcW w:w="0" w:type="auto"/>
          </w:tcPr>
          <w:p w14:paraId="2D81A63B" w14:textId="1BB92A2C" w:rsidR="00800DEB" w:rsidRPr="008C2744" w:rsidRDefault="00805C55" w:rsidP="00C40BED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2744">
              <w:t>CDWG November 2009</w:t>
            </w:r>
          </w:p>
        </w:tc>
        <w:tc>
          <w:tcPr>
            <w:tcW w:w="0" w:type="auto"/>
          </w:tcPr>
          <w:p w14:paraId="61D2F7EE" w14:textId="1BBCE9B6" w:rsidR="00800DEB" w:rsidRPr="008C2744" w:rsidRDefault="00805C55" w:rsidP="00C40BED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2744">
              <w:t>1 July 2010</w:t>
            </w:r>
          </w:p>
        </w:tc>
      </w:tr>
      <w:tr w:rsidR="000328CB" w:rsidRPr="00872414" w14:paraId="37959772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044B9D" w14:textId="1D24B0C1" w:rsidR="00BF06E9" w:rsidRPr="008C2744" w:rsidRDefault="00BF06E9" w:rsidP="00C40BED">
            <w:pPr>
              <w:pStyle w:val="Tabletextleft"/>
            </w:pPr>
            <w:r w:rsidRPr="008C2744">
              <w:t>2.0</w:t>
            </w:r>
          </w:p>
        </w:tc>
        <w:tc>
          <w:tcPr>
            <w:tcW w:w="0" w:type="auto"/>
          </w:tcPr>
          <w:p w14:paraId="71F8F1BB" w14:textId="77777777" w:rsidR="00BF06E9" w:rsidRPr="008C2744" w:rsidRDefault="0002336F" w:rsidP="00C40BED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>Complete review by CJD IPCG and Surveillance Case Definition Working Group</w:t>
            </w:r>
          </w:p>
          <w:p w14:paraId="053B3C4A" w14:textId="77777777" w:rsidR="0002336F" w:rsidRPr="008C2744" w:rsidRDefault="0002336F" w:rsidP="00C40BED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>Clarified that case definition applies to fatal familial insomnia and Gerstmann-</w:t>
            </w:r>
            <w:proofErr w:type="spellStart"/>
            <w:r w:rsidRPr="008C2744">
              <w:t>Straeussler</w:t>
            </w:r>
            <w:proofErr w:type="spellEnd"/>
            <w:r w:rsidRPr="008C2744">
              <w:t>-</w:t>
            </w:r>
            <w:proofErr w:type="spellStart"/>
            <w:r w:rsidRPr="008C2744">
              <w:t>Scheinker</w:t>
            </w:r>
            <w:proofErr w:type="spellEnd"/>
            <w:r w:rsidRPr="008C2744">
              <w:t xml:space="preserve"> syndrome</w:t>
            </w:r>
          </w:p>
          <w:p w14:paraId="29DC72FF" w14:textId="77777777" w:rsidR="0002336F" w:rsidRPr="008C2744" w:rsidRDefault="0002336F" w:rsidP="008C2744">
            <w:pPr>
              <w:pStyle w:val="TableHead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>Laboratory Definitive Evidence</w:t>
            </w:r>
          </w:p>
          <w:p w14:paraId="0F172E83" w14:textId="77777777" w:rsidR="0002336F" w:rsidRPr="008C2744" w:rsidRDefault="0002336F" w:rsidP="00C40BED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>Updated with greater detail</w:t>
            </w:r>
          </w:p>
          <w:p w14:paraId="4615446E" w14:textId="77777777" w:rsidR="0002336F" w:rsidRPr="008C2744" w:rsidRDefault="0002336F" w:rsidP="008C2744">
            <w:pPr>
              <w:pStyle w:val="TableHead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 xml:space="preserve">Probable Case </w:t>
            </w:r>
          </w:p>
          <w:p w14:paraId="48BA29B4" w14:textId="77777777" w:rsidR="0002336F" w:rsidRPr="008C2744" w:rsidRDefault="0002336F" w:rsidP="00C40BED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 xml:space="preserve">Added several new evidence streams based around expert assessment of </w:t>
            </w:r>
            <w:r w:rsidR="000328CB" w:rsidRPr="008C2744">
              <w:t>progressive neuropsychiatric disorder compatible with CJD coupled with clinical tests</w:t>
            </w:r>
          </w:p>
          <w:p w14:paraId="7A904E3F" w14:textId="77777777" w:rsidR="000328CB" w:rsidRPr="008C2744" w:rsidRDefault="000328CB" w:rsidP="008C2744">
            <w:pPr>
              <w:pStyle w:val="TableHead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>Clinical Evidence</w:t>
            </w:r>
          </w:p>
          <w:p w14:paraId="47989EDB" w14:textId="77777777" w:rsidR="000328CB" w:rsidRPr="008C2744" w:rsidRDefault="000328CB" w:rsidP="00C40BED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>Updated 1. from “Progressive dementia of less than two years duration” to “Rapidly progressive cognitive impairment”</w:t>
            </w:r>
          </w:p>
          <w:p w14:paraId="40BF282B" w14:textId="516FEBF2" w:rsidR="000328CB" w:rsidRPr="008C2744" w:rsidRDefault="000328CB" w:rsidP="008C2744">
            <w:pPr>
              <w:pStyle w:val="TableHead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>Laboratory suggestive evidence</w:t>
            </w:r>
          </w:p>
          <w:p w14:paraId="0AD5AD5D" w14:textId="61D403CE" w:rsidR="000328CB" w:rsidRPr="008C2744" w:rsidRDefault="000328CB" w:rsidP="00C40BED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>Removed</w:t>
            </w:r>
          </w:p>
        </w:tc>
        <w:tc>
          <w:tcPr>
            <w:tcW w:w="0" w:type="auto"/>
          </w:tcPr>
          <w:p w14:paraId="42688EC5" w14:textId="5C1AFFF6" w:rsidR="00BF06E9" w:rsidRPr="008C2744" w:rsidRDefault="00542EA3" w:rsidP="00C40BED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 xml:space="preserve">CDNA </w:t>
            </w:r>
            <w:r w:rsidR="0002336F" w:rsidRPr="008C2744">
              <w:t xml:space="preserve">November </w:t>
            </w:r>
            <w:r w:rsidR="00BF06E9" w:rsidRPr="008C2744">
              <w:t>2025</w:t>
            </w:r>
          </w:p>
        </w:tc>
        <w:tc>
          <w:tcPr>
            <w:tcW w:w="0" w:type="auto"/>
          </w:tcPr>
          <w:p w14:paraId="4039E812" w14:textId="3EFC50CC" w:rsidR="00BF06E9" w:rsidRPr="008C2744" w:rsidRDefault="00BF06E9" w:rsidP="00C40BED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C2744">
              <w:t>1 January 2026</w:t>
            </w:r>
          </w:p>
        </w:tc>
      </w:tr>
    </w:tbl>
    <w:p w14:paraId="04569555" w14:textId="562E8D10" w:rsidR="00805C55" w:rsidRPr="008C2744" w:rsidRDefault="00805C55" w:rsidP="008C2744">
      <w:pPr>
        <w:pStyle w:val="Heading1"/>
      </w:pPr>
      <w:r w:rsidRPr="008C2744">
        <w:lastRenderedPageBreak/>
        <w:t>Reporting</w:t>
      </w:r>
    </w:p>
    <w:p w14:paraId="041E7059" w14:textId="74736936" w:rsidR="00B25B3F" w:rsidRPr="002779D3" w:rsidRDefault="00805C55" w:rsidP="00B25B3F">
      <w:r w:rsidRPr="008C2744">
        <w:rPr>
          <w:rStyle w:val="Strong"/>
        </w:rPr>
        <w:t>Confirmed</w:t>
      </w:r>
      <w:r w:rsidRPr="002779D3">
        <w:t> and </w:t>
      </w:r>
      <w:r w:rsidRPr="008C2744">
        <w:rPr>
          <w:rStyle w:val="Strong"/>
        </w:rPr>
        <w:t>probable</w:t>
      </w:r>
      <w:r w:rsidRPr="002779D3">
        <w:t> cases should be notified</w:t>
      </w:r>
      <w:r w:rsidR="007E3D72">
        <w:rPr>
          <w:rStyle w:val="EndnoteReference"/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endnoteReference w:id="4"/>
      </w:r>
      <w:r w:rsidRPr="002779D3">
        <w:t>.</w:t>
      </w:r>
    </w:p>
    <w:p w14:paraId="39335EE3" w14:textId="36AF74BE" w:rsidR="00805C55" w:rsidRPr="00805C55" w:rsidRDefault="00805C55" w:rsidP="00B25B3F">
      <w:pPr>
        <w:rPr>
          <w:rFonts w:ascii="Times New Roman" w:hAnsi="Times New Roman"/>
          <w:sz w:val="24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02CBF5EC" w14:textId="4E105273" w:rsidR="00805C55" w:rsidRPr="00805C55" w:rsidRDefault="00805C55" w:rsidP="00805C55">
      <w:pPr>
        <w:rPr>
          <w:rFonts w:ascii="Times New Roman" w:hAnsi="Times New Roman"/>
          <w:sz w:val="24"/>
          <w:lang w:eastAsia="en-AU"/>
        </w:rPr>
      </w:pPr>
      <w:r w:rsidRPr="002779D3">
        <w:t>A confirmed case requires </w:t>
      </w:r>
      <w:r w:rsidRPr="008C2744">
        <w:rPr>
          <w:rStyle w:val="Strong"/>
        </w:rPr>
        <w:t>laboratory definitive evidence</w:t>
      </w:r>
    </w:p>
    <w:p w14:paraId="65A60ED6" w14:textId="77777777" w:rsidR="00805C55" w:rsidRPr="008C2744" w:rsidRDefault="00805C55" w:rsidP="008C2744">
      <w:pPr>
        <w:pStyle w:val="Heading1"/>
      </w:pPr>
      <w:r w:rsidRPr="008C2744">
        <w:t>Laboratory definitive evidence</w:t>
      </w:r>
    </w:p>
    <w:p w14:paraId="2E94191D" w14:textId="70F1F567" w:rsidR="00805C55" w:rsidRPr="004F11A5" w:rsidRDefault="00623A78" w:rsidP="0002336F">
      <w:pPr>
        <w:rPr>
          <w:rFonts w:ascii="Times New Roman" w:hAnsi="Times New Roman"/>
          <w:sz w:val="24"/>
          <w:lang w:eastAsia="en-AU"/>
        </w:rPr>
      </w:pPr>
      <w:r w:rsidRPr="002779D3">
        <w:t xml:space="preserve">Brain neuropathological </w:t>
      </w:r>
      <w:r w:rsidR="00805C55" w:rsidRPr="002779D3">
        <w:t xml:space="preserve">confirmation </w:t>
      </w:r>
      <w:r w:rsidRPr="002779D3">
        <w:t>by immunochemical detection of abnormal prion protein (typically protease</w:t>
      </w:r>
      <w:r w:rsidR="00986007" w:rsidRPr="002779D3">
        <w:t>-</w:t>
      </w:r>
      <w:r w:rsidRPr="002779D3">
        <w:t>resistant</w:t>
      </w:r>
      <w:r w:rsidR="00986007" w:rsidRPr="002779D3">
        <w:t xml:space="preserve"> </w:t>
      </w:r>
      <w:proofErr w:type="spellStart"/>
      <w:r w:rsidR="00986007" w:rsidRPr="002779D3">
        <w:t>PrP</w:t>
      </w:r>
      <w:r w:rsidR="00986007" w:rsidRPr="00986007">
        <w:rPr>
          <w:rFonts w:ascii="Helvetica" w:hAnsi="Helvetica" w:cs="Helvetica"/>
          <w:color w:val="222222"/>
          <w:sz w:val="20"/>
          <w:szCs w:val="20"/>
          <w:shd w:val="clear" w:color="auto" w:fill="FFFFFF"/>
          <w:vertAlign w:val="superscript"/>
          <w:lang w:eastAsia="en-AU"/>
        </w:rPr>
        <w:t>Sc</w:t>
      </w:r>
      <w:proofErr w:type="spellEnd"/>
      <w:r w:rsidRPr="002779D3">
        <w:t xml:space="preserve">) </w:t>
      </w:r>
      <w:r w:rsidR="00805C55" w:rsidRPr="002779D3">
        <w:t>by</w:t>
      </w:r>
      <w:r w:rsidR="0002336F" w:rsidRPr="002779D3">
        <w:t xml:space="preserve"> </w:t>
      </w:r>
      <w:r w:rsidR="00805C55" w:rsidRPr="002779D3">
        <w:t xml:space="preserve">western blot </w:t>
      </w:r>
      <w:r w:rsidR="0002336F" w:rsidRPr="002779D3">
        <w:t>or i</w:t>
      </w:r>
      <w:r w:rsidR="00805C55" w:rsidRPr="002779D3">
        <w:t>mmunocytochemistry.</w:t>
      </w:r>
    </w:p>
    <w:p w14:paraId="02943133" w14:textId="77777777" w:rsidR="00805C55" w:rsidRPr="008C2744" w:rsidRDefault="00805C55" w:rsidP="008C2744">
      <w:pPr>
        <w:pStyle w:val="Heading1"/>
      </w:pPr>
      <w:r w:rsidRPr="008C2744">
        <w:t>Probable case</w:t>
      </w:r>
    </w:p>
    <w:p w14:paraId="44D2AD15" w14:textId="73EE51BC" w:rsidR="008C2744" w:rsidRDefault="008C2744" w:rsidP="008C2744">
      <w:pPr>
        <w:pStyle w:val="ListNumber"/>
      </w:pPr>
      <w:r>
        <w:t>progressive neuropsychiatric disorder compatible with CJD as determined by an appropriate expert AND positive real time-quaking induced conversion (RT-</w:t>
      </w:r>
      <w:proofErr w:type="spellStart"/>
      <w:r>
        <w:t>QuIC</w:t>
      </w:r>
      <w:proofErr w:type="spellEnd"/>
      <w:r>
        <w:t>) in CSF or other tissues</w:t>
      </w:r>
    </w:p>
    <w:p w14:paraId="7C343912" w14:textId="5B4DF926" w:rsidR="008C2744" w:rsidRPr="008C2744" w:rsidRDefault="008C2744" w:rsidP="008C2744">
      <w:r>
        <w:t>OR</w:t>
      </w:r>
    </w:p>
    <w:p w14:paraId="6146E80D" w14:textId="77777777" w:rsidR="008C2744" w:rsidRDefault="008C2744" w:rsidP="008C2744">
      <w:pPr>
        <w:pStyle w:val="ListNumber"/>
      </w:pPr>
      <w:r>
        <w:t xml:space="preserve">Progressive neuropsychiatric disorder compatible with CJD and other related prion disease as determined by an appropriate </w:t>
      </w:r>
      <w:proofErr w:type="spellStart"/>
      <w:r>
        <w:t>expertiv</w:t>
      </w:r>
      <w:proofErr w:type="spellEnd"/>
      <w:r>
        <w:t xml:space="preserve"> AND definite or probable prion disease in 1st degree relative</w:t>
      </w:r>
    </w:p>
    <w:p w14:paraId="78412A5D" w14:textId="77777777" w:rsidR="008C2744" w:rsidRDefault="008C2744" w:rsidP="008C2744">
      <w:r>
        <w:t>OR</w:t>
      </w:r>
    </w:p>
    <w:p w14:paraId="77032459" w14:textId="77777777" w:rsidR="008C2744" w:rsidRDefault="008C2744" w:rsidP="008C2744">
      <w:pPr>
        <w:pStyle w:val="ListNumber"/>
      </w:pPr>
      <w:r>
        <w:t xml:space="preserve">Progressive neuropsychiatric disorder compatible with CJD and other related prion disease as determined by an appropriate </w:t>
      </w:r>
      <w:proofErr w:type="spellStart"/>
      <w:r>
        <w:t>expertiv</w:t>
      </w:r>
      <w:proofErr w:type="spellEnd"/>
      <w:r>
        <w:t xml:space="preserve"> AND recognised pathogenic PRNP sequence variation </w:t>
      </w:r>
    </w:p>
    <w:p w14:paraId="4E966032" w14:textId="77777777" w:rsidR="008C2744" w:rsidRDefault="008C2744" w:rsidP="008C2744">
      <w:r>
        <w:t>OR</w:t>
      </w:r>
    </w:p>
    <w:p w14:paraId="79F52D5C" w14:textId="77777777" w:rsidR="008C2744" w:rsidRDefault="008C2744" w:rsidP="008C2744">
      <w:pPr>
        <w:pStyle w:val="ListNumber"/>
      </w:pPr>
      <w:r>
        <w:t xml:space="preserve">Clinical evidence AND presence of 14-3-3 protein in cerebrospinal fluid (CSF) </w:t>
      </w:r>
    </w:p>
    <w:p w14:paraId="4DDA2266" w14:textId="77777777" w:rsidR="008C2744" w:rsidRDefault="008C2744" w:rsidP="008C2744">
      <w:r>
        <w:t>OR</w:t>
      </w:r>
    </w:p>
    <w:p w14:paraId="4466862F" w14:textId="77777777" w:rsidR="008C2744" w:rsidRDefault="008C2744" w:rsidP="008C2744">
      <w:pPr>
        <w:pStyle w:val="ListNumber"/>
      </w:pPr>
      <w:r>
        <w:t xml:space="preserve">Clinical evidence AND a typical MRI brain scan (that is, high signal in caudate/putamen or at least two cortical regions (temporal, parietal, occipital) either on DWI or FLAIR) </w:t>
      </w:r>
    </w:p>
    <w:p w14:paraId="2C369ED4" w14:textId="77777777" w:rsidR="008C2744" w:rsidRDefault="008C2744" w:rsidP="008C2744">
      <w:r>
        <w:t>OR</w:t>
      </w:r>
    </w:p>
    <w:p w14:paraId="77B2CD07" w14:textId="4677F81E" w:rsidR="007E3D72" w:rsidRPr="002779D3" w:rsidRDefault="008C2744" w:rsidP="008C2744">
      <w:pPr>
        <w:pStyle w:val="ListNumber"/>
      </w:pPr>
      <w:r>
        <w:t>Clinical evidence AND a typical electroencephalogram (EEG) (that is, generalised periodic complexes)</w:t>
      </w:r>
    </w:p>
    <w:p w14:paraId="59934B35" w14:textId="77777777" w:rsidR="00805C55" w:rsidRPr="008C2744" w:rsidRDefault="00805C55" w:rsidP="008C2744">
      <w:pPr>
        <w:pStyle w:val="Heading1"/>
      </w:pPr>
      <w:r w:rsidRPr="008C2744">
        <w:t>Clinical evidence</w:t>
      </w:r>
    </w:p>
    <w:p w14:paraId="29B41E75" w14:textId="75A0CABF" w:rsidR="007E3D72" w:rsidRPr="008C2744" w:rsidRDefault="007E3D72" w:rsidP="008C2744">
      <w:pPr>
        <w:pStyle w:val="ListNumber"/>
        <w:numPr>
          <w:ilvl w:val="0"/>
          <w:numId w:val="25"/>
        </w:numPr>
      </w:pPr>
      <w:r w:rsidRPr="008C2744">
        <w:t>Rapidly progressive cognitive impairment</w:t>
      </w:r>
    </w:p>
    <w:p w14:paraId="3D1A548F" w14:textId="77777777" w:rsidR="008C2744" w:rsidRDefault="00805C55" w:rsidP="008C2744">
      <w:r w:rsidRPr="008C2744">
        <w:t>AND</w:t>
      </w:r>
    </w:p>
    <w:p w14:paraId="02B927B2" w14:textId="365384CC" w:rsidR="00805C55" w:rsidRPr="00873754" w:rsidRDefault="00805C55" w:rsidP="008C2744">
      <w:r w:rsidRPr="008C2744">
        <w:t>At least 2 of the following clinical features:</w:t>
      </w:r>
    </w:p>
    <w:p w14:paraId="1434794F" w14:textId="77777777" w:rsidR="00805C55" w:rsidRPr="008C2744" w:rsidRDefault="00805C55" w:rsidP="008C2744">
      <w:pPr>
        <w:pStyle w:val="ListBullet"/>
      </w:pPr>
      <w:r w:rsidRPr="008C2744">
        <w:t>myoclonus</w:t>
      </w:r>
    </w:p>
    <w:p w14:paraId="3C1E9488" w14:textId="77777777" w:rsidR="00805C55" w:rsidRPr="008C2744" w:rsidRDefault="00805C55" w:rsidP="008C2744">
      <w:pPr>
        <w:pStyle w:val="ListBullet"/>
      </w:pPr>
      <w:r w:rsidRPr="008C2744">
        <w:t>visual or cerebellar signs</w:t>
      </w:r>
    </w:p>
    <w:p w14:paraId="7C350529" w14:textId="77777777" w:rsidR="00805C55" w:rsidRPr="008C2744" w:rsidRDefault="00805C55" w:rsidP="008C2744">
      <w:pPr>
        <w:pStyle w:val="ListBullet"/>
      </w:pPr>
      <w:r w:rsidRPr="008C2744">
        <w:t>pyramidal/extrapyramidal signs</w:t>
      </w:r>
    </w:p>
    <w:p w14:paraId="6864CB9D" w14:textId="06A47E29" w:rsidR="00C40BED" w:rsidRPr="00C40BED" w:rsidRDefault="00805C55" w:rsidP="00C40BED">
      <w:pPr>
        <w:pStyle w:val="ListBullet"/>
        <w:rPr>
          <w:lang w:eastAsia="en-AU"/>
        </w:rPr>
      </w:pPr>
      <w:r w:rsidRPr="008C2744">
        <w:t>akinetic mutism.</w:t>
      </w:r>
    </w:p>
    <w:sectPr w:rsidR="00C40BED" w:rsidRPr="00C40BED" w:rsidSect="008C2744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BC12" w14:textId="77777777" w:rsidR="001A1BE2" w:rsidRDefault="001A1BE2" w:rsidP="006B56BB">
      <w:r>
        <w:separator/>
      </w:r>
    </w:p>
    <w:p w14:paraId="1A510291" w14:textId="77777777" w:rsidR="001A1BE2" w:rsidRDefault="001A1BE2"/>
  </w:endnote>
  <w:endnote w:type="continuationSeparator" w:id="0">
    <w:p w14:paraId="094DAE39" w14:textId="77777777" w:rsidR="001A1BE2" w:rsidRDefault="001A1BE2" w:rsidP="006B56BB">
      <w:r>
        <w:continuationSeparator/>
      </w:r>
    </w:p>
    <w:p w14:paraId="04217370" w14:textId="77777777" w:rsidR="001A1BE2" w:rsidRDefault="001A1BE2"/>
  </w:endnote>
  <w:endnote w:type="continuationNotice" w:id="1">
    <w:p w14:paraId="123055DF" w14:textId="77777777" w:rsidR="001A1BE2" w:rsidRDefault="001A1BE2"/>
  </w:endnote>
  <w:endnote w:id="2">
    <w:p w14:paraId="39A4B08B" w14:textId="5FC7883B" w:rsidR="005F7166" w:rsidRPr="000328CB" w:rsidRDefault="005F7166">
      <w:pPr>
        <w:pStyle w:val="EndnoteText"/>
        <w:rPr>
          <w:rFonts w:ascii="Helvetica" w:hAnsi="Helvetica" w:cs="Helvetica"/>
          <w:sz w:val="16"/>
          <w:szCs w:val="16"/>
        </w:rPr>
      </w:pPr>
      <w:r w:rsidRPr="000328CB">
        <w:rPr>
          <w:rStyle w:val="EndnoteReference"/>
          <w:rFonts w:ascii="Helvetica" w:hAnsi="Helvetica" w:cs="Helvetica"/>
          <w:sz w:val="16"/>
          <w:szCs w:val="16"/>
        </w:rPr>
        <w:endnoteRef/>
      </w:r>
      <w:r w:rsidRPr="000328CB">
        <w:rPr>
          <w:rFonts w:ascii="Helvetica" w:hAnsi="Helvetica" w:cs="Helvetica"/>
          <w:sz w:val="16"/>
          <w:szCs w:val="16"/>
        </w:rPr>
        <w:t xml:space="preserve"> </w:t>
      </w:r>
      <w:r w:rsidRPr="000328CB">
        <w:rPr>
          <w:rFonts w:ascii="Helvetica" w:eastAsia="Aptos" w:hAnsi="Helvetica" w:cs="Helvetica"/>
          <w:sz w:val="16"/>
          <w:szCs w:val="16"/>
        </w:rPr>
        <w:t>Phenotypes of fatal familial insomnia (mostly genetic, but also sporadic), and Gerstmann-Straeussler-Scheinker syndrome should also be reported under this definition.</w:t>
      </w:r>
    </w:p>
  </w:endnote>
  <w:endnote w:id="3">
    <w:p w14:paraId="0DAF8B59" w14:textId="63A50209" w:rsidR="005F7166" w:rsidRPr="000328CB" w:rsidRDefault="005F7166">
      <w:pPr>
        <w:pStyle w:val="EndnoteText"/>
        <w:rPr>
          <w:rFonts w:ascii="Helvetica" w:hAnsi="Helvetica" w:cs="Helvetica"/>
          <w:sz w:val="16"/>
          <w:szCs w:val="16"/>
        </w:rPr>
      </w:pPr>
      <w:r w:rsidRPr="000328CB">
        <w:rPr>
          <w:rStyle w:val="EndnoteReference"/>
          <w:rFonts w:ascii="Helvetica" w:hAnsi="Helvetica" w:cs="Helvetica"/>
          <w:sz w:val="16"/>
          <w:szCs w:val="16"/>
        </w:rPr>
        <w:endnoteRef/>
      </w:r>
      <w:r w:rsidRPr="000328CB">
        <w:rPr>
          <w:rFonts w:ascii="Helvetica" w:hAnsi="Helvetica" w:cs="Helvetica"/>
          <w:sz w:val="16"/>
          <w:szCs w:val="16"/>
        </w:rPr>
        <w:t xml:space="preserve"> there is a separate case definition for variant CJD: https://www.health.gov.au/resources/publications/variant-creutzfeldt-jakob-disease-vcjd-surveillance-case-definition?language=en</w:t>
      </w:r>
    </w:p>
  </w:endnote>
  <w:endnote w:id="4">
    <w:p w14:paraId="40AB7EC1" w14:textId="30937B92" w:rsidR="007E3D72" w:rsidRPr="000328CB" w:rsidRDefault="007E3D72">
      <w:pPr>
        <w:pStyle w:val="EndnoteText"/>
        <w:rPr>
          <w:rFonts w:ascii="Helvetica" w:hAnsi="Helvetica" w:cs="Helvetica"/>
          <w:sz w:val="16"/>
          <w:szCs w:val="16"/>
        </w:rPr>
      </w:pPr>
      <w:r w:rsidRPr="000328CB">
        <w:rPr>
          <w:rStyle w:val="EndnoteReference"/>
          <w:rFonts w:ascii="Helvetica" w:hAnsi="Helvetica" w:cs="Helvetica"/>
          <w:sz w:val="16"/>
          <w:szCs w:val="16"/>
        </w:rPr>
        <w:endnoteRef/>
      </w:r>
      <w:r w:rsidRPr="000328CB">
        <w:rPr>
          <w:rFonts w:ascii="Helvetica" w:hAnsi="Helvetica" w:cs="Helvetica"/>
          <w:sz w:val="16"/>
          <w:szCs w:val="16"/>
        </w:rPr>
        <w:t xml:space="preserve"> </w:t>
      </w:r>
      <w:r w:rsidR="005F7166" w:rsidRPr="000328CB">
        <w:rPr>
          <w:rStyle w:val="normaltextrun"/>
          <w:rFonts w:ascii="Helvetica" w:eastAsiaTheme="majorEastAsia" w:hAnsi="Helvetica" w:cs="Helvetica"/>
          <w:sz w:val="16"/>
          <w:szCs w:val="16"/>
        </w:rPr>
        <w:t>This includes sporadic, acquired/accidental and genetic cases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D81" w14:textId="3A80CDF3" w:rsidR="00204DD3" w:rsidRDefault="00204D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A69C9A0" wp14:editId="57314B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59161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28EEB" w14:textId="5FB1AEB4" w:rsidR="00204DD3" w:rsidRPr="00204DD3" w:rsidRDefault="00204DD3" w:rsidP="00204D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04D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9C9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44828EEB" w14:textId="5FB1AEB4" w:rsidR="00204DD3" w:rsidRPr="00204DD3" w:rsidRDefault="00204DD3" w:rsidP="00204D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04D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1BF7" w14:textId="0C2F1EC4" w:rsidR="00CD407A" w:rsidRDefault="00000000" w:rsidP="00805C55">
    <w:pPr>
      <w:pStyle w:val="Footer"/>
      <w:jc w:val="right"/>
    </w:pPr>
    <w:sdt>
      <w:sdtPr>
        <w:id w:val="-19824697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805C55" w:rsidRPr="00805C55">
              <w:t xml:space="preserve">Creutzfeldt-Jakob disease (CJD)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2916" w14:textId="17BF9C32" w:rsidR="00204DD3" w:rsidRDefault="00204D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D7F206" wp14:editId="6F8E34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790705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DE708" w14:textId="0824F1D4" w:rsidR="00204DD3" w:rsidRPr="00204DD3" w:rsidRDefault="00204DD3" w:rsidP="00204D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04D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7F2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ACDE708" w14:textId="0824F1D4" w:rsidR="00204DD3" w:rsidRPr="00204DD3" w:rsidRDefault="00204DD3" w:rsidP="00204D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04D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41C5" w14:textId="77777777" w:rsidR="001A1BE2" w:rsidRDefault="001A1BE2" w:rsidP="006B56BB">
      <w:r>
        <w:separator/>
      </w:r>
    </w:p>
    <w:p w14:paraId="2F87234B" w14:textId="77777777" w:rsidR="001A1BE2" w:rsidRDefault="001A1BE2"/>
  </w:footnote>
  <w:footnote w:type="continuationSeparator" w:id="0">
    <w:p w14:paraId="3987EF87" w14:textId="77777777" w:rsidR="001A1BE2" w:rsidRDefault="001A1BE2" w:rsidP="006B56BB">
      <w:r>
        <w:continuationSeparator/>
      </w:r>
    </w:p>
    <w:p w14:paraId="2EFCD6CD" w14:textId="77777777" w:rsidR="001A1BE2" w:rsidRDefault="001A1BE2"/>
  </w:footnote>
  <w:footnote w:type="continuationNotice" w:id="1">
    <w:p w14:paraId="26802840" w14:textId="77777777" w:rsidR="001A1BE2" w:rsidRDefault="001A1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9E4A" w14:textId="0130E766" w:rsidR="00204DD3" w:rsidRDefault="00204D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C29EE6C" wp14:editId="5E3E8C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323636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DA045" w14:textId="699A7BB0" w:rsidR="00204DD3" w:rsidRPr="00204DD3" w:rsidRDefault="00204DD3" w:rsidP="00204D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04D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9E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61DA045" w14:textId="699A7BB0" w:rsidR="00204DD3" w:rsidRPr="00204DD3" w:rsidRDefault="00204DD3" w:rsidP="00204D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04D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1E84" w14:textId="09B51ADF" w:rsidR="00204DD3" w:rsidRDefault="00204D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48D45" wp14:editId="3EA8E1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380932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B3D52" w14:textId="301C62F5" w:rsidR="00204DD3" w:rsidRPr="00204DD3" w:rsidRDefault="00204DD3" w:rsidP="00204D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04D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48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F6B3D52" w14:textId="301C62F5" w:rsidR="00204DD3" w:rsidRPr="00204DD3" w:rsidRDefault="00204DD3" w:rsidP="00204D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04D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8CC8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052758"/>
    <w:multiLevelType w:val="hybridMultilevel"/>
    <w:tmpl w:val="6F2682E0"/>
    <w:lvl w:ilvl="0" w:tplc="4192DE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31A5D"/>
    <w:multiLevelType w:val="multilevel"/>
    <w:tmpl w:val="3E7E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0C5279"/>
    <w:multiLevelType w:val="hybridMultilevel"/>
    <w:tmpl w:val="2B6AFA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B5837"/>
    <w:multiLevelType w:val="hybridMultilevel"/>
    <w:tmpl w:val="E1145E84"/>
    <w:lvl w:ilvl="0" w:tplc="58262BB4">
      <w:start w:val="1"/>
      <w:numFmt w:val="lowerLetter"/>
      <w:lvlText w:val="%1)"/>
      <w:lvlJc w:val="left"/>
      <w:pPr>
        <w:ind w:left="770" w:hanging="360"/>
      </w:pPr>
      <w:rPr>
        <w:rFonts w:ascii="Helvetica" w:hAnsi="Helvetica" w:cs="Helvetica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21950427">
    <w:abstractNumId w:val="7"/>
  </w:num>
  <w:num w:numId="2" w16cid:durableId="567960455">
    <w:abstractNumId w:val="16"/>
  </w:num>
  <w:num w:numId="3" w16cid:durableId="1560750831">
    <w:abstractNumId w:val="20"/>
  </w:num>
  <w:num w:numId="4" w16cid:durableId="5208140">
    <w:abstractNumId w:val="8"/>
  </w:num>
  <w:num w:numId="5" w16cid:durableId="122775685">
    <w:abstractNumId w:val="8"/>
    <w:lvlOverride w:ilvl="0">
      <w:startOverride w:val="1"/>
    </w:lvlOverride>
  </w:num>
  <w:num w:numId="6" w16cid:durableId="1926528077">
    <w:abstractNumId w:val="9"/>
  </w:num>
  <w:num w:numId="7" w16cid:durableId="2122335729">
    <w:abstractNumId w:val="15"/>
  </w:num>
  <w:num w:numId="8" w16cid:durableId="944727755">
    <w:abstractNumId w:val="19"/>
  </w:num>
  <w:num w:numId="9" w16cid:durableId="1681085335">
    <w:abstractNumId w:val="5"/>
  </w:num>
  <w:num w:numId="10" w16cid:durableId="281763810">
    <w:abstractNumId w:val="4"/>
  </w:num>
  <w:num w:numId="11" w16cid:durableId="1674868027">
    <w:abstractNumId w:val="3"/>
  </w:num>
  <w:num w:numId="12" w16cid:durableId="332883303">
    <w:abstractNumId w:val="2"/>
  </w:num>
  <w:num w:numId="13" w16cid:durableId="494807786">
    <w:abstractNumId w:val="6"/>
  </w:num>
  <w:num w:numId="14" w16cid:durableId="1331980495">
    <w:abstractNumId w:val="1"/>
  </w:num>
  <w:num w:numId="15" w16cid:durableId="551115862">
    <w:abstractNumId w:val="0"/>
  </w:num>
  <w:num w:numId="16" w16cid:durableId="197012108">
    <w:abstractNumId w:val="21"/>
  </w:num>
  <w:num w:numId="17" w16cid:durableId="573903328">
    <w:abstractNumId w:val="10"/>
  </w:num>
  <w:num w:numId="18" w16cid:durableId="2032488646">
    <w:abstractNumId w:val="11"/>
  </w:num>
  <w:num w:numId="19" w16cid:durableId="2093501335">
    <w:abstractNumId w:val="12"/>
  </w:num>
  <w:num w:numId="20" w16cid:durableId="1162627660">
    <w:abstractNumId w:val="14"/>
  </w:num>
  <w:num w:numId="21" w16cid:durableId="2102292561">
    <w:abstractNumId w:val="17"/>
  </w:num>
  <w:num w:numId="22" w16cid:durableId="1516575527">
    <w:abstractNumId w:val="13"/>
  </w:num>
  <w:num w:numId="23" w16cid:durableId="1125080986">
    <w:abstractNumId w:val="18"/>
  </w:num>
  <w:num w:numId="24" w16cid:durableId="572351937">
    <w:abstractNumId w:val="6"/>
  </w:num>
  <w:num w:numId="25" w16cid:durableId="83040973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55"/>
    <w:rsid w:val="00003743"/>
    <w:rsid w:val="000047B4"/>
    <w:rsid w:val="00005712"/>
    <w:rsid w:val="000069F9"/>
    <w:rsid w:val="00007FD8"/>
    <w:rsid w:val="000117F8"/>
    <w:rsid w:val="0001460F"/>
    <w:rsid w:val="00022629"/>
    <w:rsid w:val="0002336F"/>
    <w:rsid w:val="00026139"/>
    <w:rsid w:val="00027601"/>
    <w:rsid w:val="000328CB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13B7"/>
    <w:rsid w:val="00093981"/>
    <w:rsid w:val="000963B2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092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2119"/>
    <w:rsid w:val="0019622E"/>
    <w:rsid w:val="001966A7"/>
    <w:rsid w:val="001A1BE2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04DD3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779D3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AD6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E54B9"/>
    <w:rsid w:val="004F11A5"/>
    <w:rsid w:val="004F13EE"/>
    <w:rsid w:val="004F2022"/>
    <w:rsid w:val="004F7C05"/>
    <w:rsid w:val="00501C94"/>
    <w:rsid w:val="00506432"/>
    <w:rsid w:val="0052051D"/>
    <w:rsid w:val="00542EA3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5F7166"/>
    <w:rsid w:val="006041BE"/>
    <w:rsid w:val="006043C7"/>
    <w:rsid w:val="00623A78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9EE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B2660"/>
    <w:rsid w:val="007C1FDC"/>
    <w:rsid w:val="007C2B67"/>
    <w:rsid w:val="007C6D9C"/>
    <w:rsid w:val="007C7DDB"/>
    <w:rsid w:val="007D2CC7"/>
    <w:rsid w:val="007D673D"/>
    <w:rsid w:val="007E3D72"/>
    <w:rsid w:val="007E4D09"/>
    <w:rsid w:val="007F2220"/>
    <w:rsid w:val="007F4B3E"/>
    <w:rsid w:val="00800DEB"/>
    <w:rsid w:val="00805C55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754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C2744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5656D"/>
    <w:rsid w:val="00960D6E"/>
    <w:rsid w:val="00974B59"/>
    <w:rsid w:val="0098340B"/>
    <w:rsid w:val="00986007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1A0A"/>
    <w:rsid w:val="00B0310E"/>
    <w:rsid w:val="00B04580"/>
    <w:rsid w:val="00B04B09"/>
    <w:rsid w:val="00B061FB"/>
    <w:rsid w:val="00B14926"/>
    <w:rsid w:val="00B16A51"/>
    <w:rsid w:val="00B25B3F"/>
    <w:rsid w:val="00B32222"/>
    <w:rsid w:val="00B3618D"/>
    <w:rsid w:val="00B36233"/>
    <w:rsid w:val="00B42851"/>
    <w:rsid w:val="00B459D1"/>
    <w:rsid w:val="00B45AC7"/>
    <w:rsid w:val="00B5372F"/>
    <w:rsid w:val="00B61129"/>
    <w:rsid w:val="00B67E7F"/>
    <w:rsid w:val="00B76474"/>
    <w:rsid w:val="00B82563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178F"/>
    <w:rsid w:val="00BC4A19"/>
    <w:rsid w:val="00BC4E6D"/>
    <w:rsid w:val="00BD0617"/>
    <w:rsid w:val="00BD2E9B"/>
    <w:rsid w:val="00BD7FB2"/>
    <w:rsid w:val="00BF06E9"/>
    <w:rsid w:val="00C00930"/>
    <w:rsid w:val="00C060AD"/>
    <w:rsid w:val="00C113BF"/>
    <w:rsid w:val="00C2176E"/>
    <w:rsid w:val="00C23430"/>
    <w:rsid w:val="00C27D67"/>
    <w:rsid w:val="00C40BED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D6CA2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650B4"/>
    <w:rsid w:val="00D70A39"/>
    <w:rsid w:val="00D70E24"/>
    <w:rsid w:val="00D72B61"/>
    <w:rsid w:val="00D90C39"/>
    <w:rsid w:val="00DA3D1D"/>
    <w:rsid w:val="00DB5AB6"/>
    <w:rsid w:val="00DB6286"/>
    <w:rsid w:val="00DB645F"/>
    <w:rsid w:val="00DB76E9"/>
    <w:rsid w:val="00DC0A67"/>
    <w:rsid w:val="00DC1D5E"/>
    <w:rsid w:val="00DC5220"/>
    <w:rsid w:val="00DD2061"/>
    <w:rsid w:val="00DD7DAB"/>
    <w:rsid w:val="00DE0067"/>
    <w:rsid w:val="00DE3355"/>
    <w:rsid w:val="00DF059B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96648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3749F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19493"/>
  <w15:docId w15:val="{F0542275-1B05-4A3F-8149-AE452DDD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2744"/>
    <w:pPr>
      <w:spacing w:before="120" w:after="120" w:line="276" w:lineRule="auto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styleId="ListNumber">
    <w:name w:val="List Number"/>
    <w:basedOn w:val="Normal"/>
    <w:rsid w:val="008C2744"/>
    <w:pPr>
      <w:numPr>
        <w:numId w:val="24"/>
      </w:numPr>
      <w:contextualSpacing/>
    </w:p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8C2744"/>
    <w:pPr>
      <w:spacing w:before="840"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C40BED"/>
    <w:pPr>
      <w:spacing w:before="60" w:after="60"/>
    </w:pPr>
    <w:rPr>
      <w:color w:val="000000" w:themeColor="text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805C55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Revision">
    <w:name w:val="Revision"/>
    <w:hidden/>
    <w:uiPriority w:val="99"/>
    <w:semiHidden/>
    <w:rsid w:val="004E54B9"/>
    <w:rPr>
      <w:rFonts w:ascii="Arial" w:hAnsi="Arial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DF059B"/>
  </w:style>
  <w:style w:type="character" w:customStyle="1" w:styleId="eop">
    <w:name w:val="eop"/>
    <w:basedOn w:val="DefaultParagraphFont"/>
    <w:rsid w:val="00DF059B"/>
  </w:style>
  <w:style w:type="paragraph" w:customStyle="1" w:styleId="paragraph">
    <w:name w:val="paragraph"/>
    <w:basedOn w:val="Normal"/>
    <w:rsid w:val="00CD6CA2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EndnoteText">
    <w:name w:val="endnote text"/>
    <w:basedOn w:val="Normal"/>
    <w:link w:val="EndnoteTextChar"/>
    <w:semiHidden/>
    <w:unhideWhenUsed/>
    <w:rsid w:val="007E3D7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E3D72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semiHidden/>
    <w:unhideWhenUsed/>
    <w:rsid w:val="007E3D7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F71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F11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F1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11A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1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11A5"/>
    <w:rPr>
      <w:rFonts w:ascii="Arial" w:hAnsi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B25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870F0-D2BC-4CCB-AF0E-8FE34125A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356</Words>
  <Characters>2293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Creutzfeldt-Jakob disease (CJD) – Surveillance case definition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Creutzfeldt-Jakob disease (CJD) – Surveillance case definition</dc:title>
  <dc:subject>Communicable disease</dc:subject>
  <dc:creator>Australian Government Department of Health, Disability and Ageing</dc:creator>
  <cp:keywords>Communicable diseases</cp:keywords>
  <cp:lastModifiedBy>MASCHKE, Elvia</cp:lastModifiedBy>
  <cp:revision>5</cp:revision>
  <cp:lastPrinted>2025-12-09T21:02:00Z</cp:lastPrinted>
  <dcterms:created xsi:type="dcterms:W3CDTF">2025-12-09T23:58:00Z</dcterms:created>
  <dcterms:modified xsi:type="dcterms:W3CDTF">2025-12-10T00:11:00Z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  <property fmtid="{D5CDD505-2E9C-101B-9397-08002B2CF9AE}" pid="5" name="ClassificationContentMarkingHeaderShapeIds">
    <vt:lpwstr>7f70b6d8,49746083,1b4687a0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5232f257,486638e,58e045c5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2025-11-06T02:32:19Z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e300f1b4-c97b-41b3-8a8d-37c8937548fd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