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CEA0" w14:textId="6DD38243" w:rsidR="00561416" w:rsidRPr="00E75DA8" w:rsidRDefault="00F20818" w:rsidP="00E75DA8">
      <w:pPr>
        <w:jc w:val="center"/>
      </w:pPr>
      <w:r w:rsidRPr="00E75DA8">
        <w:rPr>
          <w:noProof/>
        </w:rPr>
        <w:drawing>
          <wp:inline distT="0" distB="0" distL="0" distR="0" wp14:anchorId="65EF88ED" wp14:editId="2F2F5852">
            <wp:extent cx="2266355" cy="826770"/>
            <wp:effectExtent l="0" t="0" r="0" b="0"/>
            <wp:docPr id="2" name="Image 2" descr="BreastScreen Austral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eastScreen Australia logo"/>
                    <pic:cNvPicPr/>
                  </pic:nvPicPr>
                  <pic:blipFill>
                    <a:blip r:embed="rId11" cstate="print"/>
                    <a:stretch>
                      <a:fillRect/>
                    </a:stretch>
                  </pic:blipFill>
                  <pic:spPr>
                    <a:xfrm>
                      <a:off x="0" y="0"/>
                      <a:ext cx="2266355" cy="826770"/>
                    </a:xfrm>
                    <a:prstGeom prst="rect">
                      <a:avLst/>
                    </a:prstGeom>
                  </pic:spPr>
                </pic:pic>
              </a:graphicData>
            </a:graphic>
          </wp:inline>
        </w:drawing>
      </w:r>
    </w:p>
    <w:p w14:paraId="28813EF5" w14:textId="3F187B7E" w:rsidR="00561416" w:rsidRPr="00E75DA8" w:rsidRDefault="00F20818" w:rsidP="00E75DA8">
      <w:pPr>
        <w:pStyle w:val="Title"/>
      </w:pPr>
      <w:proofErr w:type="spellStart"/>
      <w:r w:rsidRPr="6D8A858E">
        <w:rPr>
          <w:lang w:val="en-AU"/>
        </w:rPr>
        <w:t>BreastScreen</w:t>
      </w:r>
      <w:proofErr w:type="spellEnd"/>
      <w:r w:rsidRPr="6D8A858E">
        <w:rPr>
          <w:lang w:val="en-AU"/>
        </w:rPr>
        <w:t xml:space="preserve"> Australia</w:t>
      </w:r>
      <w:r w:rsidR="00681E64" w:rsidRPr="6D8A858E">
        <w:rPr>
          <w:lang w:val="en-AU"/>
        </w:rPr>
        <w:t xml:space="preserve"> </w:t>
      </w:r>
      <w:r w:rsidRPr="6D8A858E">
        <w:rPr>
          <w:lang w:val="en-AU"/>
        </w:rPr>
        <w:t xml:space="preserve">Clinical Advisory </w:t>
      </w:r>
      <w:r w:rsidR="00E80762" w:rsidRPr="6D8A858E">
        <w:rPr>
          <w:lang w:val="en-AU"/>
        </w:rPr>
        <w:t>Group</w:t>
      </w:r>
      <w:r w:rsidR="00816001" w:rsidRPr="6D8A858E">
        <w:rPr>
          <w:lang w:val="en-AU"/>
        </w:rPr>
        <w:t xml:space="preserve"> (CAG)</w:t>
      </w:r>
      <w:r w:rsidR="00B15380">
        <w:rPr>
          <w:lang w:val="en-AU"/>
        </w:rPr>
        <w:t xml:space="preserve"> </w:t>
      </w:r>
      <w:r w:rsidR="00155C77" w:rsidRPr="00F70D5C">
        <w:rPr>
          <w:lang w:val="en-AU"/>
        </w:rPr>
        <w:t xml:space="preserve">The use of </w:t>
      </w:r>
      <w:r w:rsidR="001C3A71" w:rsidRPr="00F70D5C">
        <w:rPr>
          <w:lang w:val="en-AU"/>
        </w:rPr>
        <w:t xml:space="preserve">Mammographically Guided </w:t>
      </w:r>
      <w:r w:rsidR="00155C77" w:rsidRPr="00F70D5C">
        <w:rPr>
          <w:lang w:val="en-AU"/>
        </w:rPr>
        <w:t xml:space="preserve">Vacuum </w:t>
      </w:r>
      <w:r w:rsidR="00172184" w:rsidRPr="00F70D5C">
        <w:rPr>
          <w:lang w:val="en-AU"/>
        </w:rPr>
        <w:t>A</w:t>
      </w:r>
      <w:r w:rsidR="00155C77" w:rsidRPr="00F70D5C">
        <w:rPr>
          <w:lang w:val="en-AU"/>
        </w:rPr>
        <w:t xml:space="preserve">ssisted </w:t>
      </w:r>
      <w:r w:rsidR="001937CF" w:rsidRPr="00F70D5C">
        <w:rPr>
          <w:lang w:val="en-AU"/>
        </w:rPr>
        <w:t>Breast</w:t>
      </w:r>
      <w:r w:rsidR="00155C77" w:rsidRPr="00F70D5C">
        <w:rPr>
          <w:lang w:val="en-AU"/>
        </w:rPr>
        <w:t xml:space="preserve"> </w:t>
      </w:r>
      <w:r w:rsidR="00172184" w:rsidRPr="00F70D5C">
        <w:rPr>
          <w:lang w:val="en-AU"/>
        </w:rPr>
        <w:t>B</w:t>
      </w:r>
      <w:r w:rsidR="00155C77" w:rsidRPr="00F70D5C">
        <w:rPr>
          <w:lang w:val="en-AU"/>
        </w:rPr>
        <w:t>iopsy (VA</w:t>
      </w:r>
      <w:r w:rsidR="001937CF" w:rsidRPr="00F70D5C">
        <w:rPr>
          <w:lang w:val="en-AU"/>
        </w:rPr>
        <w:t>B</w:t>
      </w:r>
      <w:r w:rsidR="00155C77" w:rsidRPr="00F70D5C">
        <w:rPr>
          <w:lang w:val="en-AU"/>
        </w:rPr>
        <w:t>B)</w:t>
      </w:r>
      <w:r w:rsidR="00D64DC9" w:rsidRPr="00F70D5C">
        <w:rPr>
          <w:lang w:val="en-AU"/>
        </w:rPr>
        <w:t xml:space="preserve"> in</w:t>
      </w:r>
      <w:r w:rsidR="25345631" w:rsidRPr="00F70D5C">
        <w:rPr>
          <w:lang w:val="en-AU"/>
        </w:rPr>
        <w:t xml:space="preserve"> </w:t>
      </w:r>
      <w:proofErr w:type="spellStart"/>
      <w:r w:rsidR="00D64DC9" w:rsidRPr="00F70D5C">
        <w:rPr>
          <w:lang w:val="en-AU"/>
        </w:rPr>
        <w:t>BreastScreen</w:t>
      </w:r>
      <w:proofErr w:type="spellEnd"/>
      <w:r w:rsidR="00D64DC9" w:rsidRPr="00F70D5C">
        <w:rPr>
          <w:lang w:val="en-AU"/>
        </w:rPr>
        <w:t xml:space="preserve"> Australia</w:t>
      </w:r>
    </w:p>
    <w:tbl>
      <w:tblPr>
        <w:tblStyle w:val="PlainTable2"/>
        <w:tblW w:w="9083" w:type="dxa"/>
        <w:tblLayout w:type="fixed"/>
        <w:tblLook w:val="06A0" w:firstRow="1" w:lastRow="0" w:firstColumn="1" w:lastColumn="0" w:noHBand="1" w:noVBand="1"/>
      </w:tblPr>
      <w:tblGrid>
        <w:gridCol w:w="3282"/>
        <w:gridCol w:w="5801"/>
      </w:tblGrid>
      <w:tr w:rsidR="00E80762" w:rsidRPr="00F70D5C" w14:paraId="5E65A9DB" w14:textId="77777777" w:rsidTr="00566E85">
        <w:trPr>
          <w:cnfStyle w:val="100000000000" w:firstRow="1" w:lastRow="0" w:firstColumn="0" w:lastColumn="0" w:oddVBand="0" w:evenVBand="0" w:oddHBand="0" w:evenHBand="0" w:firstRowFirstColumn="0" w:firstRowLastColumn="0" w:lastRowFirstColumn="0" w:lastRowLastColumn="0"/>
          <w:trHeight w:val="774"/>
          <w:tblHeader/>
        </w:trPr>
        <w:tc>
          <w:tcPr>
            <w:cnfStyle w:val="001000000000" w:firstRow="0" w:lastRow="0" w:firstColumn="1" w:lastColumn="0" w:oddVBand="0" w:evenVBand="0" w:oddHBand="0" w:evenHBand="0" w:firstRowFirstColumn="0" w:firstRowLastColumn="0" w:lastRowFirstColumn="0" w:lastRowLastColumn="0"/>
            <w:tcW w:w="3282" w:type="dxa"/>
          </w:tcPr>
          <w:p w14:paraId="0112E64A" w14:textId="0DE1CE4E" w:rsidR="00E80762" w:rsidRPr="00B15380" w:rsidRDefault="00E80762" w:rsidP="00B15380">
            <w:pPr>
              <w:pStyle w:val="TableParagraph"/>
            </w:pPr>
            <w:r w:rsidRPr="00B15380">
              <w:t>Version</w:t>
            </w:r>
          </w:p>
        </w:tc>
        <w:tc>
          <w:tcPr>
            <w:tcW w:w="5801" w:type="dxa"/>
          </w:tcPr>
          <w:p w14:paraId="22554132" w14:textId="1D8FD003" w:rsidR="006C0579" w:rsidRPr="00B15380" w:rsidRDefault="002C5E23" w:rsidP="00B15380">
            <w:pPr>
              <w:pStyle w:val="TableParagraph"/>
              <w:cnfStyle w:val="100000000000" w:firstRow="1" w:lastRow="0" w:firstColumn="0" w:lastColumn="0" w:oddVBand="0" w:evenVBand="0" w:oddHBand="0" w:evenHBand="0" w:firstRowFirstColumn="0" w:firstRowLastColumn="0" w:lastRowFirstColumn="0" w:lastRowLastColumn="0"/>
            </w:pPr>
            <w:r w:rsidRPr="00F70D5C">
              <w:t>Date of completed advice</w:t>
            </w:r>
            <w:r w:rsidR="006C0579" w:rsidRPr="00B15380">
              <w:t xml:space="preserve">: </w:t>
            </w:r>
            <w:r w:rsidR="0072323A" w:rsidRPr="00B15380">
              <w:t>12 November 2025</w:t>
            </w:r>
          </w:p>
          <w:p w14:paraId="3BB2EE69" w14:textId="5EF76F67" w:rsidR="006C0579" w:rsidRPr="00B15380" w:rsidRDefault="002C5E23" w:rsidP="00B15380">
            <w:pPr>
              <w:pStyle w:val="TableParagraph"/>
              <w:cnfStyle w:val="100000000000" w:firstRow="1" w:lastRow="0" w:firstColumn="0" w:lastColumn="0" w:oddVBand="0" w:evenVBand="0" w:oddHBand="0" w:evenHBand="0" w:firstRowFirstColumn="0" w:firstRowLastColumn="0" w:lastRowFirstColumn="0" w:lastRowLastColumn="0"/>
            </w:pPr>
            <w:r w:rsidRPr="00B15380">
              <w:t>Review date</w:t>
            </w:r>
            <w:r w:rsidR="006C0579" w:rsidRPr="00B15380">
              <w:t xml:space="preserve">: </w:t>
            </w:r>
            <w:r w:rsidR="0072323A" w:rsidRPr="00B15380">
              <w:t>November 2030</w:t>
            </w:r>
          </w:p>
          <w:p w14:paraId="4D194B2C" w14:textId="0D975929" w:rsidR="007115A3" w:rsidRPr="00F70D5C" w:rsidRDefault="002C5E23" w:rsidP="00B15380">
            <w:pPr>
              <w:pStyle w:val="TableParagraph"/>
              <w:cnfStyle w:val="100000000000" w:firstRow="1" w:lastRow="0" w:firstColumn="0" w:lastColumn="0" w:oddVBand="0" w:evenVBand="0" w:oddHBand="0" w:evenHBand="0" w:firstRowFirstColumn="0" w:firstRowLastColumn="0" w:lastRowFirstColumn="0" w:lastRowLastColumn="0"/>
            </w:pPr>
            <w:r w:rsidRPr="00B15380">
              <w:t>Version number</w:t>
            </w:r>
            <w:r w:rsidR="006C0579" w:rsidRPr="00B15380">
              <w:t>:</w:t>
            </w:r>
            <w:r w:rsidR="00713157" w:rsidRPr="00B15380">
              <w:t xml:space="preserve"> </w:t>
            </w:r>
            <w:r w:rsidR="0072323A" w:rsidRPr="00B15380">
              <w:t>3</w:t>
            </w:r>
          </w:p>
        </w:tc>
      </w:tr>
      <w:tr w:rsidR="00533181" w:rsidRPr="00F70D5C" w14:paraId="17B25153" w14:textId="77777777" w:rsidTr="00566E85">
        <w:trPr>
          <w:trHeight w:val="910"/>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auto"/>
            </w:tcBorders>
          </w:tcPr>
          <w:p w14:paraId="51371081" w14:textId="767BD315" w:rsidR="00533181" w:rsidRPr="00B15380" w:rsidRDefault="00674E11" w:rsidP="00B15380">
            <w:pPr>
              <w:pStyle w:val="TableParagraph"/>
            </w:pPr>
            <w:r w:rsidRPr="00B15380">
              <w:t>Advice requested by</w:t>
            </w:r>
          </w:p>
        </w:tc>
        <w:tc>
          <w:tcPr>
            <w:tcW w:w="5801" w:type="dxa"/>
            <w:tcBorders>
              <w:bottom w:val="single" w:sz="4" w:space="0" w:color="auto"/>
            </w:tcBorders>
          </w:tcPr>
          <w:p w14:paraId="4880FE8D" w14:textId="1BDD5F7A" w:rsidR="00533181" w:rsidRPr="00B15380" w:rsidRDefault="00AA03E6" w:rsidP="00B15380">
            <w:pPr>
              <w:pStyle w:val="TableParagraph"/>
              <w:cnfStyle w:val="000000000000" w:firstRow="0" w:lastRow="0" w:firstColumn="0" w:lastColumn="0" w:oddVBand="0" w:evenVBand="0" w:oddHBand="0" w:evenHBand="0" w:firstRowFirstColumn="0" w:firstRowLastColumn="0" w:lastRowFirstColumn="0" w:lastRowLastColumn="0"/>
            </w:pPr>
            <w:proofErr w:type="spellStart"/>
            <w:r w:rsidRPr="00F70D5C">
              <w:rPr>
                <w:lang w:val="en-AU"/>
              </w:rPr>
              <w:t>BreastScreen</w:t>
            </w:r>
            <w:proofErr w:type="spellEnd"/>
            <w:r w:rsidRPr="00F70D5C">
              <w:rPr>
                <w:lang w:val="en-AU"/>
              </w:rPr>
              <w:t xml:space="preserve"> Australia </w:t>
            </w:r>
            <w:r w:rsidR="00EC5693" w:rsidRPr="00F70D5C">
              <w:rPr>
                <w:lang w:val="en-AU"/>
              </w:rPr>
              <w:t>National Quality Management Committee</w:t>
            </w:r>
          </w:p>
        </w:tc>
      </w:tr>
      <w:tr w:rsidR="007C1D9E" w:rsidRPr="00F70D5C" w14:paraId="30D82E20" w14:textId="77777777" w:rsidTr="00566E85">
        <w:trPr>
          <w:trHeight w:val="780"/>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bottom w:val="single" w:sz="4" w:space="0" w:color="auto"/>
            </w:tcBorders>
          </w:tcPr>
          <w:p w14:paraId="4E415738" w14:textId="18FA7A73" w:rsidR="007C1D9E" w:rsidRPr="00B15380" w:rsidRDefault="007C1D9E" w:rsidP="00B15380">
            <w:pPr>
              <w:pStyle w:val="TableParagraph"/>
            </w:pPr>
            <w:bookmarkStart w:id="0" w:name="_Hlk141186695"/>
            <w:r w:rsidRPr="00B15380">
              <w:t>Category</w:t>
            </w:r>
          </w:p>
        </w:tc>
        <w:tc>
          <w:tcPr>
            <w:tcW w:w="5801" w:type="dxa"/>
            <w:tcBorders>
              <w:top w:val="single" w:sz="4" w:space="0" w:color="auto"/>
              <w:bottom w:val="single" w:sz="4" w:space="0" w:color="auto"/>
            </w:tcBorders>
          </w:tcPr>
          <w:p w14:paraId="3BBBDB48" w14:textId="0CF4ABB6" w:rsidR="00AD6E43" w:rsidRPr="00B15380" w:rsidRDefault="007C1D9E" w:rsidP="00B15380">
            <w:pPr>
              <w:pStyle w:val="TableParagraph"/>
              <w:cnfStyle w:val="000000000000" w:firstRow="0" w:lastRow="0" w:firstColumn="0" w:lastColumn="0" w:oddVBand="0" w:evenVBand="0" w:oddHBand="0" w:evenHBand="0" w:firstRowFirstColumn="0" w:firstRowLastColumn="0" w:lastRowFirstColumn="0" w:lastRowLastColumn="0"/>
            </w:pPr>
            <w:r w:rsidRPr="00F70D5C">
              <w:rPr>
                <w:lang w:val="en-AU"/>
              </w:rPr>
              <w:t>Best practice guidance</w:t>
            </w:r>
          </w:p>
        </w:tc>
      </w:tr>
      <w:tr w:rsidR="00D35019" w:rsidRPr="00F70D5C" w14:paraId="457D3BD5" w14:textId="77777777" w:rsidTr="00566E85">
        <w:trPr>
          <w:trHeight w:val="1046"/>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bottom w:val="single" w:sz="4" w:space="0" w:color="auto"/>
            </w:tcBorders>
          </w:tcPr>
          <w:p w14:paraId="034B1F4F" w14:textId="6EFB641B" w:rsidR="00D35019" w:rsidRPr="00B15380" w:rsidRDefault="00D35019" w:rsidP="00B15380">
            <w:pPr>
              <w:pStyle w:val="TableParagraph"/>
            </w:pPr>
            <w:r w:rsidRPr="00B15380">
              <w:t>Recommendations</w:t>
            </w:r>
          </w:p>
        </w:tc>
        <w:tc>
          <w:tcPr>
            <w:tcW w:w="5801" w:type="dxa"/>
            <w:tcBorders>
              <w:top w:val="single" w:sz="4" w:space="0" w:color="auto"/>
              <w:bottom w:val="single" w:sz="4" w:space="0" w:color="auto"/>
            </w:tcBorders>
          </w:tcPr>
          <w:p w14:paraId="4C343330" w14:textId="7A40590E" w:rsidR="00D35019" w:rsidRPr="00E75DA8" w:rsidRDefault="00D35019" w:rsidP="00E75DA8">
            <w:pPr>
              <w:pStyle w:val="ListBullet"/>
              <w:cnfStyle w:val="000000000000" w:firstRow="0" w:lastRow="0" w:firstColumn="0" w:lastColumn="0" w:oddVBand="0" w:evenVBand="0" w:oddHBand="0" w:evenHBand="0" w:firstRowFirstColumn="0" w:firstRowLastColumn="0" w:lastRowFirstColumn="0" w:lastRowLastColumn="0"/>
            </w:pPr>
            <w:r w:rsidRPr="00E75DA8">
              <w:t>VA</w:t>
            </w:r>
            <w:r w:rsidR="003233E4" w:rsidRPr="00E75DA8">
              <w:t>B</w:t>
            </w:r>
            <w:r w:rsidRPr="00E75DA8">
              <w:t>B is the procedure of choice for image-guided percutaneous biopsy of microcalcifications and</w:t>
            </w:r>
            <w:r w:rsidR="003D3672" w:rsidRPr="00E75DA8">
              <w:t xml:space="preserve"> </w:t>
            </w:r>
            <w:r w:rsidR="5C320F44" w:rsidRPr="00E75DA8">
              <w:t xml:space="preserve">is </w:t>
            </w:r>
            <w:r w:rsidR="43EA21B8" w:rsidRPr="00E75DA8">
              <w:t>also recommended for other</w:t>
            </w:r>
            <w:r w:rsidR="70200EF4" w:rsidRPr="00E75DA8">
              <w:t xml:space="preserve"> </w:t>
            </w:r>
            <w:r w:rsidR="43EA21B8" w:rsidRPr="00E75DA8">
              <w:t>lesion types not confidently identified on ultras</w:t>
            </w:r>
            <w:r w:rsidR="2431EA48" w:rsidRPr="00E75DA8">
              <w:t>ound.</w:t>
            </w:r>
          </w:p>
          <w:p w14:paraId="099CA77C" w14:textId="04186084" w:rsidR="00D35019" w:rsidRPr="00E75DA8" w:rsidRDefault="00D35019" w:rsidP="00E75DA8">
            <w:pPr>
              <w:pStyle w:val="ListBullet"/>
              <w:cnfStyle w:val="000000000000" w:firstRow="0" w:lastRow="0" w:firstColumn="0" w:lastColumn="0" w:oddVBand="0" w:evenVBand="0" w:oddHBand="0" w:evenHBand="0" w:firstRowFirstColumn="0" w:firstRowLastColumn="0" w:lastRowFirstColumn="0" w:lastRowLastColumn="0"/>
            </w:pPr>
            <w:r w:rsidRPr="00E75DA8">
              <w:t xml:space="preserve">In general, clients should not proceed to a surgical excisional biopsy for equivocal or inadequate core biopsy results </w:t>
            </w:r>
            <w:r w:rsidR="38D05C9F" w:rsidRPr="00E75DA8">
              <w:t xml:space="preserve">of </w:t>
            </w:r>
            <w:r w:rsidRPr="00E75DA8">
              <w:t>microcalcifications unless a VA</w:t>
            </w:r>
            <w:r w:rsidR="003233E4" w:rsidRPr="00E75DA8">
              <w:t>B</w:t>
            </w:r>
            <w:r w:rsidRPr="00E75DA8">
              <w:t>B has been attempted, noting that multiple attempts at needle core biopsy are not best practice.</w:t>
            </w:r>
          </w:p>
          <w:p w14:paraId="59D1FADD" w14:textId="77777777" w:rsidR="00D35019" w:rsidRPr="00E75DA8" w:rsidRDefault="00D35019" w:rsidP="00E75DA8">
            <w:pPr>
              <w:pStyle w:val="ListBullet"/>
              <w:cnfStyle w:val="000000000000" w:firstRow="0" w:lastRow="0" w:firstColumn="0" w:lastColumn="0" w:oddVBand="0" w:evenVBand="0" w:oddHBand="0" w:evenHBand="0" w:firstRowFirstColumn="0" w:firstRowLastColumn="0" w:lastRowFirstColumn="0" w:lastRowLastColumn="0"/>
              <w:rPr>
                <w:rStyle w:val="Strong"/>
              </w:rPr>
            </w:pPr>
            <w:r w:rsidRPr="00E75DA8">
              <w:rPr>
                <w:rStyle w:val="Strong"/>
              </w:rPr>
              <w:t>Use of marker clips</w:t>
            </w:r>
          </w:p>
          <w:p w14:paraId="6791E0AD" w14:textId="561776B9" w:rsidR="00D35019" w:rsidRPr="00E75DA8" w:rsidRDefault="00D35019" w:rsidP="00E75DA8">
            <w:pPr>
              <w:pStyle w:val="Tabletextindent"/>
              <w:cnfStyle w:val="000000000000" w:firstRow="0" w:lastRow="0" w:firstColumn="0" w:lastColumn="0" w:oddVBand="0" w:evenVBand="0" w:oddHBand="0" w:evenHBand="0" w:firstRowFirstColumn="0" w:firstRowLastColumn="0" w:lastRowFirstColumn="0" w:lastRowLastColumn="0"/>
              <w:rPr>
                <w:rStyle w:val="Strong"/>
              </w:rPr>
            </w:pPr>
            <w:r w:rsidRPr="00E75DA8">
              <w:rPr>
                <w:rStyle w:val="Strong"/>
              </w:rPr>
              <w:t>The use of marker clips for needle core biopsy and VA</w:t>
            </w:r>
            <w:r w:rsidR="00EE76C2" w:rsidRPr="00E75DA8">
              <w:rPr>
                <w:rStyle w:val="Strong"/>
              </w:rPr>
              <w:t>B</w:t>
            </w:r>
            <w:r w:rsidRPr="00E75DA8">
              <w:rPr>
                <w:rStyle w:val="Strong"/>
              </w:rPr>
              <w:t>B is the standard of care, as is specimen imaging for cases of calcification</w:t>
            </w:r>
            <w:r w:rsidR="4CB4C3C7" w:rsidRPr="00E75DA8">
              <w:rPr>
                <w:rStyle w:val="Strong"/>
              </w:rPr>
              <w:t xml:space="preserve"> </w:t>
            </w:r>
            <w:r w:rsidRPr="00E75DA8">
              <w:rPr>
                <w:rStyle w:val="Strong"/>
              </w:rPr>
              <w:t>and post-clip imaging.</w:t>
            </w:r>
          </w:p>
          <w:p w14:paraId="73FCD4D1" w14:textId="6265385E" w:rsidR="00D35019" w:rsidRPr="00F70D5C" w:rsidRDefault="00D35019" w:rsidP="00E75DA8">
            <w:pPr>
              <w:pStyle w:val="Tabletextindent"/>
              <w:cnfStyle w:val="000000000000" w:firstRow="0" w:lastRow="0" w:firstColumn="0" w:lastColumn="0" w:oddVBand="0" w:evenVBand="0" w:oddHBand="0" w:evenHBand="0" w:firstRowFirstColumn="0" w:firstRowLastColumn="0" w:lastRowFirstColumn="0" w:lastRowLastColumn="0"/>
            </w:pPr>
            <w:r w:rsidRPr="00F70D5C">
              <w:t xml:space="preserve">Please see </w:t>
            </w:r>
            <w:hyperlink r:id="rId12">
              <w:r w:rsidRPr="00B15380">
                <w:rPr>
                  <w:rStyle w:val="Hyperlink"/>
                </w:rPr>
                <w:t xml:space="preserve">Guidance for the use of marker clips by </w:t>
              </w:r>
              <w:proofErr w:type="spellStart"/>
              <w:r w:rsidRPr="00B15380">
                <w:rPr>
                  <w:rStyle w:val="Hyperlink"/>
                </w:rPr>
                <w:t>BreastScreen</w:t>
              </w:r>
              <w:proofErr w:type="spellEnd"/>
              <w:r w:rsidRPr="00B15380">
                <w:rPr>
                  <w:rStyle w:val="Hyperlink"/>
                </w:rPr>
                <w:t xml:space="preserve"> Australia Screening and Assessment Services</w:t>
              </w:r>
            </w:hyperlink>
            <w:r w:rsidRPr="00F70D5C">
              <w:rPr>
                <w:rStyle w:val="Hyperlink"/>
              </w:rPr>
              <w:t>.</w:t>
            </w:r>
          </w:p>
        </w:tc>
      </w:tr>
      <w:bookmarkEnd w:id="0"/>
      <w:tr w:rsidR="00E80762" w:rsidRPr="00F70D5C" w14:paraId="73F34CFF" w14:textId="77777777" w:rsidTr="00566E85">
        <w:trPr>
          <w:trHeight w:val="1046"/>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tcBorders>
          </w:tcPr>
          <w:p w14:paraId="72D952BF" w14:textId="720B633C" w:rsidR="00E80762" w:rsidRPr="00B15380" w:rsidRDefault="004D55AD" w:rsidP="00B15380">
            <w:pPr>
              <w:pStyle w:val="TableParagraph"/>
            </w:pPr>
            <w:r w:rsidRPr="00B15380">
              <w:t>Discussion</w:t>
            </w:r>
          </w:p>
        </w:tc>
        <w:tc>
          <w:tcPr>
            <w:tcW w:w="5801" w:type="dxa"/>
            <w:tcBorders>
              <w:top w:val="single" w:sz="4" w:space="0" w:color="auto"/>
              <w:bottom w:val="single" w:sz="4" w:space="0" w:color="auto"/>
            </w:tcBorders>
          </w:tcPr>
          <w:p w14:paraId="1B9729DD" w14:textId="05726D1D" w:rsidR="00F61C22" w:rsidRPr="00F70D5C" w:rsidRDefault="00F61C22" w:rsidP="00E75DA8">
            <w:pPr>
              <w:pStyle w:val="ListBullet"/>
              <w:cnfStyle w:val="000000000000" w:firstRow="0" w:lastRow="0" w:firstColumn="0" w:lastColumn="0" w:oddVBand="0" w:evenVBand="0" w:oddHBand="0" w:evenHBand="0" w:firstRowFirstColumn="0" w:firstRowLastColumn="0" w:lastRowFirstColumn="0" w:lastRowLastColumn="0"/>
              <w:rPr>
                <w:lang w:val="en-AU"/>
              </w:rPr>
            </w:pPr>
            <w:r w:rsidRPr="6D8A858E">
              <w:rPr>
                <w:lang w:val="en-AU"/>
              </w:rPr>
              <w:t>Th</w:t>
            </w:r>
            <w:r w:rsidR="00E23FE9" w:rsidRPr="6D8A858E">
              <w:rPr>
                <w:lang w:val="en-AU"/>
              </w:rPr>
              <w:t>is</w:t>
            </w:r>
            <w:r w:rsidRPr="6D8A858E">
              <w:rPr>
                <w:lang w:val="en-AU"/>
              </w:rPr>
              <w:t xml:space="preserve"> advice on the use of VA</w:t>
            </w:r>
            <w:r w:rsidR="003233E4" w:rsidRPr="6D8A858E">
              <w:rPr>
                <w:lang w:val="en-AU"/>
              </w:rPr>
              <w:t>B</w:t>
            </w:r>
            <w:r w:rsidRPr="6D8A858E">
              <w:rPr>
                <w:lang w:val="en-AU"/>
              </w:rPr>
              <w:t xml:space="preserve">B applies to </w:t>
            </w:r>
            <w:r w:rsidR="0999283D" w:rsidRPr="6D8A858E">
              <w:rPr>
                <w:lang w:val="en-AU"/>
              </w:rPr>
              <w:t>tomosynthesis</w:t>
            </w:r>
            <w:r w:rsidR="009D0399">
              <w:rPr>
                <w:lang w:val="en-AU"/>
              </w:rPr>
              <w:t>-</w:t>
            </w:r>
            <w:r w:rsidR="0999283D" w:rsidRPr="6D8A858E">
              <w:rPr>
                <w:lang w:val="en-AU"/>
              </w:rPr>
              <w:t xml:space="preserve">guided and </w:t>
            </w:r>
            <w:r w:rsidRPr="6D8A858E">
              <w:rPr>
                <w:lang w:val="en-AU"/>
              </w:rPr>
              <w:t>stereotactic</w:t>
            </w:r>
            <w:r w:rsidR="000C3C8C" w:rsidRPr="6D8A858E">
              <w:rPr>
                <w:lang w:val="en-AU"/>
              </w:rPr>
              <w:t xml:space="preserve"> mammogram-guided</w:t>
            </w:r>
            <w:r w:rsidR="0097332C" w:rsidRPr="6D8A858E">
              <w:rPr>
                <w:lang w:val="en-AU"/>
              </w:rPr>
              <w:t xml:space="preserve"> </w:t>
            </w:r>
            <w:r w:rsidR="7027E3F7" w:rsidRPr="6D8A858E">
              <w:rPr>
                <w:lang w:val="en-AU"/>
              </w:rPr>
              <w:t xml:space="preserve">needle </w:t>
            </w:r>
            <w:r w:rsidR="00E2440D" w:rsidRPr="6D8A858E">
              <w:rPr>
                <w:lang w:val="en-AU"/>
              </w:rPr>
              <w:t>biopsies in</w:t>
            </w:r>
            <w:r w:rsidR="00F07934" w:rsidRPr="6D8A858E">
              <w:rPr>
                <w:lang w:val="en-AU"/>
              </w:rPr>
              <w:t xml:space="preserve"> the </w:t>
            </w:r>
            <w:proofErr w:type="spellStart"/>
            <w:r w:rsidR="00F07934" w:rsidRPr="6D8A858E">
              <w:rPr>
                <w:lang w:val="en-AU"/>
              </w:rPr>
              <w:t>BreastScreen</w:t>
            </w:r>
            <w:proofErr w:type="spellEnd"/>
            <w:r w:rsidR="00F07934" w:rsidRPr="6D8A858E">
              <w:rPr>
                <w:lang w:val="en-AU"/>
              </w:rPr>
              <w:t xml:space="preserve"> Australia program</w:t>
            </w:r>
            <w:r w:rsidRPr="6D8A858E">
              <w:rPr>
                <w:lang w:val="en-AU"/>
              </w:rPr>
              <w:t>.</w:t>
            </w:r>
            <w:r w:rsidR="3CEAB009" w:rsidRPr="6D8A858E">
              <w:rPr>
                <w:lang w:val="en-AU"/>
              </w:rPr>
              <w:t xml:space="preserve"> All </w:t>
            </w:r>
            <w:r w:rsidRPr="6D8A858E">
              <w:rPr>
                <w:lang w:val="en-AU"/>
              </w:rPr>
              <w:t>jurisdictions now have access to VA</w:t>
            </w:r>
            <w:r w:rsidR="003233E4" w:rsidRPr="6D8A858E">
              <w:rPr>
                <w:lang w:val="en-AU"/>
              </w:rPr>
              <w:t>B</w:t>
            </w:r>
            <w:r w:rsidRPr="6D8A858E">
              <w:rPr>
                <w:lang w:val="en-AU"/>
              </w:rPr>
              <w:t>B</w:t>
            </w:r>
            <w:r w:rsidR="00E23FE9" w:rsidRPr="6D8A858E">
              <w:rPr>
                <w:lang w:val="en-AU"/>
              </w:rPr>
              <w:t>.</w:t>
            </w:r>
          </w:p>
          <w:p w14:paraId="0676077C" w14:textId="7D461173" w:rsidR="000854C3" w:rsidRPr="00F70D5C" w:rsidRDefault="002F7852" w:rsidP="00E75DA8">
            <w:pPr>
              <w:pStyle w:val="ListBullet"/>
              <w:cnfStyle w:val="000000000000" w:firstRow="0" w:lastRow="0" w:firstColumn="0" w:lastColumn="0" w:oddVBand="0" w:evenVBand="0" w:oddHBand="0" w:evenHBand="0" w:firstRowFirstColumn="0" w:firstRowLastColumn="0" w:lastRowFirstColumn="0" w:lastRowLastColumn="0"/>
              <w:rPr>
                <w:lang w:val="en-AU"/>
              </w:rPr>
            </w:pPr>
            <w:r w:rsidRPr="00F70D5C">
              <w:rPr>
                <w:lang w:val="en-AU"/>
              </w:rPr>
              <w:t>T</w:t>
            </w:r>
            <w:r w:rsidR="000854C3" w:rsidRPr="00F70D5C">
              <w:rPr>
                <w:lang w:val="en-AU"/>
              </w:rPr>
              <w:t xml:space="preserve">here is clinical benefit in assessing </w:t>
            </w:r>
            <w:r w:rsidR="08EB931D" w:rsidRPr="00F70D5C">
              <w:rPr>
                <w:lang w:val="en-AU"/>
              </w:rPr>
              <w:t>lesions</w:t>
            </w:r>
            <w:r w:rsidR="000854C3" w:rsidRPr="00F70D5C">
              <w:rPr>
                <w:lang w:val="en-AU"/>
              </w:rPr>
              <w:t xml:space="preserve"> with the VA</w:t>
            </w:r>
            <w:r w:rsidR="003233E4" w:rsidRPr="00F70D5C">
              <w:rPr>
                <w:lang w:val="en-AU"/>
              </w:rPr>
              <w:t>B</w:t>
            </w:r>
            <w:r w:rsidR="000854C3" w:rsidRPr="00F70D5C">
              <w:rPr>
                <w:lang w:val="en-AU"/>
              </w:rPr>
              <w:t>B procedure as it achieves superior results compared to a</w:t>
            </w:r>
            <w:r w:rsidR="007153AA" w:rsidRPr="00F70D5C">
              <w:rPr>
                <w:lang w:val="en-AU"/>
              </w:rPr>
              <w:t xml:space="preserve"> </w:t>
            </w:r>
            <w:r w:rsidR="000854C3" w:rsidRPr="00F70D5C">
              <w:rPr>
                <w:lang w:val="en-AU"/>
              </w:rPr>
              <w:t>core biopsy</w:t>
            </w:r>
            <w:r w:rsidR="42D9D8F8" w:rsidRPr="00F70D5C">
              <w:rPr>
                <w:lang w:val="en-AU"/>
              </w:rPr>
              <w:t xml:space="preserve"> for microcalcifications and other lesion</w:t>
            </w:r>
            <w:r w:rsidR="00B707D5" w:rsidRPr="00F70D5C">
              <w:rPr>
                <w:lang w:val="en-AU"/>
              </w:rPr>
              <w:t>s</w:t>
            </w:r>
            <w:r w:rsidR="42D9D8F8" w:rsidRPr="00F70D5C">
              <w:rPr>
                <w:lang w:val="en-AU"/>
              </w:rPr>
              <w:t xml:space="preserve"> best seen on tomosynthesis and/or mammography</w:t>
            </w:r>
            <w:r w:rsidR="000854C3" w:rsidRPr="00F70D5C">
              <w:rPr>
                <w:lang w:val="en-AU"/>
              </w:rPr>
              <w:t xml:space="preserve">. For lesions visible on ultrasound, core biopsy </w:t>
            </w:r>
            <w:r w:rsidR="34F5540A" w:rsidRPr="00F70D5C">
              <w:rPr>
                <w:lang w:val="en-AU"/>
              </w:rPr>
              <w:t>is</w:t>
            </w:r>
            <w:r w:rsidR="000854C3" w:rsidRPr="00F70D5C">
              <w:rPr>
                <w:lang w:val="en-AU"/>
              </w:rPr>
              <w:t xml:space="preserve"> considered appropriate.</w:t>
            </w:r>
            <w:r w:rsidR="461F7F0C" w:rsidRPr="00F70D5C">
              <w:rPr>
                <w:lang w:val="en-AU"/>
              </w:rPr>
              <w:t xml:space="preserve"> Ultrasound-guided VA</w:t>
            </w:r>
            <w:r w:rsidR="003233E4" w:rsidRPr="00F70D5C">
              <w:rPr>
                <w:lang w:val="en-AU"/>
              </w:rPr>
              <w:t>B</w:t>
            </w:r>
            <w:r w:rsidR="461F7F0C" w:rsidRPr="00F70D5C">
              <w:rPr>
                <w:lang w:val="en-AU"/>
              </w:rPr>
              <w:t>B</w:t>
            </w:r>
            <w:r w:rsidR="6FD3F07C" w:rsidRPr="00F70D5C">
              <w:rPr>
                <w:lang w:val="en-AU"/>
              </w:rPr>
              <w:t xml:space="preserve"> </w:t>
            </w:r>
            <w:r w:rsidR="223E1FFD" w:rsidRPr="00F70D5C">
              <w:rPr>
                <w:lang w:val="en-AU"/>
              </w:rPr>
              <w:t xml:space="preserve">is becoming increasingly available and </w:t>
            </w:r>
            <w:r w:rsidR="461F7F0C" w:rsidRPr="00F70D5C">
              <w:rPr>
                <w:lang w:val="en-AU"/>
              </w:rPr>
              <w:t>may be preferred in some circumstances.</w:t>
            </w:r>
          </w:p>
          <w:p w14:paraId="65B049DA" w14:textId="35AC741A" w:rsidR="00F61C22" w:rsidRPr="00F70D5C" w:rsidRDefault="00F61C22" w:rsidP="00E75DA8">
            <w:pPr>
              <w:pStyle w:val="ListBullet"/>
              <w:cnfStyle w:val="000000000000" w:firstRow="0" w:lastRow="0" w:firstColumn="0" w:lastColumn="0" w:oddVBand="0" w:evenVBand="0" w:oddHBand="0" w:evenHBand="0" w:firstRowFirstColumn="0" w:firstRowLastColumn="0" w:lastRowFirstColumn="0" w:lastRowLastColumn="0"/>
              <w:rPr>
                <w:lang w:val="en-AU"/>
              </w:rPr>
            </w:pPr>
            <w:r w:rsidRPr="00F70D5C">
              <w:rPr>
                <w:lang w:val="en-AU"/>
              </w:rPr>
              <w:t>Particularly for microcalcifications, the use of VA</w:t>
            </w:r>
            <w:r w:rsidR="003233E4" w:rsidRPr="00F70D5C">
              <w:rPr>
                <w:lang w:val="en-AU"/>
              </w:rPr>
              <w:t>B</w:t>
            </w:r>
            <w:r w:rsidRPr="00F70D5C">
              <w:rPr>
                <w:lang w:val="en-AU"/>
              </w:rPr>
              <w:t xml:space="preserve">B </w:t>
            </w:r>
            <w:r w:rsidRPr="00F70D5C">
              <w:rPr>
                <w:lang w:val="en-AU"/>
              </w:rPr>
              <w:lastRenderedPageBreak/>
              <w:t>increases the likelihood of an adequate biopsy</w:t>
            </w:r>
            <w:r w:rsidR="007E4F8F" w:rsidRPr="00F70D5C">
              <w:rPr>
                <w:lang w:val="en-AU"/>
              </w:rPr>
              <w:t xml:space="preserve"> and </w:t>
            </w:r>
            <w:r w:rsidRPr="00F70D5C">
              <w:rPr>
                <w:lang w:val="en-AU"/>
              </w:rPr>
              <w:t xml:space="preserve">reduces the need </w:t>
            </w:r>
            <w:r w:rsidR="009276EE" w:rsidRPr="00F70D5C">
              <w:rPr>
                <w:lang w:val="en-AU"/>
              </w:rPr>
              <w:t>f</w:t>
            </w:r>
            <w:r w:rsidRPr="00F70D5C">
              <w:rPr>
                <w:lang w:val="en-AU"/>
              </w:rPr>
              <w:t xml:space="preserve">or repeat needle biopsies and the reliance on diagnostic </w:t>
            </w:r>
            <w:r w:rsidR="00E27AEE" w:rsidRPr="00F70D5C">
              <w:rPr>
                <w:lang w:val="en-AU"/>
              </w:rPr>
              <w:t xml:space="preserve">open </w:t>
            </w:r>
            <w:r w:rsidRPr="00F70D5C">
              <w:rPr>
                <w:lang w:val="en-AU"/>
              </w:rPr>
              <w:t>surgical biopsies.</w:t>
            </w:r>
            <w:r w:rsidR="006E309A" w:rsidRPr="00F70D5C">
              <w:rPr>
                <w:lang w:val="en-AU"/>
              </w:rPr>
              <w:t xml:space="preserve"> </w:t>
            </w:r>
            <w:r w:rsidRPr="00F70D5C">
              <w:rPr>
                <w:lang w:val="en-AU"/>
              </w:rPr>
              <w:t>In addition, VA</w:t>
            </w:r>
            <w:r w:rsidR="003233E4" w:rsidRPr="00F70D5C">
              <w:rPr>
                <w:lang w:val="en-AU"/>
              </w:rPr>
              <w:t>B</w:t>
            </w:r>
            <w:r w:rsidRPr="00F70D5C">
              <w:rPr>
                <w:lang w:val="en-AU"/>
              </w:rPr>
              <w:t>B is associated with fewer discordant results and lower upgrade rates compared to core biopsies</w:t>
            </w:r>
            <w:r w:rsidR="7197BE8C" w:rsidRPr="00F70D5C">
              <w:rPr>
                <w:lang w:val="en-AU"/>
              </w:rPr>
              <w:t xml:space="preserve">, maximising the opportunity for </w:t>
            </w:r>
            <w:r w:rsidR="00220DA3" w:rsidRPr="00F70D5C">
              <w:rPr>
                <w:lang w:val="en-AU"/>
              </w:rPr>
              <w:t xml:space="preserve">no surgery or </w:t>
            </w:r>
            <w:r w:rsidR="7197BE8C" w:rsidRPr="00F70D5C">
              <w:rPr>
                <w:lang w:val="en-AU"/>
              </w:rPr>
              <w:t>one-stage surgery in women</w:t>
            </w:r>
            <w:r w:rsidR="5F4AD268" w:rsidRPr="00F70D5C">
              <w:rPr>
                <w:lang w:val="en-AU"/>
              </w:rPr>
              <w:t xml:space="preserve"> undergoing treatment</w:t>
            </w:r>
            <w:r w:rsidRPr="00F70D5C">
              <w:rPr>
                <w:lang w:val="en-AU"/>
              </w:rPr>
              <w:t>.</w:t>
            </w:r>
          </w:p>
          <w:p w14:paraId="16486FBC" w14:textId="647C968F" w:rsidR="00E80762" w:rsidRPr="00F70D5C" w:rsidRDefault="00F61C22" w:rsidP="00F70D5C">
            <w:pPr>
              <w:pStyle w:val="TableParagraph"/>
              <w:numPr>
                <w:ilvl w:val="0"/>
                <w:numId w:val="11"/>
              </w:numPr>
              <w:spacing w:before="117"/>
              <w:ind w:left="470" w:right="170" w:hanging="357"/>
              <w:cnfStyle w:val="000000000000" w:firstRow="0" w:lastRow="0" w:firstColumn="0" w:lastColumn="0" w:oddVBand="0" w:evenVBand="0" w:oddHBand="0" w:evenHBand="0" w:firstRowFirstColumn="0" w:firstRowLastColumn="0" w:lastRowFirstColumn="0" w:lastRowLastColumn="0"/>
              <w:rPr>
                <w:lang w:val="en-AU"/>
              </w:rPr>
            </w:pPr>
            <w:r w:rsidRPr="00F70D5C">
              <w:rPr>
                <w:lang w:val="en-AU"/>
              </w:rPr>
              <w:t>When ductal carcinoma in situ (DCIS) is diagnosed with VA</w:t>
            </w:r>
            <w:r w:rsidR="003233E4" w:rsidRPr="00F70D5C">
              <w:rPr>
                <w:lang w:val="en-AU"/>
              </w:rPr>
              <w:t>B</w:t>
            </w:r>
            <w:r w:rsidRPr="00F70D5C">
              <w:rPr>
                <w:lang w:val="en-AU"/>
              </w:rPr>
              <w:t xml:space="preserve">B there are fewer cases upgraded to invasive cancer at operation, compared with core biopsy. </w:t>
            </w:r>
            <w:r w:rsidR="00B05D5A" w:rsidRPr="00F70D5C">
              <w:rPr>
                <w:lang w:val="en-AU"/>
              </w:rPr>
              <w:t>Clients</w:t>
            </w:r>
            <w:r w:rsidRPr="00F70D5C">
              <w:rPr>
                <w:lang w:val="en-AU"/>
              </w:rPr>
              <w:t xml:space="preserve"> whose invasive cancer has remained undetected on core biopsy</w:t>
            </w:r>
            <w:r w:rsidR="00FE494E" w:rsidRPr="00F70D5C">
              <w:rPr>
                <w:lang w:val="en-AU"/>
              </w:rPr>
              <w:t>,</w:t>
            </w:r>
            <w:r w:rsidRPr="00F70D5C">
              <w:rPr>
                <w:lang w:val="en-AU"/>
              </w:rPr>
              <w:t xml:space="preserve"> only to be found at surgery</w:t>
            </w:r>
            <w:r w:rsidR="002B02AA" w:rsidRPr="00F70D5C">
              <w:rPr>
                <w:lang w:val="en-AU"/>
              </w:rPr>
              <w:t>,</w:t>
            </w:r>
            <w:r w:rsidRPr="00F70D5C">
              <w:rPr>
                <w:lang w:val="en-AU"/>
              </w:rPr>
              <w:t xml:space="preserve"> are then likely to require additional investigations and surgery for axillary staging.</w:t>
            </w:r>
          </w:p>
        </w:tc>
      </w:tr>
      <w:tr w:rsidR="00E80762" w:rsidRPr="00F70D5C" w14:paraId="10505B3D" w14:textId="77777777" w:rsidTr="00566E85">
        <w:trPr>
          <w:trHeight w:val="1046"/>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bottom w:val="single" w:sz="4" w:space="0" w:color="auto"/>
            </w:tcBorders>
          </w:tcPr>
          <w:p w14:paraId="3A35B77E" w14:textId="4F288C3C" w:rsidR="00E80762" w:rsidRPr="00B15380" w:rsidRDefault="00E80762" w:rsidP="00B15380">
            <w:pPr>
              <w:pStyle w:val="TableParagraph"/>
            </w:pPr>
            <w:r w:rsidRPr="00B15380">
              <w:lastRenderedPageBreak/>
              <w:t>Stakeholder consultation</w:t>
            </w:r>
          </w:p>
        </w:tc>
        <w:tc>
          <w:tcPr>
            <w:tcW w:w="5801" w:type="dxa"/>
            <w:tcBorders>
              <w:top w:val="single" w:sz="4" w:space="0" w:color="auto"/>
              <w:bottom w:val="single" w:sz="4" w:space="0" w:color="auto"/>
            </w:tcBorders>
          </w:tcPr>
          <w:p w14:paraId="1D73215A" w14:textId="64513AE0" w:rsidR="0084032E" w:rsidRPr="00E75DA8" w:rsidRDefault="0084032E" w:rsidP="00E75DA8">
            <w:pPr>
              <w:pStyle w:val="TableParagraph"/>
              <w:cnfStyle w:val="000000000000" w:firstRow="0" w:lastRow="0" w:firstColumn="0" w:lastColumn="0" w:oddVBand="0" w:evenVBand="0" w:oddHBand="0" w:evenHBand="0" w:firstRowFirstColumn="0" w:firstRowLastColumn="0" w:lastRowFirstColumn="0" w:lastRowLastColumn="0"/>
            </w:pPr>
            <w:r w:rsidRPr="0084032E">
              <w:rPr>
                <w:lang w:val="en-AU"/>
              </w:rPr>
              <w:t xml:space="preserve">The </w:t>
            </w:r>
            <w:proofErr w:type="spellStart"/>
            <w:r w:rsidRPr="0084032E">
              <w:rPr>
                <w:lang w:val="en-AU"/>
              </w:rPr>
              <w:t>BreastScreen</w:t>
            </w:r>
            <w:proofErr w:type="spellEnd"/>
            <w:r w:rsidRPr="0084032E">
              <w:rPr>
                <w:lang w:val="en-AU"/>
              </w:rPr>
              <w:t xml:space="preserve"> Australia CAG is grateful to stakeholders who provided input</w:t>
            </w:r>
            <w:r w:rsidR="00845D9B">
              <w:rPr>
                <w:lang w:val="en-AU"/>
              </w:rPr>
              <w:t>:</w:t>
            </w:r>
          </w:p>
          <w:p w14:paraId="5C37FD6C" w14:textId="4D610113" w:rsidR="00A17F8D" w:rsidRPr="00F70D5C" w:rsidRDefault="000E2B72" w:rsidP="00E75DA8">
            <w:pPr>
              <w:pStyle w:val="ListBullet"/>
              <w:cnfStyle w:val="000000000000" w:firstRow="0" w:lastRow="0" w:firstColumn="0" w:lastColumn="0" w:oddVBand="0" w:evenVBand="0" w:oddHBand="0" w:evenHBand="0" w:firstRowFirstColumn="0" w:firstRowLastColumn="0" w:lastRowFirstColumn="0" w:lastRowLastColumn="0"/>
              <w:rPr>
                <w:lang w:val="en-AU"/>
              </w:rPr>
            </w:pPr>
            <w:proofErr w:type="spellStart"/>
            <w:r w:rsidRPr="00F70D5C">
              <w:rPr>
                <w:lang w:val="en-AU"/>
              </w:rPr>
              <w:t>BreastScreen</w:t>
            </w:r>
            <w:proofErr w:type="spellEnd"/>
            <w:r w:rsidRPr="00F70D5C">
              <w:rPr>
                <w:lang w:val="en-AU"/>
              </w:rPr>
              <w:t xml:space="preserve"> Australia </w:t>
            </w:r>
            <w:r w:rsidR="005110FF" w:rsidRPr="00F70D5C">
              <w:rPr>
                <w:lang w:val="en-AU"/>
              </w:rPr>
              <w:t>P</w:t>
            </w:r>
            <w:r w:rsidR="00F622FA" w:rsidRPr="00F70D5C">
              <w:rPr>
                <w:lang w:val="en-AU"/>
              </w:rPr>
              <w:t xml:space="preserve">rogram </w:t>
            </w:r>
            <w:r w:rsidR="005110FF" w:rsidRPr="00F70D5C">
              <w:rPr>
                <w:lang w:val="en-AU"/>
              </w:rPr>
              <w:t>M</w:t>
            </w:r>
            <w:r w:rsidR="00F622FA" w:rsidRPr="00F70D5C">
              <w:rPr>
                <w:lang w:val="en-AU"/>
              </w:rPr>
              <w:t xml:space="preserve">anagement </w:t>
            </w:r>
            <w:r w:rsidR="005110FF" w:rsidRPr="00F70D5C">
              <w:rPr>
                <w:lang w:val="en-AU"/>
              </w:rPr>
              <w:t>G</w:t>
            </w:r>
            <w:r w:rsidR="00F622FA" w:rsidRPr="00F70D5C">
              <w:rPr>
                <w:lang w:val="en-AU"/>
              </w:rPr>
              <w:t>roup</w:t>
            </w:r>
          </w:p>
          <w:p w14:paraId="39CD33FE" w14:textId="339452C4" w:rsidR="00E80762" w:rsidRPr="00F70D5C" w:rsidRDefault="000E2B72" w:rsidP="00E75DA8">
            <w:pPr>
              <w:pStyle w:val="ListBullet"/>
              <w:cnfStyle w:val="000000000000" w:firstRow="0" w:lastRow="0" w:firstColumn="0" w:lastColumn="0" w:oddVBand="0" w:evenVBand="0" w:oddHBand="0" w:evenHBand="0" w:firstRowFirstColumn="0" w:firstRowLastColumn="0" w:lastRowFirstColumn="0" w:lastRowLastColumn="0"/>
              <w:rPr>
                <w:lang w:val="en-AU"/>
              </w:rPr>
            </w:pPr>
            <w:proofErr w:type="spellStart"/>
            <w:r w:rsidRPr="00F70D5C">
              <w:rPr>
                <w:lang w:val="en-AU"/>
              </w:rPr>
              <w:t>BreastScreen</w:t>
            </w:r>
            <w:proofErr w:type="spellEnd"/>
            <w:r w:rsidRPr="00F70D5C">
              <w:rPr>
                <w:lang w:val="en-AU"/>
              </w:rPr>
              <w:t xml:space="preserve"> Aust</w:t>
            </w:r>
            <w:r w:rsidR="00A17F8D" w:rsidRPr="00F70D5C">
              <w:rPr>
                <w:lang w:val="en-AU"/>
              </w:rPr>
              <w:t xml:space="preserve">ralia </w:t>
            </w:r>
            <w:r w:rsidR="00123D5B" w:rsidRPr="00F70D5C">
              <w:rPr>
                <w:lang w:val="en-AU"/>
              </w:rPr>
              <w:t>N</w:t>
            </w:r>
            <w:r w:rsidR="007E0B5C" w:rsidRPr="00F70D5C">
              <w:rPr>
                <w:lang w:val="en-AU"/>
              </w:rPr>
              <w:t>ational Quality Management Committee</w:t>
            </w:r>
          </w:p>
        </w:tc>
      </w:tr>
      <w:tr w:rsidR="00E80762" w:rsidRPr="00F70D5C" w14:paraId="302DD3D5" w14:textId="77777777" w:rsidTr="00566E85">
        <w:trPr>
          <w:trHeight w:val="1046"/>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tcBorders>
          </w:tcPr>
          <w:p w14:paraId="6D71174E" w14:textId="52A2F577" w:rsidR="00E80762" w:rsidRPr="00B15380" w:rsidRDefault="00E80762" w:rsidP="00B15380">
            <w:pPr>
              <w:pStyle w:val="TableParagraph"/>
            </w:pPr>
            <w:r w:rsidRPr="00B15380">
              <w:t>References</w:t>
            </w:r>
          </w:p>
        </w:tc>
        <w:tc>
          <w:tcPr>
            <w:tcW w:w="5801" w:type="dxa"/>
            <w:tcBorders>
              <w:top w:val="single" w:sz="4" w:space="0" w:color="auto"/>
            </w:tcBorders>
          </w:tcPr>
          <w:p w14:paraId="47258693" w14:textId="1FAEA1DD" w:rsidR="00522C5C" w:rsidRPr="00F70D5C" w:rsidRDefault="009021F0" w:rsidP="00E75DA8">
            <w:pPr>
              <w:pStyle w:val="ListNumber"/>
              <w:cnfStyle w:val="000000000000" w:firstRow="0" w:lastRow="0" w:firstColumn="0" w:lastColumn="0" w:oddVBand="0" w:evenVBand="0" w:oddHBand="0" w:evenHBand="0" w:firstRowFirstColumn="0" w:firstRowLastColumn="0" w:lastRowFirstColumn="0" w:lastRowLastColumn="0"/>
            </w:pPr>
            <w:r w:rsidRPr="00F70D5C">
              <w:t xml:space="preserve">The </w:t>
            </w:r>
            <w:r w:rsidR="003212E4" w:rsidRPr="00F70D5C">
              <w:t>Royal College of Pathologists, Guidelines for non-operative diagnostic procedures and reporting in breast cancer screening</w:t>
            </w:r>
            <w:r w:rsidR="001F5DEF" w:rsidRPr="00F70D5C">
              <w:t>, August 2021</w:t>
            </w:r>
            <w:r w:rsidR="0011069C" w:rsidRPr="00F70D5C">
              <w:t xml:space="preserve"> </w:t>
            </w:r>
            <w:hyperlink r:id="rId13" w:history="1">
              <w:r w:rsidR="0011069C" w:rsidRPr="00B15380">
                <w:rPr>
                  <w:rStyle w:val="Hyperlink"/>
                </w:rPr>
                <w:t>www.rcpath.org/asset/4B16F19C-F7BD-456C-B212F557F8040F66/</w:t>
              </w:r>
            </w:hyperlink>
          </w:p>
          <w:p w14:paraId="0A06C52E" w14:textId="1C753976" w:rsidR="0016434D" w:rsidRPr="00F70D5C" w:rsidRDefault="00F61C22" w:rsidP="00E75DA8">
            <w:pPr>
              <w:pStyle w:val="ListNumb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70D5C">
              <w:rPr>
                <w:rFonts w:asciiTheme="minorHAnsi" w:hAnsiTheme="minorHAnsi" w:cstheme="minorBidi"/>
              </w:rPr>
              <w:t>U</w:t>
            </w:r>
            <w:r w:rsidR="00D62FFA" w:rsidRPr="00F70D5C">
              <w:rPr>
                <w:rFonts w:asciiTheme="minorHAnsi" w:hAnsiTheme="minorHAnsi" w:cstheme="minorBidi"/>
              </w:rPr>
              <w:t>K</w:t>
            </w:r>
            <w:r w:rsidRPr="00F70D5C">
              <w:rPr>
                <w:rFonts w:asciiTheme="minorHAnsi" w:hAnsiTheme="minorHAnsi" w:cstheme="minorBidi"/>
              </w:rPr>
              <w:t xml:space="preserve"> N</w:t>
            </w:r>
            <w:r w:rsidR="00D62FFA" w:rsidRPr="00F70D5C">
              <w:rPr>
                <w:rFonts w:asciiTheme="minorHAnsi" w:hAnsiTheme="minorHAnsi" w:cstheme="minorBidi"/>
              </w:rPr>
              <w:t>HS Breast</w:t>
            </w:r>
            <w:r w:rsidR="00FF69CE" w:rsidRPr="00F70D5C">
              <w:rPr>
                <w:rFonts w:asciiTheme="minorHAnsi" w:hAnsiTheme="minorHAnsi" w:cstheme="minorBidi"/>
              </w:rPr>
              <w:t xml:space="preserve"> Screening Programme</w:t>
            </w:r>
            <w:r w:rsidRPr="00F70D5C">
              <w:rPr>
                <w:rFonts w:asciiTheme="minorHAnsi" w:hAnsiTheme="minorHAnsi" w:cstheme="minorBidi"/>
              </w:rPr>
              <w:t xml:space="preserve"> </w:t>
            </w:r>
            <w:hyperlink r:id="rId14">
              <w:r w:rsidRPr="00B15380">
                <w:rPr>
                  <w:rStyle w:val="Hyperlink"/>
                </w:rPr>
                <w:t>Clinical guid</w:t>
              </w:r>
              <w:r w:rsidR="00F9711B" w:rsidRPr="00B15380">
                <w:rPr>
                  <w:rStyle w:val="Hyperlink"/>
                </w:rPr>
                <w:t>ance</w:t>
              </w:r>
              <w:r w:rsidRPr="00B15380">
                <w:rPr>
                  <w:rStyle w:val="Hyperlink"/>
                </w:rPr>
                <w:t xml:space="preserve"> for breast cancer screening assessment</w:t>
              </w:r>
            </w:hyperlink>
            <w:r w:rsidR="0016434D" w:rsidRPr="00F70D5C">
              <w:rPr>
                <w:rFonts w:asciiTheme="minorHAnsi" w:hAnsiTheme="minorHAnsi" w:cstheme="minorBidi"/>
              </w:rPr>
              <w:t>, November 2016</w:t>
            </w:r>
            <w:r w:rsidR="00371688" w:rsidRPr="00F70D5C">
              <w:rPr>
                <w:rFonts w:asciiTheme="minorHAnsi" w:hAnsiTheme="minorHAnsi" w:cstheme="minorBidi"/>
              </w:rPr>
              <w:t>.</w:t>
            </w:r>
          </w:p>
          <w:p w14:paraId="2F834413" w14:textId="00B96C64" w:rsidR="00522C5C" w:rsidRPr="00E75DA8" w:rsidRDefault="003212E4" w:rsidP="00E75DA8">
            <w:pPr>
              <w:pStyle w:val="ListNumber"/>
              <w:cnfStyle w:val="000000000000" w:firstRow="0" w:lastRow="0" w:firstColumn="0" w:lastColumn="0" w:oddVBand="0" w:evenVBand="0" w:oddHBand="0" w:evenHBand="0" w:firstRowFirstColumn="0" w:firstRowLastColumn="0" w:lastRowFirstColumn="0" w:lastRowLastColumn="0"/>
            </w:pPr>
            <w:r w:rsidRPr="00F70D5C">
              <w:t>Pinder SE, Shaaban A, Deb R, et al. NHS Breast Screening multidisciplinary working group guidelines for the diagnosis and management of breast lesions of uncertain malignant potential on core biopsy (B3 lesion</w:t>
            </w:r>
            <w:r w:rsidRPr="00E75DA8">
              <w:rPr>
                <w:rFonts w:asciiTheme="minorHAnsi" w:hAnsiTheme="minorHAnsi" w:cstheme="minorBidi"/>
              </w:rPr>
              <w:t xml:space="preserve">s). Clinical radiology </w:t>
            </w:r>
            <w:proofErr w:type="gramStart"/>
            <w:r w:rsidRPr="00E75DA8">
              <w:rPr>
                <w:rFonts w:asciiTheme="minorHAnsi" w:hAnsiTheme="minorHAnsi" w:cstheme="minorBidi"/>
              </w:rPr>
              <w:t>2018;73:682</w:t>
            </w:r>
            <w:proofErr w:type="gramEnd"/>
            <w:r w:rsidRPr="00E75DA8">
              <w:rPr>
                <w:rFonts w:asciiTheme="minorHAnsi" w:hAnsiTheme="minorHAnsi" w:cstheme="minorBidi"/>
              </w:rPr>
              <w:t>-92</w:t>
            </w:r>
            <w:r w:rsidR="00002FCC" w:rsidRPr="00E75DA8">
              <w:rPr>
                <w:rFonts w:asciiTheme="minorHAnsi" w:hAnsiTheme="minorHAnsi" w:cstheme="minorBidi"/>
              </w:rPr>
              <w:t>.</w:t>
            </w:r>
          </w:p>
          <w:p w14:paraId="2697FF67" w14:textId="0354BC6D" w:rsidR="00E80762" w:rsidRPr="00E75DA8" w:rsidRDefault="003212E4" w:rsidP="00E75DA8">
            <w:pPr>
              <w:pStyle w:val="ListNumber"/>
              <w:cnfStyle w:val="000000000000" w:firstRow="0" w:lastRow="0" w:firstColumn="0" w:lastColumn="0" w:oddVBand="0" w:evenVBand="0" w:oddHBand="0" w:evenHBand="0" w:firstRowFirstColumn="0" w:firstRowLastColumn="0" w:lastRowFirstColumn="0" w:lastRowLastColumn="0"/>
            </w:pPr>
            <w:r w:rsidRPr="00E75DA8">
              <w:rPr>
                <w:rFonts w:asciiTheme="minorHAnsi" w:hAnsiTheme="minorHAnsi" w:cstheme="minorBidi"/>
              </w:rPr>
              <w:t xml:space="preserve">Farshid G, Sullivan T, Jones S, </w:t>
            </w:r>
            <w:proofErr w:type="spellStart"/>
            <w:r w:rsidRPr="00E75DA8">
              <w:rPr>
                <w:rFonts w:asciiTheme="minorHAnsi" w:hAnsiTheme="minorHAnsi" w:cstheme="minorBidi"/>
              </w:rPr>
              <w:t>Roder</w:t>
            </w:r>
            <w:proofErr w:type="spellEnd"/>
            <w:r w:rsidRPr="00E75DA8">
              <w:rPr>
                <w:rFonts w:asciiTheme="minorHAnsi" w:hAnsiTheme="minorHAnsi" w:cstheme="minorBidi"/>
              </w:rPr>
              <w:t xml:space="preserve"> D. </w:t>
            </w:r>
            <w:r w:rsidR="00002FCC" w:rsidRPr="00E75DA8">
              <w:rPr>
                <w:rFonts w:asciiTheme="minorHAnsi" w:hAnsiTheme="minorHAnsi" w:cstheme="minorBidi"/>
              </w:rPr>
              <w:t>Performance Indice</w:t>
            </w:r>
            <w:r w:rsidR="00002FCC" w:rsidRPr="00F70D5C">
              <w:t xml:space="preserve">s of Needle Biopsy Procedures for the Assessment of Screen Detected Abnormalities in Services Accredited by </w:t>
            </w:r>
            <w:proofErr w:type="spellStart"/>
            <w:r w:rsidR="00002FCC" w:rsidRPr="00F70D5C">
              <w:t>BreastScreen</w:t>
            </w:r>
            <w:proofErr w:type="spellEnd"/>
            <w:r w:rsidR="00002FCC" w:rsidRPr="00F70D5C">
              <w:t xml:space="preserve"> Australia. </w:t>
            </w:r>
            <w:r w:rsidRPr="00F70D5C">
              <w:t>Asian Pac J Cancer Prev. 2014;15(24):10665 73</w:t>
            </w:r>
            <w:r w:rsidR="007B5E7B" w:rsidRPr="00F70D5C">
              <w:t xml:space="preserve"> </w:t>
            </w:r>
            <w:hyperlink r:id="rId15">
              <w:r w:rsidR="007B5E7B" w:rsidRPr="00B15380">
                <w:rPr>
                  <w:rStyle w:val="Hyperlink"/>
                </w:rPr>
                <w:t>www.ncbi.nlm.nih.gov/pubmed/25605157</w:t>
              </w:r>
            </w:hyperlink>
          </w:p>
        </w:tc>
      </w:tr>
    </w:tbl>
    <w:p w14:paraId="208E8473" w14:textId="5DB04B48" w:rsidR="00C4461D" w:rsidRPr="00B15380" w:rsidRDefault="00C4461D" w:rsidP="00B15380"/>
    <w:sectPr w:rsidR="00C4461D" w:rsidRPr="00B15380" w:rsidSect="00681E64">
      <w:headerReference w:type="even" r:id="rId16"/>
      <w:footerReference w:type="even" r:id="rId17"/>
      <w:footerReference w:type="default" r:id="rId18"/>
      <w:headerReference w:type="first" r:id="rId19"/>
      <w:footerReference w:type="first" r:id="rId20"/>
      <w:type w:val="continuous"/>
      <w:pgSz w:w="11910" w:h="16840"/>
      <w:pgMar w:top="1440" w:right="1440" w:bottom="1440" w:left="1440" w:header="0" w:footer="10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B111" w14:textId="77777777" w:rsidR="00C72D4E" w:rsidRDefault="00C72D4E">
      <w:r>
        <w:separator/>
      </w:r>
    </w:p>
  </w:endnote>
  <w:endnote w:type="continuationSeparator" w:id="0">
    <w:p w14:paraId="0CE49B75" w14:textId="77777777" w:rsidR="00C72D4E" w:rsidRDefault="00C72D4E">
      <w:r>
        <w:continuationSeparator/>
      </w:r>
    </w:p>
  </w:endnote>
  <w:endnote w:type="continuationNotice" w:id="1">
    <w:p w14:paraId="7C471794" w14:textId="77777777" w:rsidR="00C72D4E" w:rsidRDefault="00C7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50FC" w14:textId="486A7A9F" w:rsidR="0074691F" w:rsidRDefault="00A74F26">
    <w:pPr>
      <w:pStyle w:val="Footer"/>
    </w:pPr>
    <w:r>
      <w:rPr>
        <w:noProof/>
      </w:rPr>
      <mc:AlternateContent>
        <mc:Choice Requires="wps">
          <w:drawing>
            <wp:anchor distT="0" distB="0" distL="0" distR="0" simplePos="0" relativeHeight="251658245" behindDoc="0" locked="0" layoutInCell="1" allowOverlap="1" wp14:anchorId="480BCD77" wp14:editId="43C9C59B">
              <wp:simplePos x="635" y="635"/>
              <wp:positionH relativeFrom="page">
                <wp:align>center</wp:align>
              </wp:positionH>
              <wp:positionV relativeFrom="page">
                <wp:align>bottom</wp:align>
              </wp:positionV>
              <wp:extent cx="551815" cy="376555"/>
              <wp:effectExtent l="0" t="0" r="635" b="0"/>
              <wp:wrapNone/>
              <wp:docPr id="14913960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94EC23" w14:textId="2C33E1E5" w:rsidR="00A74F26" w:rsidRPr="00A74F26" w:rsidRDefault="00A74F26" w:rsidP="00A74F26">
                          <w:pPr>
                            <w:rPr>
                              <w:noProof/>
                              <w:color w:val="FF0000"/>
                              <w:sz w:val="24"/>
                              <w:szCs w:val="24"/>
                            </w:rPr>
                          </w:pPr>
                          <w:r w:rsidRPr="00A74F26">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BCD77"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094EC23" w14:textId="2C33E1E5" w:rsidR="00A74F26" w:rsidRPr="00A74F26" w:rsidRDefault="00A74F26" w:rsidP="00A74F26">
                    <w:pPr>
                      <w:rPr>
                        <w:noProof/>
                        <w:color w:val="FF0000"/>
                        <w:sz w:val="24"/>
                        <w:szCs w:val="24"/>
                      </w:rPr>
                    </w:pPr>
                    <w:r w:rsidRPr="00A74F26">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6262" w14:textId="683DD404" w:rsidR="00561416" w:rsidRDefault="00F20818">
    <w:pPr>
      <w:pStyle w:val="BodyText"/>
      <w:spacing w:line="14" w:lineRule="auto"/>
      <w:rPr>
        <w:b w:val="0"/>
        <w:i w:val="0"/>
        <w:sz w:val="20"/>
      </w:rPr>
    </w:pPr>
    <w:r>
      <w:rPr>
        <w:noProof/>
      </w:rPr>
      <mc:AlternateContent>
        <mc:Choice Requires="wps">
          <w:drawing>
            <wp:anchor distT="0" distB="0" distL="0" distR="0" simplePos="0" relativeHeight="251658240" behindDoc="1" locked="0" layoutInCell="1" allowOverlap="1" wp14:anchorId="14883526" wp14:editId="26FB8BC0">
              <wp:simplePos x="0" y="0"/>
              <wp:positionH relativeFrom="page">
                <wp:posOffset>6304534</wp:posOffset>
              </wp:positionH>
              <wp:positionV relativeFrom="page">
                <wp:posOffset>9882461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6957B8" w14:textId="77777777" w:rsidR="00561416" w:rsidRPr="00BD1464" w:rsidRDefault="00F20818">
                          <w:pPr>
                            <w:spacing w:before="10"/>
                            <w:ind w:left="60"/>
                            <w:rPr>
                              <w:rFonts w:asciiTheme="minorHAnsi" w:hAnsiTheme="minorHAnsi" w:cstheme="minorHAnsi"/>
                              <w:sz w:val="24"/>
                            </w:rPr>
                          </w:pPr>
                          <w:r w:rsidRPr="00BD1464">
                            <w:rPr>
                              <w:rFonts w:asciiTheme="minorHAnsi" w:hAnsiTheme="minorHAnsi" w:cstheme="minorHAnsi"/>
                              <w:sz w:val="24"/>
                            </w:rPr>
                            <w:fldChar w:fldCharType="begin"/>
                          </w:r>
                          <w:r w:rsidRPr="00BD1464">
                            <w:rPr>
                              <w:rFonts w:asciiTheme="minorHAnsi" w:hAnsiTheme="minorHAnsi" w:cstheme="minorHAnsi"/>
                              <w:sz w:val="24"/>
                            </w:rPr>
                            <w:instrText xml:space="preserve"> PAGE </w:instrText>
                          </w:r>
                          <w:r w:rsidRPr="00BD1464">
                            <w:rPr>
                              <w:rFonts w:asciiTheme="minorHAnsi" w:hAnsiTheme="minorHAnsi" w:cstheme="minorHAnsi"/>
                              <w:sz w:val="24"/>
                            </w:rPr>
                            <w:fldChar w:fldCharType="separate"/>
                          </w:r>
                          <w:r w:rsidRPr="00BD1464">
                            <w:rPr>
                              <w:rFonts w:asciiTheme="minorHAnsi" w:hAnsiTheme="minorHAnsi" w:cstheme="minorHAnsi"/>
                              <w:sz w:val="24"/>
                            </w:rPr>
                            <w:t>1</w:t>
                          </w:r>
                          <w:r w:rsidRPr="00BD1464">
                            <w:rPr>
                              <w:rFonts w:asciiTheme="minorHAnsi" w:hAnsiTheme="minorHAnsi" w:cstheme="minorHAnsi"/>
                              <w:sz w:val="24"/>
                            </w:rPr>
                            <w:fldChar w:fldCharType="end"/>
                          </w:r>
                        </w:p>
                      </w:txbxContent>
                    </wps:txbx>
                    <wps:bodyPr wrap="square" lIns="0" tIns="0" rIns="0" bIns="0" rtlCol="0">
                      <a:noAutofit/>
                    </wps:bodyPr>
                  </wps:wsp>
                </a:graphicData>
              </a:graphic>
            </wp:anchor>
          </w:drawing>
        </mc:Choice>
        <mc:Fallback>
          <w:pict>
            <v:shapetype w14:anchorId="14883526" id="_x0000_t202" coordsize="21600,21600" o:spt="202" path="m,l,21600r21600,l21600,xe">
              <v:stroke joinstyle="miter"/>
              <v:path gradientshapeok="t" o:connecttype="rect"/>
            </v:shapetype>
            <v:shape id="Textbox 1" o:spid="_x0000_s1028" type="#_x0000_t202" style="position:absolute;margin-left:496.4pt;margin-top:778.1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3qa4n&#10;4QAAAA4BAAAPAAAAZHJzL2Rvd25yZXYueG1sTI/BTsMwEETvSPyDtUjcqN2iRkmIU1UITkiINBw4&#10;OvE2sRqvQ+y24e9xTnDcmdHsm2I324FdcPLGkYT1SgBDap021En4rF8fUmA+KNJqcIQSftDDrry9&#10;KVSu3ZUqvBxCx2IJ+VxJ6EMYc85926NVfuVGpOgd3WRViOfUcT2payy3A98IkXCrDMUPvRrxucf2&#10;dDhbCfsvql7M93vzUR0rU9eZoLfkJOX93bx/AhZwDn9hWPAjOpSRqXFn0p4NErJsE9FDNLbb5BHY&#10;EhHrNGrNoqVJBrws+P8Z5S8AAAD//wMAUEsBAi0AFAAGAAgAAAAhALaDOJL+AAAA4QEAABMAAAAA&#10;AAAAAAAAAAAAAAAAAFtDb250ZW50X1R5cGVzXS54bWxQSwECLQAUAAYACAAAACEAOP0h/9YAAACU&#10;AQAACwAAAAAAAAAAAAAAAAAvAQAAX3JlbHMvLnJlbHNQSwECLQAUAAYACAAAACEAaLmTMJYBAAAh&#10;AwAADgAAAAAAAAAAAAAAAAAuAgAAZHJzL2Uyb0RvYy54bWxQSwECLQAUAAYACAAAACEAd6muJ+EA&#10;AAAOAQAADwAAAAAAAAAAAAAAAADwAwAAZHJzL2Rvd25yZXYueG1sUEsFBgAAAAAEAAQA8wAAAP4E&#10;AAAAAA==&#10;" filled="f" stroked="f">
              <v:textbox inset="0,0,0,0">
                <w:txbxContent>
                  <w:p w14:paraId="666957B8" w14:textId="77777777" w:rsidR="00561416" w:rsidRPr="00BD1464" w:rsidRDefault="00F20818">
                    <w:pPr>
                      <w:spacing w:before="10"/>
                      <w:ind w:left="60"/>
                      <w:rPr>
                        <w:rFonts w:asciiTheme="minorHAnsi" w:hAnsiTheme="minorHAnsi" w:cstheme="minorHAnsi"/>
                        <w:sz w:val="24"/>
                      </w:rPr>
                    </w:pPr>
                    <w:r w:rsidRPr="00BD1464">
                      <w:rPr>
                        <w:rFonts w:asciiTheme="minorHAnsi" w:hAnsiTheme="minorHAnsi" w:cstheme="minorHAnsi"/>
                        <w:sz w:val="24"/>
                      </w:rPr>
                      <w:fldChar w:fldCharType="begin"/>
                    </w:r>
                    <w:r w:rsidRPr="00BD1464">
                      <w:rPr>
                        <w:rFonts w:asciiTheme="minorHAnsi" w:hAnsiTheme="minorHAnsi" w:cstheme="minorHAnsi"/>
                        <w:sz w:val="24"/>
                      </w:rPr>
                      <w:instrText xml:space="preserve"> PAGE </w:instrText>
                    </w:r>
                    <w:r w:rsidRPr="00BD1464">
                      <w:rPr>
                        <w:rFonts w:asciiTheme="minorHAnsi" w:hAnsiTheme="minorHAnsi" w:cstheme="minorHAnsi"/>
                        <w:sz w:val="24"/>
                      </w:rPr>
                      <w:fldChar w:fldCharType="separate"/>
                    </w:r>
                    <w:r w:rsidRPr="00BD1464">
                      <w:rPr>
                        <w:rFonts w:asciiTheme="minorHAnsi" w:hAnsiTheme="minorHAnsi" w:cstheme="minorHAnsi"/>
                        <w:sz w:val="24"/>
                      </w:rPr>
                      <w:t>1</w:t>
                    </w:r>
                    <w:r w:rsidRPr="00BD1464">
                      <w:rPr>
                        <w:rFonts w:asciiTheme="minorHAnsi" w:hAnsiTheme="minorHAnsi" w:cstheme="minorHAnsi"/>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41DA" w14:textId="1649C98B" w:rsidR="0074691F" w:rsidRDefault="00A74F26">
    <w:pPr>
      <w:pStyle w:val="Footer"/>
    </w:pPr>
    <w:r>
      <w:rPr>
        <w:noProof/>
      </w:rPr>
      <mc:AlternateContent>
        <mc:Choice Requires="wps">
          <w:drawing>
            <wp:anchor distT="0" distB="0" distL="0" distR="0" simplePos="0" relativeHeight="251658244" behindDoc="0" locked="0" layoutInCell="1" allowOverlap="1" wp14:anchorId="4E778D97" wp14:editId="09B8C1CB">
              <wp:simplePos x="635" y="635"/>
              <wp:positionH relativeFrom="page">
                <wp:align>center</wp:align>
              </wp:positionH>
              <wp:positionV relativeFrom="page">
                <wp:align>bottom</wp:align>
              </wp:positionV>
              <wp:extent cx="551815" cy="376555"/>
              <wp:effectExtent l="0" t="0" r="635" b="0"/>
              <wp:wrapNone/>
              <wp:docPr id="1462213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650B15" w14:textId="7267056F" w:rsidR="00A74F26" w:rsidRPr="00A74F26" w:rsidRDefault="00A74F26" w:rsidP="00A74F26">
                          <w:pPr>
                            <w:rPr>
                              <w:noProof/>
                              <w:color w:val="FF0000"/>
                              <w:sz w:val="24"/>
                              <w:szCs w:val="24"/>
                            </w:rPr>
                          </w:pPr>
                          <w:r w:rsidRPr="00A74F26">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78D97"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F650B15" w14:textId="7267056F" w:rsidR="00A74F26" w:rsidRPr="00A74F26" w:rsidRDefault="00A74F26" w:rsidP="00A74F26">
                    <w:pPr>
                      <w:rPr>
                        <w:noProof/>
                        <w:color w:val="FF0000"/>
                        <w:sz w:val="24"/>
                        <w:szCs w:val="24"/>
                      </w:rPr>
                    </w:pPr>
                    <w:r w:rsidRPr="00A74F26">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58F8" w14:textId="77777777" w:rsidR="00C72D4E" w:rsidRDefault="00C72D4E">
      <w:r>
        <w:separator/>
      </w:r>
    </w:p>
  </w:footnote>
  <w:footnote w:type="continuationSeparator" w:id="0">
    <w:p w14:paraId="73B6277B" w14:textId="77777777" w:rsidR="00C72D4E" w:rsidRDefault="00C72D4E">
      <w:r>
        <w:continuationSeparator/>
      </w:r>
    </w:p>
  </w:footnote>
  <w:footnote w:type="continuationNotice" w:id="1">
    <w:p w14:paraId="096D9CE0" w14:textId="77777777" w:rsidR="00C72D4E" w:rsidRDefault="00C72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0C12" w14:textId="5560A009" w:rsidR="0074691F" w:rsidRDefault="00A74F26">
    <w:pPr>
      <w:pStyle w:val="Header"/>
    </w:pPr>
    <w:r>
      <w:rPr>
        <w:noProof/>
      </w:rPr>
      <mc:AlternateContent>
        <mc:Choice Requires="wps">
          <w:drawing>
            <wp:anchor distT="0" distB="0" distL="0" distR="0" simplePos="0" relativeHeight="251658242" behindDoc="0" locked="0" layoutInCell="1" allowOverlap="1" wp14:anchorId="71576EC2" wp14:editId="5A940344">
              <wp:simplePos x="635" y="635"/>
              <wp:positionH relativeFrom="page">
                <wp:align>center</wp:align>
              </wp:positionH>
              <wp:positionV relativeFrom="page">
                <wp:align>top</wp:align>
              </wp:positionV>
              <wp:extent cx="551815" cy="376555"/>
              <wp:effectExtent l="0" t="0" r="635" b="4445"/>
              <wp:wrapNone/>
              <wp:docPr id="7985058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7E1263" w14:textId="269453F5" w:rsidR="00A74F26" w:rsidRPr="00A74F26" w:rsidRDefault="00A74F26" w:rsidP="00A74F26">
                          <w:pPr>
                            <w:rPr>
                              <w:noProof/>
                              <w:color w:val="FF0000"/>
                              <w:sz w:val="24"/>
                              <w:szCs w:val="24"/>
                            </w:rPr>
                          </w:pPr>
                          <w:r w:rsidRPr="00A74F26">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76E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37E1263" w14:textId="269453F5" w:rsidR="00A74F26" w:rsidRPr="00A74F26" w:rsidRDefault="00A74F26" w:rsidP="00A74F26">
                    <w:pPr>
                      <w:rPr>
                        <w:noProof/>
                        <w:color w:val="FF0000"/>
                        <w:sz w:val="24"/>
                        <w:szCs w:val="24"/>
                      </w:rPr>
                    </w:pPr>
                    <w:r w:rsidRPr="00A74F26">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0E80" w14:textId="675A8268" w:rsidR="0074691F" w:rsidRDefault="00A74F26">
    <w:pPr>
      <w:pStyle w:val="Header"/>
    </w:pPr>
    <w:r>
      <w:rPr>
        <w:noProof/>
      </w:rPr>
      <mc:AlternateContent>
        <mc:Choice Requires="wps">
          <w:drawing>
            <wp:anchor distT="0" distB="0" distL="0" distR="0" simplePos="0" relativeHeight="251658241" behindDoc="0" locked="0" layoutInCell="1" allowOverlap="1" wp14:anchorId="3059C7B4" wp14:editId="1D3FFC11">
              <wp:simplePos x="635" y="635"/>
              <wp:positionH relativeFrom="page">
                <wp:align>center</wp:align>
              </wp:positionH>
              <wp:positionV relativeFrom="page">
                <wp:align>top</wp:align>
              </wp:positionV>
              <wp:extent cx="551815" cy="376555"/>
              <wp:effectExtent l="0" t="0" r="635" b="4445"/>
              <wp:wrapNone/>
              <wp:docPr id="4993730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C3AC14" w14:textId="6BAD30D6" w:rsidR="00A74F26" w:rsidRPr="00A74F26" w:rsidRDefault="00A74F26" w:rsidP="00A74F26">
                          <w:pPr>
                            <w:rPr>
                              <w:noProof/>
                              <w:color w:val="FF0000"/>
                              <w:sz w:val="24"/>
                              <w:szCs w:val="24"/>
                            </w:rPr>
                          </w:pPr>
                          <w:r w:rsidRPr="00A74F26">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9C7B4"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6C3AC14" w14:textId="6BAD30D6" w:rsidR="00A74F26" w:rsidRPr="00A74F26" w:rsidRDefault="00A74F26" w:rsidP="00A74F26">
                    <w:pPr>
                      <w:rPr>
                        <w:noProof/>
                        <w:color w:val="FF0000"/>
                        <w:sz w:val="24"/>
                        <w:szCs w:val="24"/>
                      </w:rPr>
                    </w:pPr>
                    <w:r w:rsidRPr="00A74F26">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1295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4E1F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D5614"/>
    <w:multiLevelType w:val="hybridMultilevel"/>
    <w:tmpl w:val="11F8C94E"/>
    <w:lvl w:ilvl="0" w:tplc="2B7EEF8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C40771A">
      <w:numFmt w:val="bullet"/>
      <w:lvlText w:val="•"/>
      <w:lvlJc w:val="left"/>
      <w:pPr>
        <w:ind w:left="957" w:hanging="360"/>
      </w:pPr>
      <w:rPr>
        <w:rFonts w:hint="default"/>
        <w:lang w:val="en-US" w:eastAsia="en-US" w:bidi="ar-SA"/>
      </w:rPr>
    </w:lvl>
    <w:lvl w:ilvl="2" w:tplc="B67C49E0">
      <w:numFmt w:val="bullet"/>
      <w:lvlText w:val="•"/>
      <w:lvlJc w:val="left"/>
      <w:pPr>
        <w:ind w:left="1455" w:hanging="360"/>
      </w:pPr>
      <w:rPr>
        <w:rFonts w:hint="default"/>
        <w:lang w:val="en-US" w:eastAsia="en-US" w:bidi="ar-SA"/>
      </w:rPr>
    </w:lvl>
    <w:lvl w:ilvl="3" w:tplc="79B201C6">
      <w:numFmt w:val="bullet"/>
      <w:lvlText w:val="•"/>
      <w:lvlJc w:val="left"/>
      <w:pPr>
        <w:ind w:left="1953" w:hanging="360"/>
      </w:pPr>
      <w:rPr>
        <w:rFonts w:hint="default"/>
        <w:lang w:val="en-US" w:eastAsia="en-US" w:bidi="ar-SA"/>
      </w:rPr>
    </w:lvl>
    <w:lvl w:ilvl="4" w:tplc="772E9C9C">
      <w:numFmt w:val="bullet"/>
      <w:lvlText w:val="•"/>
      <w:lvlJc w:val="left"/>
      <w:pPr>
        <w:ind w:left="2451" w:hanging="360"/>
      </w:pPr>
      <w:rPr>
        <w:rFonts w:hint="default"/>
        <w:lang w:val="en-US" w:eastAsia="en-US" w:bidi="ar-SA"/>
      </w:rPr>
    </w:lvl>
    <w:lvl w:ilvl="5" w:tplc="9C4A2CB8">
      <w:numFmt w:val="bullet"/>
      <w:lvlText w:val="•"/>
      <w:lvlJc w:val="left"/>
      <w:pPr>
        <w:ind w:left="2949" w:hanging="360"/>
      </w:pPr>
      <w:rPr>
        <w:rFonts w:hint="default"/>
        <w:lang w:val="en-US" w:eastAsia="en-US" w:bidi="ar-SA"/>
      </w:rPr>
    </w:lvl>
    <w:lvl w:ilvl="6" w:tplc="EAE4C9F8">
      <w:numFmt w:val="bullet"/>
      <w:lvlText w:val="•"/>
      <w:lvlJc w:val="left"/>
      <w:pPr>
        <w:ind w:left="3447" w:hanging="360"/>
      </w:pPr>
      <w:rPr>
        <w:rFonts w:hint="default"/>
        <w:lang w:val="en-US" w:eastAsia="en-US" w:bidi="ar-SA"/>
      </w:rPr>
    </w:lvl>
    <w:lvl w:ilvl="7" w:tplc="CF7E9352">
      <w:numFmt w:val="bullet"/>
      <w:lvlText w:val="•"/>
      <w:lvlJc w:val="left"/>
      <w:pPr>
        <w:ind w:left="3945" w:hanging="360"/>
      </w:pPr>
      <w:rPr>
        <w:rFonts w:hint="default"/>
        <w:lang w:val="en-US" w:eastAsia="en-US" w:bidi="ar-SA"/>
      </w:rPr>
    </w:lvl>
    <w:lvl w:ilvl="8" w:tplc="3A928542">
      <w:numFmt w:val="bullet"/>
      <w:lvlText w:val="•"/>
      <w:lvlJc w:val="left"/>
      <w:pPr>
        <w:ind w:left="4443" w:hanging="360"/>
      </w:pPr>
      <w:rPr>
        <w:rFonts w:hint="default"/>
        <w:lang w:val="en-US" w:eastAsia="en-US" w:bidi="ar-SA"/>
      </w:rPr>
    </w:lvl>
  </w:abstractNum>
  <w:abstractNum w:abstractNumId="3" w15:restartNumberingAfterBreak="0">
    <w:nsid w:val="039E799A"/>
    <w:multiLevelType w:val="hybridMultilevel"/>
    <w:tmpl w:val="C31A39E0"/>
    <w:lvl w:ilvl="0" w:tplc="A4B2F31A">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C3BC964E">
      <w:numFmt w:val="bullet"/>
      <w:lvlText w:val="•"/>
      <w:lvlJc w:val="left"/>
      <w:pPr>
        <w:ind w:left="778" w:hanging="361"/>
      </w:pPr>
      <w:rPr>
        <w:rFonts w:hint="default"/>
        <w:lang w:val="en-US" w:eastAsia="en-US" w:bidi="ar-SA"/>
      </w:rPr>
    </w:lvl>
    <w:lvl w:ilvl="2" w:tplc="9F40F082">
      <w:numFmt w:val="bullet"/>
      <w:lvlText w:val="•"/>
      <w:lvlJc w:val="left"/>
      <w:pPr>
        <w:ind w:left="1096" w:hanging="361"/>
      </w:pPr>
      <w:rPr>
        <w:rFonts w:hint="default"/>
        <w:lang w:val="en-US" w:eastAsia="en-US" w:bidi="ar-SA"/>
      </w:rPr>
    </w:lvl>
    <w:lvl w:ilvl="3" w:tplc="43ACA7FC">
      <w:numFmt w:val="bullet"/>
      <w:lvlText w:val="•"/>
      <w:lvlJc w:val="left"/>
      <w:pPr>
        <w:ind w:left="1415" w:hanging="361"/>
      </w:pPr>
      <w:rPr>
        <w:rFonts w:hint="default"/>
        <w:lang w:val="en-US" w:eastAsia="en-US" w:bidi="ar-SA"/>
      </w:rPr>
    </w:lvl>
    <w:lvl w:ilvl="4" w:tplc="DEF622D8">
      <w:numFmt w:val="bullet"/>
      <w:lvlText w:val="•"/>
      <w:lvlJc w:val="left"/>
      <w:pPr>
        <w:ind w:left="1733" w:hanging="361"/>
      </w:pPr>
      <w:rPr>
        <w:rFonts w:hint="default"/>
        <w:lang w:val="en-US" w:eastAsia="en-US" w:bidi="ar-SA"/>
      </w:rPr>
    </w:lvl>
    <w:lvl w:ilvl="5" w:tplc="3E3A87BE">
      <w:numFmt w:val="bullet"/>
      <w:lvlText w:val="•"/>
      <w:lvlJc w:val="left"/>
      <w:pPr>
        <w:ind w:left="2052" w:hanging="361"/>
      </w:pPr>
      <w:rPr>
        <w:rFonts w:hint="default"/>
        <w:lang w:val="en-US" w:eastAsia="en-US" w:bidi="ar-SA"/>
      </w:rPr>
    </w:lvl>
    <w:lvl w:ilvl="6" w:tplc="0822663E">
      <w:numFmt w:val="bullet"/>
      <w:lvlText w:val="•"/>
      <w:lvlJc w:val="left"/>
      <w:pPr>
        <w:ind w:left="2370" w:hanging="361"/>
      </w:pPr>
      <w:rPr>
        <w:rFonts w:hint="default"/>
        <w:lang w:val="en-US" w:eastAsia="en-US" w:bidi="ar-SA"/>
      </w:rPr>
    </w:lvl>
    <w:lvl w:ilvl="7" w:tplc="B30696C8">
      <w:numFmt w:val="bullet"/>
      <w:lvlText w:val="•"/>
      <w:lvlJc w:val="left"/>
      <w:pPr>
        <w:ind w:left="2688" w:hanging="361"/>
      </w:pPr>
      <w:rPr>
        <w:rFonts w:hint="default"/>
        <w:lang w:val="en-US" w:eastAsia="en-US" w:bidi="ar-SA"/>
      </w:rPr>
    </w:lvl>
    <w:lvl w:ilvl="8" w:tplc="14821EB0">
      <w:numFmt w:val="bullet"/>
      <w:lvlText w:val="•"/>
      <w:lvlJc w:val="left"/>
      <w:pPr>
        <w:ind w:left="3007" w:hanging="361"/>
      </w:pPr>
      <w:rPr>
        <w:rFonts w:hint="default"/>
        <w:lang w:val="en-US" w:eastAsia="en-US" w:bidi="ar-SA"/>
      </w:rPr>
    </w:lvl>
  </w:abstractNum>
  <w:abstractNum w:abstractNumId="4" w15:restartNumberingAfterBreak="0">
    <w:nsid w:val="058568E3"/>
    <w:multiLevelType w:val="hybridMultilevel"/>
    <w:tmpl w:val="6808940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5" w15:restartNumberingAfterBreak="0">
    <w:nsid w:val="146F1A04"/>
    <w:multiLevelType w:val="hybridMultilevel"/>
    <w:tmpl w:val="A5680386"/>
    <w:lvl w:ilvl="0" w:tplc="7F72C48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D7D6CA76">
      <w:numFmt w:val="bullet"/>
      <w:lvlText w:val="o"/>
      <w:lvlJc w:val="left"/>
      <w:pPr>
        <w:ind w:left="852" w:hanging="360"/>
      </w:pPr>
      <w:rPr>
        <w:rFonts w:ascii="Courier New" w:eastAsia="Courier New" w:hAnsi="Courier New" w:cs="Courier New" w:hint="default"/>
        <w:b w:val="0"/>
        <w:bCs w:val="0"/>
        <w:i w:val="0"/>
        <w:iCs w:val="0"/>
        <w:spacing w:val="0"/>
        <w:w w:val="100"/>
        <w:sz w:val="24"/>
        <w:szCs w:val="24"/>
        <w:lang w:val="en-US" w:eastAsia="en-US" w:bidi="ar-SA"/>
      </w:rPr>
    </w:lvl>
    <w:lvl w:ilvl="2" w:tplc="A316FF48">
      <w:numFmt w:val="bullet"/>
      <w:lvlText w:val="•"/>
      <w:lvlJc w:val="left"/>
      <w:pPr>
        <w:ind w:left="1169" w:hanging="360"/>
      </w:pPr>
      <w:rPr>
        <w:rFonts w:hint="default"/>
        <w:lang w:val="en-US" w:eastAsia="en-US" w:bidi="ar-SA"/>
      </w:rPr>
    </w:lvl>
    <w:lvl w:ilvl="3" w:tplc="1BF043B8">
      <w:numFmt w:val="bullet"/>
      <w:lvlText w:val="•"/>
      <w:lvlJc w:val="left"/>
      <w:pPr>
        <w:ind w:left="1478" w:hanging="360"/>
      </w:pPr>
      <w:rPr>
        <w:rFonts w:hint="default"/>
        <w:lang w:val="en-US" w:eastAsia="en-US" w:bidi="ar-SA"/>
      </w:rPr>
    </w:lvl>
    <w:lvl w:ilvl="4" w:tplc="710090E8">
      <w:numFmt w:val="bullet"/>
      <w:lvlText w:val="•"/>
      <w:lvlJc w:val="left"/>
      <w:pPr>
        <w:ind w:left="1788" w:hanging="360"/>
      </w:pPr>
      <w:rPr>
        <w:rFonts w:hint="default"/>
        <w:lang w:val="en-US" w:eastAsia="en-US" w:bidi="ar-SA"/>
      </w:rPr>
    </w:lvl>
    <w:lvl w:ilvl="5" w:tplc="AD0C24CC">
      <w:numFmt w:val="bullet"/>
      <w:lvlText w:val="•"/>
      <w:lvlJc w:val="left"/>
      <w:pPr>
        <w:ind w:left="2097" w:hanging="360"/>
      </w:pPr>
      <w:rPr>
        <w:rFonts w:hint="default"/>
        <w:lang w:val="en-US" w:eastAsia="en-US" w:bidi="ar-SA"/>
      </w:rPr>
    </w:lvl>
    <w:lvl w:ilvl="6" w:tplc="153ACE26">
      <w:numFmt w:val="bullet"/>
      <w:lvlText w:val="•"/>
      <w:lvlJc w:val="left"/>
      <w:pPr>
        <w:ind w:left="2406" w:hanging="360"/>
      </w:pPr>
      <w:rPr>
        <w:rFonts w:hint="default"/>
        <w:lang w:val="en-US" w:eastAsia="en-US" w:bidi="ar-SA"/>
      </w:rPr>
    </w:lvl>
    <w:lvl w:ilvl="7" w:tplc="FF18F0E0">
      <w:numFmt w:val="bullet"/>
      <w:lvlText w:val="•"/>
      <w:lvlJc w:val="left"/>
      <w:pPr>
        <w:ind w:left="2716" w:hanging="360"/>
      </w:pPr>
      <w:rPr>
        <w:rFonts w:hint="default"/>
        <w:lang w:val="en-US" w:eastAsia="en-US" w:bidi="ar-SA"/>
      </w:rPr>
    </w:lvl>
    <w:lvl w:ilvl="8" w:tplc="8B20EE6A">
      <w:numFmt w:val="bullet"/>
      <w:lvlText w:val="•"/>
      <w:lvlJc w:val="left"/>
      <w:pPr>
        <w:ind w:left="3025" w:hanging="360"/>
      </w:pPr>
      <w:rPr>
        <w:rFonts w:hint="default"/>
        <w:lang w:val="en-US" w:eastAsia="en-US" w:bidi="ar-SA"/>
      </w:rPr>
    </w:lvl>
  </w:abstractNum>
  <w:abstractNum w:abstractNumId="6" w15:restartNumberingAfterBreak="0">
    <w:nsid w:val="1BEE32D0"/>
    <w:multiLevelType w:val="hybridMultilevel"/>
    <w:tmpl w:val="385A2634"/>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7" w15:restartNumberingAfterBreak="0">
    <w:nsid w:val="1C3E1F38"/>
    <w:multiLevelType w:val="hybridMultilevel"/>
    <w:tmpl w:val="AED0E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31545C"/>
    <w:multiLevelType w:val="hybridMultilevel"/>
    <w:tmpl w:val="43406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0E7B7F"/>
    <w:multiLevelType w:val="hybridMultilevel"/>
    <w:tmpl w:val="28C0B0E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0" w15:restartNumberingAfterBreak="0">
    <w:nsid w:val="51C543CE"/>
    <w:multiLevelType w:val="hybridMultilevel"/>
    <w:tmpl w:val="DDAC9C8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1" w15:restartNumberingAfterBreak="0">
    <w:nsid w:val="6AEA500C"/>
    <w:multiLevelType w:val="hybridMultilevel"/>
    <w:tmpl w:val="4B403480"/>
    <w:lvl w:ilvl="0" w:tplc="6BD2B802">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D6E46366">
      <w:numFmt w:val="bullet"/>
      <w:lvlText w:val="•"/>
      <w:lvlJc w:val="left"/>
      <w:pPr>
        <w:ind w:left="957" w:hanging="358"/>
      </w:pPr>
      <w:rPr>
        <w:rFonts w:hint="default"/>
        <w:lang w:val="en-US" w:eastAsia="en-US" w:bidi="ar-SA"/>
      </w:rPr>
    </w:lvl>
    <w:lvl w:ilvl="2" w:tplc="B0FE7320">
      <w:numFmt w:val="bullet"/>
      <w:lvlText w:val="•"/>
      <w:lvlJc w:val="left"/>
      <w:pPr>
        <w:ind w:left="1455" w:hanging="358"/>
      </w:pPr>
      <w:rPr>
        <w:rFonts w:hint="default"/>
        <w:lang w:val="en-US" w:eastAsia="en-US" w:bidi="ar-SA"/>
      </w:rPr>
    </w:lvl>
    <w:lvl w:ilvl="3" w:tplc="04383966">
      <w:numFmt w:val="bullet"/>
      <w:lvlText w:val="•"/>
      <w:lvlJc w:val="left"/>
      <w:pPr>
        <w:ind w:left="1953" w:hanging="358"/>
      </w:pPr>
      <w:rPr>
        <w:rFonts w:hint="default"/>
        <w:lang w:val="en-US" w:eastAsia="en-US" w:bidi="ar-SA"/>
      </w:rPr>
    </w:lvl>
    <w:lvl w:ilvl="4" w:tplc="7C704B32">
      <w:numFmt w:val="bullet"/>
      <w:lvlText w:val="•"/>
      <w:lvlJc w:val="left"/>
      <w:pPr>
        <w:ind w:left="2451" w:hanging="358"/>
      </w:pPr>
      <w:rPr>
        <w:rFonts w:hint="default"/>
        <w:lang w:val="en-US" w:eastAsia="en-US" w:bidi="ar-SA"/>
      </w:rPr>
    </w:lvl>
    <w:lvl w:ilvl="5" w:tplc="341A3CD6">
      <w:numFmt w:val="bullet"/>
      <w:lvlText w:val="•"/>
      <w:lvlJc w:val="left"/>
      <w:pPr>
        <w:ind w:left="2949" w:hanging="358"/>
      </w:pPr>
      <w:rPr>
        <w:rFonts w:hint="default"/>
        <w:lang w:val="en-US" w:eastAsia="en-US" w:bidi="ar-SA"/>
      </w:rPr>
    </w:lvl>
    <w:lvl w:ilvl="6" w:tplc="3FE0DF54">
      <w:numFmt w:val="bullet"/>
      <w:lvlText w:val="•"/>
      <w:lvlJc w:val="left"/>
      <w:pPr>
        <w:ind w:left="3447" w:hanging="358"/>
      </w:pPr>
      <w:rPr>
        <w:rFonts w:hint="default"/>
        <w:lang w:val="en-US" w:eastAsia="en-US" w:bidi="ar-SA"/>
      </w:rPr>
    </w:lvl>
    <w:lvl w:ilvl="7" w:tplc="5CB64E4A">
      <w:numFmt w:val="bullet"/>
      <w:lvlText w:val="•"/>
      <w:lvlJc w:val="left"/>
      <w:pPr>
        <w:ind w:left="3945" w:hanging="358"/>
      </w:pPr>
      <w:rPr>
        <w:rFonts w:hint="default"/>
        <w:lang w:val="en-US" w:eastAsia="en-US" w:bidi="ar-SA"/>
      </w:rPr>
    </w:lvl>
    <w:lvl w:ilvl="8" w:tplc="D9EE154E">
      <w:numFmt w:val="bullet"/>
      <w:lvlText w:val="•"/>
      <w:lvlJc w:val="left"/>
      <w:pPr>
        <w:ind w:left="4443" w:hanging="358"/>
      </w:pPr>
      <w:rPr>
        <w:rFonts w:hint="default"/>
        <w:lang w:val="en-US" w:eastAsia="en-US" w:bidi="ar-SA"/>
      </w:rPr>
    </w:lvl>
  </w:abstractNum>
  <w:abstractNum w:abstractNumId="12" w15:restartNumberingAfterBreak="0">
    <w:nsid w:val="6F207EB3"/>
    <w:multiLevelType w:val="hybridMultilevel"/>
    <w:tmpl w:val="D228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C701FE"/>
    <w:multiLevelType w:val="hybridMultilevel"/>
    <w:tmpl w:val="D6B6BC68"/>
    <w:lvl w:ilvl="0" w:tplc="660416A6">
      <w:start w:val="1"/>
      <w:numFmt w:val="decimal"/>
      <w:pStyle w:val="ListNumber"/>
      <w:lvlText w:val="%1."/>
      <w:lvlJc w:val="left"/>
      <w:pPr>
        <w:ind w:left="828" w:hanging="360"/>
      </w:pPr>
      <w:rPr>
        <w:rFonts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741060F6"/>
    <w:multiLevelType w:val="hybridMultilevel"/>
    <w:tmpl w:val="361EA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5149630">
    <w:abstractNumId w:val="11"/>
  </w:num>
  <w:num w:numId="2" w16cid:durableId="719017536">
    <w:abstractNumId w:val="2"/>
  </w:num>
  <w:num w:numId="3" w16cid:durableId="1744527513">
    <w:abstractNumId w:val="5"/>
  </w:num>
  <w:num w:numId="4" w16cid:durableId="304043441">
    <w:abstractNumId w:val="3"/>
  </w:num>
  <w:num w:numId="5" w16cid:durableId="1924602860">
    <w:abstractNumId w:val="10"/>
  </w:num>
  <w:num w:numId="6" w16cid:durableId="898174716">
    <w:abstractNumId w:val="7"/>
  </w:num>
  <w:num w:numId="7" w16cid:durableId="1214191322">
    <w:abstractNumId w:val="12"/>
  </w:num>
  <w:num w:numId="8" w16cid:durableId="391929244">
    <w:abstractNumId w:val="13"/>
  </w:num>
  <w:num w:numId="9" w16cid:durableId="1277832134">
    <w:abstractNumId w:val="4"/>
  </w:num>
  <w:num w:numId="10" w16cid:durableId="798448960">
    <w:abstractNumId w:val="6"/>
  </w:num>
  <w:num w:numId="11" w16cid:durableId="1563903898">
    <w:abstractNumId w:val="8"/>
  </w:num>
  <w:num w:numId="12" w16cid:durableId="1128888242">
    <w:abstractNumId w:val="9"/>
  </w:num>
  <w:num w:numId="13" w16cid:durableId="465777306">
    <w:abstractNumId w:val="14"/>
  </w:num>
  <w:num w:numId="14" w16cid:durableId="869798621">
    <w:abstractNumId w:val="1"/>
  </w:num>
  <w:num w:numId="15" w16cid:durableId="21956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6"/>
    <w:rsid w:val="00001901"/>
    <w:rsid w:val="00002FCC"/>
    <w:rsid w:val="00005983"/>
    <w:rsid w:val="000275C5"/>
    <w:rsid w:val="000344BA"/>
    <w:rsid w:val="00041178"/>
    <w:rsid w:val="00055671"/>
    <w:rsid w:val="00055F83"/>
    <w:rsid w:val="00063E3D"/>
    <w:rsid w:val="00067B29"/>
    <w:rsid w:val="00084F4D"/>
    <w:rsid w:val="000854C3"/>
    <w:rsid w:val="00085B2E"/>
    <w:rsid w:val="000948BE"/>
    <w:rsid w:val="000A02E5"/>
    <w:rsid w:val="000A121D"/>
    <w:rsid w:val="000A2E6A"/>
    <w:rsid w:val="000A46E3"/>
    <w:rsid w:val="000A4C5F"/>
    <w:rsid w:val="000C10C2"/>
    <w:rsid w:val="000C3C8C"/>
    <w:rsid w:val="000C43A4"/>
    <w:rsid w:val="000C598E"/>
    <w:rsid w:val="000D2274"/>
    <w:rsid w:val="000D47AE"/>
    <w:rsid w:val="000D72DD"/>
    <w:rsid w:val="000D7DCE"/>
    <w:rsid w:val="000E2B72"/>
    <w:rsid w:val="001006AF"/>
    <w:rsid w:val="0011069C"/>
    <w:rsid w:val="00123D5B"/>
    <w:rsid w:val="00123E7B"/>
    <w:rsid w:val="00124E7B"/>
    <w:rsid w:val="00127C08"/>
    <w:rsid w:val="001306F5"/>
    <w:rsid w:val="00136C0F"/>
    <w:rsid w:val="00145D13"/>
    <w:rsid w:val="0015312F"/>
    <w:rsid w:val="00155C77"/>
    <w:rsid w:val="00161FB4"/>
    <w:rsid w:val="0016434D"/>
    <w:rsid w:val="00172184"/>
    <w:rsid w:val="00186079"/>
    <w:rsid w:val="00192A4F"/>
    <w:rsid w:val="001937CF"/>
    <w:rsid w:val="00196A78"/>
    <w:rsid w:val="001B1356"/>
    <w:rsid w:val="001C3A71"/>
    <w:rsid w:val="001C448F"/>
    <w:rsid w:val="001C54FB"/>
    <w:rsid w:val="001D10E3"/>
    <w:rsid w:val="001D45F0"/>
    <w:rsid w:val="001E2AFF"/>
    <w:rsid w:val="001E6333"/>
    <w:rsid w:val="001F2933"/>
    <w:rsid w:val="001F5DEF"/>
    <w:rsid w:val="00200D58"/>
    <w:rsid w:val="0020715E"/>
    <w:rsid w:val="002111E1"/>
    <w:rsid w:val="00212F2B"/>
    <w:rsid w:val="00213036"/>
    <w:rsid w:val="00220DA3"/>
    <w:rsid w:val="00222CDC"/>
    <w:rsid w:val="002233CC"/>
    <w:rsid w:val="00240A3A"/>
    <w:rsid w:val="00244A5D"/>
    <w:rsid w:val="00263905"/>
    <w:rsid w:val="00286798"/>
    <w:rsid w:val="002915CC"/>
    <w:rsid w:val="00296419"/>
    <w:rsid w:val="002A07C6"/>
    <w:rsid w:val="002A6D51"/>
    <w:rsid w:val="002A78A4"/>
    <w:rsid w:val="002B02AA"/>
    <w:rsid w:val="002C0DD1"/>
    <w:rsid w:val="002C5E23"/>
    <w:rsid w:val="002F10AD"/>
    <w:rsid w:val="002F565F"/>
    <w:rsid w:val="002F5BAE"/>
    <w:rsid w:val="002F7852"/>
    <w:rsid w:val="00301226"/>
    <w:rsid w:val="003034FC"/>
    <w:rsid w:val="003066B3"/>
    <w:rsid w:val="003131DF"/>
    <w:rsid w:val="00317281"/>
    <w:rsid w:val="00317D0D"/>
    <w:rsid w:val="003212E4"/>
    <w:rsid w:val="003233E4"/>
    <w:rsid w:val="003268AD"/>
    <w:rsid w:val="00346998"/>
    <w:rsid w:val="003566EB"/>
    <w:rsid w:val="00357A8B"/>
    <w:rsid w:val="00364A9E"/>
    <w:rsid w:val="00365503"/>
    <w:rsid w:val="00371688"/>
    <w:rsid w:val="003765CD"/>
    <w:rsid w:val="003852CE"/>
    <w:rsid w:val="00386B17"/>
    <w:rsid w:val="00387C06"/>
    <w:rsid w:val="0039542B"/>
    <w:rsid w:val="003B05DC"/>
    <w:rsid w:val="003B1E5D"/>
    <w:rsid w:val="003B56E3"/>
    <w:rsid w:val="003B613B"/>
    <w:rsid w:val="003C380D"/>
    <w:rsid w:val="003C3C47"/>
    <w:rsid w:val="003D0DE2"/>
    <w:rsid w:val="003D3672"/>
    <w:rsid w:val="003E5DBA"/>
    <w:rsid w:val="003F7AC6"/>
    <w:rsid w:val="0040625B"/>
    <w:rsid w:val="004110D0"/>
    <w:rsid w:val="00411168"/>
    <w:rsid w:val="004138C5"/>
    <w:rsid w:val="0042208E"/>
    <w:rsid w:val="00426821"/>
    <w:rsid w:val="00427EFF"/>
    <w:rsid w:val="004307CE"/>
    <w:rsid w:val="004340EC"/>
    <w:rsid w:val="00443B55"/>
    <w:rsid w:val="00445B3E"/>
    <w:rsid w:val="00466F28"/>
    <w:rsid w:val="00467EFC"/>
    <w:rsid w:val="00472035"/>
    <w:rsid w:val="004720B4"/>
    <w:rsid w:val="004742D3"/>
    <w:rsid w:val="00484F4A"/>
    <w:rsid w:val="00491C28"/>
    <w:rsid w:val="0049690D"/>
    <w:rsid w:val="00497BB2"/>
    <w:rsid w:val="004A1281"/>
    <w:rsid w:val="004B25D3"/>
    <w:rsid w:val="004C171D"/>
    <w:rsid w:val="004C5262"/>
    <w:rsid w:val="004D1125"/>
    <w:rsid w:val="004D3152"/>
    <w:rsid w:val="004D541C"/>
    <w:rsid w:val="004D55AD"/>
    <w:rsid w:val="004F3EDB"/>
    <w:rsid w:val="00501A3B"/>
    <w:rsid w:val="005028EA"/>
    <w:rsid w:val="005071A0"/>
    <w:rsid w:val="005110FF"/>
    <w:rsid w:val="00521434"/>
    <w:rsid w:val="005225B0"/>
    <w:rsid w:val="00522C5C"/>
    <w:rsid w:val="0052318E"/>
    <w:rsid w:val="00524A6B"/>
    <w:rsid w:val="00524D7F"/>
    <w:rsid w:val="005265B6"/>
    <w:rsid w:val="005309D8"/>
    <w:rsid w:val="00530A92"/>
    <w:rsid w:val="00530B99"/>
    <w:rsid w:val="00533181"/>
    <w:rsid w:val="005429AE"/>
    <w:rsid w:val="0055400D"/>
    <w:rsid w:val="005602FF"/>
    <w:rsid w:val="00561416"/>
    <w:rsid w:val="005619EF"/>
    <w:rsid w:val="00566E85"/>
    <w:rsid w:val="00571727"/>
    <w:rsid w:val="0057187B"/>
    <w:rsid w:val="0057326E"/>
    <w:rsid w:val="00583468"/>
    <w:rsid w:val="00583BBA"/>
    <w:rsid w:val="005972FD"/>
    <w:rsid w:val="005C0A8F"/>
    <w:rsid w:val="005C203B"/>
    <w:rsid w:val="005D52E2"/>
    <w:rsid w:val="005F11F9"/>
    <w:rsid w:val="005F7140"/>
    <w:rsid w:val="005F7B6D"/>
    <w:rsid w:val="00600069"/>
    <w:rsid w:val="00602FC7"/>
    <w:rsid w:val="00606365"/>
    <w:rsid w:val="00611982"/>
    <w:rsid w:val="006208B6"/>
    <w:rsid w:val="006215F6"/>
    <w:rsid w:val="00631B0F"/>
    <w:rsid w:val="0063245F"/>
    <w:rsid w:val="006427C3"/>
    <w:rsid w:val="00645426"/>
    <w:rsid w:val="00656D73"/>
    <w:rsid w:val="00657C01"/>
    <w:rsid w:val="00661FB3"/>
    <w:rsid w:val="00674E11"/>
    <w:rsid w:val="006755F3"/>
    <w:rsid w:val="00681E64"/>
    <w:rsid w:val="00683744"/>
    <w:rsid w:val="006A00E7"/>
    <w:rsid w:val="006A0293"/>
    <w:rsid w:val="006A1D6E"/>
    <w:rsid w:val="006B2848"/>
    <w:rsid w:val="006B2F36"/>
    <w:rsid w:val="006C0579"/>
    <w:rsid w:val="006C0E7E"/>
    <w:rsid w:val="006C45DE"/>
    <w:rsid w:val="006C4D8E"/>
    <w:rsid w:val="006C5406"/>
    <w:rsid w:val="006C6041"/>
    <w:rsid w:val="006D7DF0"/>
    <w:rsid w:val="006E223D"/>
    <w:rsid w:val="006E309A"/>
    <w:rsid w:val="006E4E0B"/>
    <w:rsid w:val="006F1110"/>
    <w:rsid w:val="006F115B"/>
    <w:rsid w:val="006F4151"/>
    <w:rsid w:val="007012F7"/>
    <w:rsid w:val="007115A3"/>
    <w:rsid w:val="00713157"/>
    <w:rsid w:val="007139E5"/>
    <w:rsid w:val="007153AA"/>
    <w:rsid w:val="007174FA"/>
    <w:rsid w:val="0072323A"/>
    <w:rsid w:val="007241B1"/>
    <w:rsid w:val="00726C94"/>
    <w:rsid w:val="007365B1"/>
    <w:rsid w:val="00737EA6"/>
    <w:rsid w:val="00744644"/>
    <w:rsid w:val="0074691F"/>
    <w:rsid w:val="00746EFA"/>
    <w:rsid w:val="007531B4"/>
    <w:rsid w:val="00767C6D"/>
    <w:rsid w:val="00786E1E"/>
    <w:rsid w:val="007873C9"/>
    <w:rsid w:val="007A3BC7"/>
    <w:rsid w:val="007B5E7B"/>
    <w:rsid w:val="007B6EBB"/>
    <w:rsid w:val="007C1D9E"/>
    <w:rsid w:val="007C4BAD"/>
    <w:rsid w:val="007D73BE"/>
    <w:rsid w:val="007D76E2"/>
    <w:rsid w:val="007E0B5C"/>
    <w:rsid w:val="007E0C41"/>
    <w:rsid w:val="007E34F4"/>
    <w:rsid w:val="007E4F8F"/>
    <w:rsid w:val="007F0C9E"/>
    <w:rsid w:val="007F1BA5"/>
    <w:rsid w:val="007F4DC2"/>
    <w:rsid w:val="00800034"/>
    <w:rsid w:val="00807B19"/>
    <w:rsid w:val="0081242D"/>
    <w:rsid w:val="00816001"/>
    <w:rsid w:val="00820F32"/>
    <w:rsid w:val="00827080"/>
    <w:rsid w:val="0083419E"/>
    <w:rsid w:val="00835693"/>
    <w:rsid w:val="0084032E"/>
    <w:rsid w:val="00845D9B"/>
    <w:rsid w:val="00850ADA"/>
    <w:rsid w:val="00852D75"/>
    <w:rsid w:val="008554F8"/>
    <w:rsid w:val="00856346"/>
    <w:rsid w:val="00856E88"/>
    <w:rsid w:val="00864CFE"/>
    <w:rsid w:val="00872436"/>
    <w:rsid w:val="00872D16"/>
    <w:rsid w:val="00880238"/>
    <w:rsid w:val="008851FC"/>
    <w:rsid w:val="00886772"/>
    <w:rsid w:val="00895A33"/>
    <w:rsid w:val="008970D0"/>
    <w:rsid w:val="0089716C"/>
    <w:rsid w:val="008A39EC"/>
    <w:rsid w:val="008B6229"/>
    <w:rsid w:val="008B7F33"/>
    <w:rsid w:val="008C788A"/>
    <w:rsid w:val="008D3072"/>
    <w:rsid w:val="008D4989"/>
    <w:rsid w:val="009021F0"/>
    <w:rsid w:val="009110EF"/>
    <w:rsid w:val="00924471"/>
    <w:rsid w:val="009276EE"/>
    <w:rsid w:val="00932F77"/>
    <w:rsid w:val="00935F21"/>
    <w:rsid w:val="00957B89"/>
    <w:rsid w:val="00962FC5"/>
    <w:rsid w:val="0097332C"/>
    <w:rsid w:val="00984828"/>
    <w:rsid w:val="00985559"/>
    <w:rsid w:val="00986A12"/>
    <w:rsid w:val="00986D27"/>
    <w:rsid w:val="00987D28"/>
    <w:rsid w:val="00992FAD"/>
    <w:rsid w:val="00994C5C"/>
    <w:rsid w:val="009959EC"/>
    <w:rsid w:val="00997587"/>
    <w:rsid w:val="00997874"/>
    <w:rsid w:val="009B65E5"/>
    <w:rsid w:val="009C340F"/>
    <w:rsid w:val="009C4AFA"/>
    <w:rsid w:val="009D0399"/>
    <w:rsid w:val="009D23EA"/>
    <w:rsid w:val="009E3B04"/>
    <w:rsid w:val="00A0702C"/>
    <w:rsid w:val="00A15278"/>
    <w:rsid w:val="00A17F8D"/>
    <w:rsid w:val="00A20892"/>
    <w:rsid w:val="00A21DB5"/>
    <w:rsid w:val="00A3785D"/>
    <w:rsid w:val="00A4097D"/>
    <w:rsid w:val="00A42B22"/>
    <w:rsid w:val="00A458FD"/>
    <w:rsid w:val="00A461DA"/>
    <w:rsid w:val="00A517E9"/>
    <w:rsid w:val="00A64F65"/>
    <w:rsid w:val="00A72F70"/>
    <w:rsid w:val="00A74F26"/>
    <w:rsid w:val="00A7643F"/>
    <w:rsid w:val="00A76DD7"/>
    <w:rsid w:val="00A80B73"/>
    <w:rsid w:val="00A8121C"/>
    <w:rsid w:val="00A819C9"/>
    <w:rsid w:val="00A905D5"/>
    <w:rsid w:val="00A90980"/>
    <w:rsid w:val="00A925B9"/>
    <w:rsid w:val="00A9267B"/>
    <w:rsid w:val="00A9324C"/>
    <w:rsid w:val="00A961FD"/>
    <w:rsid w:val="00AA03E6"/>
    <w:rsid w:val="00AB1530"/>
    <w:rsid w:val="00AC4F62"/>
    <w:rsid w:val="00AD07B2"/>
    <w:rsid w:val="00AD6E43"/>
    <w:rsid w:val="00AE2FCE"/>
    <w:rsid w:val="00AE4E75"/>
    <w:rsid w:val="00AF5A75"/>
    <w:rsid w:val="00B01984"/>
    <w:rsid w:val="00B05D5A"/>
    <w:rsid w:val="00B07499"/>
    <w:rsid w:val="00B1043D"/>
    <w:rsid w:val="00B1175E"/>
    <w:rsid w:val="00B15380"/>
    <w:rsid w:val="00B27886"/>
    <w:rsid w:val="00B37205"/>
    <w:rsid w:val="00B376D3"/>
    <w:rsid w:val="00B442C0"/>
    <w:rsid w:val="00B500D4"/>
    <w:rsid w:val="00B547CE"/>
    <w:rsid w:val="00B56A60"/>
    <w:rsid w:val="00B707D5"/>
    <w:rsid w:val="00B72A83"/>
    <w:rsid w:val="00B76395"/>
    <w:rsid w:val="00B8232B"/>
    <w:rsid w:val="00B91199"/>
    <w:rsid w:val="00B95D0E"/>
    <w:rsid w:val="00BA067B"/>
    <w:rsid w:val="00BA14EF"/>
    <w:rsid w:val="00BA1A08"/>
    <w:rsid w:val="00BA2861"/>
    <w:rsid w:val="00BB1E99"/>
    <w:rsid w:val="00BB464C"/>
    <w:rsid w:val="00BC1A72"/>
    <w:rsid w:val="00BC472F"/>
    <w:rsid w:val="00BC71D3"/>
    <w:rsid w:val="00BD05AF"/>
    <w:rsid w:val="00BD1464"/>
    <w:rsid w:val="00BD6909"/>
    <w:rsid w:val="00BE50D5"/>
    <w:rsid w:val="00BE5F9C"/>
    <w:rsid w:val="00C008E8"/>
    <w:rsid w:val="00C12AB8"/>
    <w:rsid w:val="00C14659"/>
    <w:rsid w:val="00C14826"/>
    <w:rsid w:val="00C43AFE"/>
    <w:rsid w:val="00C4461D"/>
    <w:rsid w:val="00C65AF2"/>
    <w:rsid w:val="00C72D4E"/>
    <w:rsid w:val="00C821BD"/>
    <w:rsid w:val="00C85C49"/>
    <w:rsid w:val="00C9200F"/>
    <w:rsid w:val="00C945F8"/>
    <w:rsid w:val="00CA24CD"/>
    <w:rsid w:val="00CB0FF7"/>
    <w:rsid w:val="00CB3403"/>
    <w:rsid w:val="00CD0036"/>
    <w:rsid w:val="00CD22C9"/>
    <w:rsid w:val="00CD47D1"/>
    <w:rsid w:val="00CD5510"/>
    <w:rsid w:val="00CE43AE"/>
    <w:rsid w:val="00CF797E"/>
    <w:rsid w:val="00D051B3"/>
    <w:rsid w:val="00D136CE"/>
    <w:rsid w:val="00D141CF"/>
    <w:rsid w:val="00D233E8"/>
    <w:rsid w:val="00D323F2"/>
    <w:rsid w:val="00D32C2B"/>
    <w:rsid w:val="00D34FE1"/>
    <w:rsid w:val="00D35019"/>
    <w:rsid w:val="00D37ECA"/>
    <w:rsid w:val="00D469AD"/>
    <w:rsid w:val="00D477EB"/>
    <w:rsid w:val="00D5037C"/>
    <w:rsid w:val="00D53756"/>
    <w:rsid w:val="00D54837"/>
    <w:rsid w:val="00D54AD4"/>
    <w:rsid w:val="00D62FFA"/>
    <w:rsid w:val="00D64DC9"/>
    <w:rsid w:val="00D6724C"/>
    <w:rsid w:val="00D7261B"/>
    <w:rsid w:val="00D8226A"/>
    <w:rsid w:val="00D83656"/>
    <w:rsid w:val="00D846D4"/>
    <w:rsid w:val="00D86C98"/>
    <w:rsid w:val="00D94A34"/>
    <w:rsid w:val="00D97240"/>
    <w:rsid w:val="00DA1427"/>
    <w:rsid w:val="00DA2A39"/>
    <w:rsid w:val="00DA7CCD"/>
    <w:rsid w:val="00DB661C"/>
    <w:rsid w:val="00DC3C9F"/>
    <w:rsid w:val="00DE122E"/>
    <w:rsid w:val="00DF074D"/>
    <w:rsid w:val="00E00EB8"/>
    <w:rsid w:val="00E05CC8"/>
    <w:rsid w:val="00E07FA2"/>
    <w:rsid w:val="00E145D6"/>
    <w:rsid w:val="00E16EB7"/>
    <w:rsid w:val="00E23FE9"/>
    <w:rsid w:val="00E2440D"/>
    <w:rsid w:val="00E27AEE"/>
    <w:rsid w:val="00E336BA"/>
    <w:rsid w:val="00E36A1B"/>
    <w:rsid w:val="00E370FB"/>
    <w:rsid w:val="00E41393"/>
    <w:rsid w:val="00E42AB1"/>
    <w:rsid w:val="00E42B1D"/>
    <w:rsid w:val="00E53BDF"/>
    <w:rsid w:val="00E6527D"/>
    <w:rsid w:val="00E723F6"/>
    <w:rsid w:val="00E73EE0"/>
    <w:rsid w:val="00E75DA8"/>
    <w:rsid w:val="00E7756E"/>
    <w:rsid w:val="00E80762"/>
    <w:rsid w:val="00E80A0E"/>
    <w:rsid w:val="00E824E3"/>
    <w:rsid w:val="00E841B1"/>
    <w:rsid w:val="00E93379"/>
    <w:rsid w:val="00E971DD"/>
    <w:rsid w:val="00EA7575"/>
    <w:rsid w:val="00EA7A27"/>
    <w:rsid w:val="00EB1516"/>
    <w:rsid w:val="00EB28B2"/>
    <w:rsid w:val="00EC5693"/>
    <w:rsid w:val="00EC634F"/>
    <w:rsid w:val="00EC77D0"/>
    <w:rsid w:val="00ED5A2A"/>
    <w:rsid w:val="00EE76C2"/>
    <w:rsid w:val="00F05B0F"/>
    <w:rsid w:val="00F07934"/>
    <w:rsid w:val="00F131CE"/>
    <w:rsid w:val="00F14435"/>
    <w:rsid w:val="00F20818"/>
    <w:rsid w:val="00F240F2"/>
    <w:rsid w:val="00F241B6"/>
    <w:rsid w:val="00F349CB"/>
    <w:rsid w:val="00F35D77"/>
    <w:rsid w:val="00F5362E"/>
    <w:rsid w:val="00F537FA"/>
    <w:rsid w:val="00F61C22"/>
    <w:rsid w:val="00F622FA"/>
    <w:rsid w:val="00F6435D"/>
    <w:rsid w:val="00F701C2"/>
    <w:rsid w:val="00F7035A"/>
    <w:rsid w:val="00F70D5C"/>
    <w:rsid w:val="00F75066"/>
    <w:rsid w:val="00F87304"/>
    <w:rsid w:val="00F90524"/>
    <w:rsid w:val="00F92F77"/>
    <w:rsid w:val="00F9711B"/>
    <w:rsid w:val="00FA446A"/>
    <w:rsid w:val="00FB14E6"/>
    <w:rsid w:val="00FB4C1C"/>
    <w:rsid w:val="00FC11CA"/>
    <w:rsid w:val="00FC35C2"/>
    <w:rsid w:val="00FC4CAC"/>
    <w:rsid w:val="00FC7984"/>
    <w:rsid w:val="00FD1333"/>
    <w:rsid w:val="00FD472F"/>
    <w:rsid w:val="00FD4B79"/>
    <w:rsid w:val="00FD60FD"/>
    <w:rsid w:val="00FE0DD9"/>
    <w:rsid w:val="00FE494E"/>
    <w:rsid w:val="00FF69CE"/>
    <w:rsid w:val="00FF7083"/>
    <w:rsid w:val="0307F1B8"/>
    <w:rsid w:val="032A3344"/>
    <w:rsid w:val="0435D09D"/>
    <w:rsid w:val="045FEC24"/>
    <w:rsid w:val="08EB931D"/>
    <w:rsid w:val="097355E4"/>
    <w:rsid w:val="0999283D"/>
    <w:rsid w:val="0B534811"/>
    <w:rsid w:val="0B9C802C"/>
    <w:rsid w:val="0BA8D748"/>
    <w:rsid w:val="0C7B0977"/>
    <w:rsid w:val="0CF989CE"/>
    <w:rsid w:val="10591FAE"/>
    <w:rsid w:val="1591ABD4"/>
    <w:rsid w:val="1B9B24A2"/>
    <w:rsid w:val="1BAA52EA"/>
    <w:rsid w:val="1C90BF83"/>
    <w:rsid w:val="1F5686A7"/>
    <w:rsid w:val="223E1FFD"/>
    <w:rsid w:val="22829996"/>
    <w:rsid w:val="2431EA48"/>
    <w:rsid w:val="243E5777"/>
    <w:rsid w:val="25345631"/>
    <w:rsid w:val="2A779416"/>
    <w:rsid w:val="2BA10CD2"/>
    <w:rsid w:val="2D3F65D3"/>
    <w:rsid w:val="2FB29D41"/>
    <w:rsid w:val="2FBD5715"/>
    <w:rsid w:val="30F9EB72"/>
    <w:rsid w:val="32960E5E"/>
    <w:rsid w:val="3319167F"/>
    <w:rsid w:val="3433AD75"/>
    <w:rsid w:val="34F5540A"/>
    <w:rsid w:val="36AE15C4"/>
    <w:rsid w:val="37AC78E0"/>
    <w:rsid w:val="38D05C9F"/>
    <w:rsid w:val="39D0F5B8"/>
    <w:rsid w:val="3A60C559"/>
    <w:rsid w:val="3CEAB009"/>
    <w:rsid w:val="3D054763"/>
    <w:rsid w:val="41A9397C"/>
    <w:rsid w:val="4245474A"/>
    <w:rsid w:val="42D9D8F8"/>
    <w:rsid w:val="43EA21B8"/>
    <w:rsid w:val="461F7F0C"/>
    <w:rsid w:val="47007385"/>
    <w:rsid w:val="49ABED15"/>
    <w:rsid w:val="49FD2846"/>
    <w:rsid w:val="4A5C25A8"/>
    <w:rsid w:val="4CB255F1"/>
    <w:rsid w:val="4CB4C3C7"/>
    <w:rsid w:val="4CD79444"/>
    <w:rsid w:val="4EF26045"/>
    <w:rsid w:val="5081BF77"/>
    <w:rsid w:val="50BF6CDE"/>
    <w:rsid w:val="50EF2056"/>
    <w:rsid w:val="5165FCF9"/>
    <w:rsid w:val="52957C17"/>
    <w:rsid w:val="530A0AA3"/>
    <w:rsid w:val="53892EB4"/>
    <w:rsid w:val="53E79EDE"/>
    <w:rsid w:val="54DD2D02"/>
    <w:rsid w:val="54E204B1"/>
    <w:rsid w:val="592E522F"/>
    <w:rsid w:val="59B85443"/>
    <w:rsid w:val="5C320F44"/>
    <w:rsid w:val="5C363496"/>
    <w:rsid w:val="5DC09CA6"/>
    <w:rsid w:val="5F4AD268"/>
    <w:rsid w:val="5F8ABFFF"/>
    <w:rsid w:val="60427706"/>
    <w:rsid w:val="60A2263F"/>
    <w:rsid w:val="61E9102A"/>
    <w:rsid w:val="62ADA0E1"/>
    <w:rsid w:val="64828C80"/>
    <w:rsid w:val="6626A4A6"/>
    <w:rsid w:val="66878D4F"/>
    <w:rsid w:val="6758AFF3"/>
    <w:rsid w:val="69ADB85F"/>
    <w:rsid w:val="6D8A858E"/>
    <w:rsid w:val="6DDD2B7A"/>
    <w:rsid w:val="6E6BB62B"/>
    <w:rsid w:val="6FD3F07C"/>
    <w:rsid w:val="6FFD34D8"/>
    <w:rsid w:val="70200EF4"/>
    <w:rsid w:val="7027E3F7"/>
    <w:rsid w:val="7197BE8C"/>
    <w:rsid w:val="7301C45D"/>
    <w:rsid w:val="735E5E0A"/>
    <w:rsid w:val="744FF4E9"/>
    <w:rsid w:val="7510D7A9"/>
    <w:rsid w:val="790A9A9F"/>
    <w:rsid w:val="796E6D48"/>
    <w:rsid w:val="7C41DE71"/>
    <w:rsid w:val="7CA63B92"/>
    <w:rsid w:val="7EB264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5C90"/>
  <w15:docId w15:val="{C058BFA6-417E-4CDC-8127-2602E42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A8"/>
    <w:rPr>
      <w:rFonts w:ascii="Calibri" w:eastAsia="Calibri" w:hAnsi="Calibri" w:cs="Calibri"/>
    </w:rPr>
  </w:style>
  <w:style w:type="paragraph" w:styleId="Heading3">
    <w:name w:val="heading 3"/>
    <w:basedOn w:val="Normal"/>
    <w:link w:val="Heading3Char"/>
    <w:uiPriority w:val="9"/>
    <w:qFormat/>
    <w:rsid w:val="00E93379"/>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b/>
      <w:bCs/>
      <w:i/>
      <w:iCs/>
      <w:sz w:val="24"/>
      <w:szCs w:val="24"/>
    </w:rPr>
  </w:style>
  <w:style w:type="paragraph" w:styleId="Title">
    <w:name w:val="Title"/>
    <w:basedOn w:val="Normal"/>
    <w:uiPriority w:val="10"/>
    <w:qFormat/>
    <w:rsid w:val="00E75DA8"/>
    <w:pPr>
      <w:spacing w:before="240" w:after="240" w:line="276" w:lineRule="auto"/>
      <w:ind w:left="794" w:right="794"/>
      <w:jc w:val="center"/>
    </w:pPr>
    <w:rPr>
      <w:rFonts w:ascii="Verdana" w:eastAsia="Verdana" w:hAnsi="Verdana" w:cs="Verdana"/>
      <w:b/>
      <w:bCs/>
      <w:sz w:val="24"/>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E75DA8"/>
    <w:pPr>
      <w:spacing w:before="60" w:after="60"/>
    </w:pPr>
  </w:style>
  <w:style w:type="paragraph" w:styleId="Header">
    <w:name w:val="header"/>
    <w:basedOn w:val="Normal"/>
    <w:link w:val="HeaderChar"/>
    <w:uiPriority w:val="99"/>
    <w:unhideWhenUsed/>
    <w:rsid w:val="00BD1464"/>
    <w:pPr>
      <w:tabs>
        <w:tab w:val="center" w:pos="4513"/>
        <w:tab w:val="right" w:pos="9026"/>
      </w:tabs>
    </w:pPr>
  </w:style>
  <w:style w:type="character" w:customStyle="1" w:styleId="HeaderChar">
    <w:name w:val="Header Char"/>
    <w:basedOn w:val="DefaultParagraphFont"/>
    <w:link w:val="Header"/>
    <w:uiPriority w:val="99"/>
    <w:rsid w:val="00BD1464"/>
    <w:rPr>
      <w:rFonts w:ascii="Calibri" w:eastAsia="Calibri" w:hAnsi="Calibri" w:cs="Calibri"/>
    </w:rPr>
  </w:style>
  <w:style w:type="paragraph" w:styleId="Footer">
    <w:name w:val="footer"/>
    <w:basedOn w:val="Normal"/>
    <w:link w:val="FooterChar"/>
    <w:uiPriority w:val="99"/>
    <w:unhideWhenUsed/>
    <w:rsid w:val="00BD1464"/>
    <w:pPr>
      <w:tabs>
        <w:tab w:val="center" w:pos="4513"/>
        <w:tab w:val="right" w:pos="9026"/>
      </w:tabs>
    </w:pPr>
  </w:style>
  <w:style w:type="character" w:customStyle="1" w:styleId="FooterChar">
    <w:name w:val="Footer Char"/>
    <w:basedOn w:val="DefaultParagraphFont"/>
    <w:link w:val="Footer"/>
    <w:uiPriority w:val="99"/>
    <w:rsid w:val="00BD1464"/>
    <w:rPr>
      <w:rFonts w:ascii="Calibri" w:eastAsia="Calibri" w:hAnsi="Calibri" w:cs="Calibri"/>
    </w:rPr>
  </w:style>
  <w:style w:type="character" w:styleId="CommentReference">
    <w:name w:val="annotation reference"/>
    <w:basedOn w:val="DefaultParagraphFont"/>
    <w:semiHidden/>
    <w:unhideWhenUsed/>
    <w:rsid w:val="00BD1464"/>
    <w:rPr>
      <w:sz w:val="16"/>
      <w:szCs w:val="16"/>
    </w:rPr>
  </w:style>
  <w:style w:type="paragraph" w:styleId="CommentText">
    <w:name w:val="annotation text"/>
    <w:basedOn w:val="Normal"/>
    <w:link w:val="CommentTextChar"/>
    <w:unhideWhenUsed/>
    <w:rsid w:val="00BD1464"/>
    <w:rPr>
      <w:sz w:val="20"/>
      <w:szCs w:val="20"/>
    </w:rPr>
  </w:style>
  <w:style w:type="character" w:customStyle="1" w:styleId="CommentTextChar">
    <w:name w:val="Comment Text Char"/>
    <w:basedOn w:val="DefaultParagraphFont"/>
    <w:link w:val="CommentText"/>
    <w:rsid w:val="00BD14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464"/>
    <w:rPr>
      <w:b/>
      <w:bCs/>
    </w:rPr>
  </w:style>
  <w:style w:type="character" w:customStyle="1" w:styleId="CommentSubjectChar">
    <w:name w:val="Comment Subject Char"/>
    <w:basedOn w:val="CommentTextChar"/>
    <w:link w:val="CommentSubject"/>
    <w:uiPriority w:val="99"/>
    <w:semiHidden/>
    <w:rsid w:val="00BD1464"/>
    <w:rPr>
      <w:rFonts w:ascii="Calibri" w:eastAsia="Calibri" w:hAnsi="Calibri" w:cs="Calibri"/>
      <w:b/>
      <w:bCs/>
      <w:sz w:val="20"/>
      <w:szCs w:val="20"/>
    </w:rPr>
  </w:style>
  <w:style w:type="paragraph" w:styleId="Revision">
    <w:name w:val="Revision"/>
    <w:hidden/>
    <w:uiPriority w:val="99"/>
    <w:semiHidden/>
    <w:rsid w:val="00EC5693"/>
    <w:pPr>
      <w:widowControl/>
      <w:autoSpaceDE/>
      <w:autoSpaceDN/>
    </w:pPr>
    <w:rPr>
      <w:rFonts w:ascii="Calibri" w:eastAsia="Calibri" w:hAnsi="Calibri" w:cs="Calibri"/>
    </w:rPr>
  </w:style>
  <w:style w:type="character" w:styleId="Hyperlink">
    <w:name w:val="Hyperlink"/>
    <w:basedOn w:val="DefaultParagraphFont"/>
    <w:uiPriority w:val="99"/>
    <w:unhideWhenUsed/>
    <w:qFormat/>
    <w:rsid w:val="00FB4C1C"/>
    <w:rPr>
      <w:color w:val="0000FF" w:themeColor="hyperlink"/>
      <w:u w:val="single"/>
    </w:rPr>
  </w:style>
  <w:style w:type="character" w:styleId="UnresolvedMention">
    <w:name w:val="Unresolved Mention"/>
    <w:basedOn w:val="DefaultParagraphFont"/>
    <w:uiPriority w:val="99"/>
    <w:semiHidden/>
    <w:unhideWhenUsed/>
    <w:rsid w:val="00FB4C1C"/>
    <w:rPr>
      <w:color w:val="605E5C"/>
      <w:shd w:val="clear" w:color="auto" w:fill="E1DFDD"/>
    </w:rPr>
  </w:style>
  <w:style w:type="paragraph" w:customStyle="1" w:styleId="Paragraphtext">
    <w:name w:val="Paragraph text"/>
    <w:basedOn w:val="Normal"/>
    <w:qFormat/>
    <w:rsid w:val="00932F77"/>
    <w:pPr>
      <w:widowControl/>
      <w:autoSpaceDE/>
      <w:autoSpaceDN/>
      <w:spacing w:before="120" w:after="120"/>
    </w:pPr>
    <w:rPr>
      <w:rFonts w:ascii="Arial" w:eastAsia="Times New Roman" w:hAnsi="Arial" w:cs="Times New Roman"/>
      <w:color w:val="000000" w:themeColor="text1"/>
      <w:sz w:val="21"/>
      <w:szCs w:val="24"/>
      <w:lang w:val="en-AU"/>
    </w:rPr>
  </w:style>
  <w:style w:type="character" w:customStyle="1" w:styleId="Heading3Char">
    <w:name w:val="Heading 3 Char"/>
    <w:basedOn w:val="DefaultParagraphFont"/>
    <w:link w:val="Heading3"/>
    <w:uiPriority w:val="9"/>
    <w:rsid w:val="00E93379"/>
    <w:rPr>
      <w:rFonts w:ascii="Times New Roman" w:eastAsia="Times New Roman" w:hAnsi="Times New Roman" w:cs="Times New Roman"/>
      <w:b/>
      <w:bCs/>
      <w:sz w:val="27"/>
      <w:szCs w:val="27"/>
      <w:lang w:val="en-AU" w:eastAsia="en-AU"/>
    </w:rPr>
  </w:style>
  <w:style w:type="character" w:styleId="FollowedHyperlink">
    <w:name w:val="FollowedHyperlink"/>
    <w:basedOn w:val="DefaultParagraphFont"/>
    <w:uiPriority w:val="99"/>
    <w:semiHidden/>
    <w:unhideWhenUsed/>
    <w:rsid w:val="009021F0"/>
    <w:rPr>
      <w:color w:val="800080" w:themeColor="followedHyperlink"/>
      <w:u w:val="single"/>
    </w:rPr>
  </w:style>
  <w:style w:type="character" w:customStyle="1" w:styleId="cf01">
    <w:name w:val="cf01"/>
    <w:basedOn w:val="DefaultParagraphFont"/>
    <w:rsid w:val="00E23FE9"/>
    <w:rPr>
      <w:rFonts w:ascii="Segoe UI" w:hAnsi="Segoe UI" w:cs="Segoe UI" w:hint="default"/>
      <w:sz w:val="18"/>
      <w:szCs w:val="18"/>
    </w:rPr>
  </w:style>
  <w:style w:type="paragraph" w:customStyle="1" w:styleId="pf0">
    <w:name w:val="pf0"/>
    <w:basedOn w:val="Normal"/>
    <w:rsid w:val="008D3072"/>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unhideWhenUsed/>
    <w:rsid w:val="008D3072"/>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PlainTable2">
    <w:name w:val="Plain Table 2"/>
    <w:basedOn w:val="TableNormal"/>
    <w:uiPriority w:val="42"/>
    <w:rsid w:val="00B153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Pr/>
      <w:tcPr>
        <w:shd w:val="clear" w:color="auto" w:fill="DBE5F1" w:themeFill="accent1" w:themeFillTint="33"/>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5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75DA8"/>
    <w:pPr>
      <w:numPr>
        <w:numId w:val="14"/>
      </w:numPr>
      <w:spacing w:before="60" w:after="60"/>
      <w:ind w:left="357" w:hanging="357"/>
    </w:pPr>
  </w:style>
  <w:style w:type="paragraph" w:styleId="ListNumber">
    <w:name w:val="List Number"/>
    <w:basedOn w:val="TableParagraph"/>
    <w:uiPriority w:val="99"/>
    <w:unhideWhenUsed/>
    <w:rsid w:val="00E75DA8"/>
    <w:pPr>
      <w:numPr>
        <w:numId w:val="8"/>
      </w:numPr>
      <w:spacing w:before="116"/>
      <w:ind w:left="470" w:right="170" w:hanging="357"/>
    </w:pPr>
    <w:rPr>
      <w:lang w:val="en-AU"/>
    </w:rPr>
  </w:style>
  <w:style w:type="paragraph" w:customStyle="1" w:styleId="Tabletextindent">
    <w:name w:val="Table text (indent)"/>
    <w:basedOn w:val="TableParagraph"/>
    <w:link w:val="TabletextindentChar"/>
    <w:qFormat/>
    <w:rsid w:val="00E75DA8"/>
    <w:pPr>
      <w:ind w:left="301"/>
    </w:pPr>
    <w:rPr>
      <w:lang w:val="en-AU"/>
    </w:rPr>
  </w:style>
  <w:style w:type="character" w:customStyle="1" w:styleId="TableParagraphChar">
    <w:name w:val="Table Paragraph Char"/>
    <w:basedOn w:val="DefaultParagraphFont"/>
    <w:link w:val="TableParagraph"/>
    <w:uiPriority w:val="1"/>
    <w:rsid w:val="00E75DA8"/>
    <w:rPr>
      <w:rFonts w:ascii="Calibri" w:eastAsia="Calibri" w:hAnsi="Calibri" w:cs="Calibri"/>
    </w:rPr>
  </w:style>
  <w:style w:type="character" w:customStyle="1" w:styleId="TabletextindentChar">
    <w:name w:val="Table text (indent) Char"/>
    <w:basedOn w:val="TableParagraphChar"/>
    <w:link w:val="Tabletextindent"/>
    <w:rsid w:val="00E75DA8"/>
    <w:rPr>
      <w:rFonts w:ascii="Calibri" w:eastAsia="Calibri" w:hAnsi="Calibri" w:cs="Calibri"/>
      <w:lang w:val="en-AU"/>
    </w:rPr>
  </w:style>
  <w:style w:type="character" w:styleId="Strong">
    <w:name w:val="Strong"/>
    <w:basedOn w:val="DefaultParagraphFont"/>
    <w:uiPriority w:val="22"/>
    <w:qFormat/>
    <w:rsid w:val="00E75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6267">
      <w:bodyDiv w:val="1"/>
      <w:marLeft w:val="0"/>
      <w:marRight w:val="0"/>
      <w:marTop w:val="0"/>
      <w:marBottom w:val="0"/>
      <w:divBdr>
        <w:top w:val="none" w:sz="0" w:space="0" w:color="auto"/>
        <w:left w:val="none" w:sz="0" w:space="0" w:color="auto"/>
        <w:bottom w:val="none" w:sz="0" w:space="0" w:color="auto"/>
        <w:right w:val="none" w:sz="0" w:space="0" w:color="auto"/>
      </w:divBdr>
    </w:div>
    <w:div w:id="457451586">
      <w:bodyDiv w:val="1"/>
      <w:marLeft w:val="0"/>
      <w:marRight w:val="0"/>
      <w:marTop w:val="0"/>
      <w:marBottom w:val="0"/>
      <w:divBdr>
        <w:top w:val="none" w:sz="0" w:space="0" w:color="auto"/>
        <w:left w:val="none" w:sz="0" w:space="0" w:color="auto"/>
        <w:bottom w:val="none" w:sz="0" w:space="0" w:color="auto"/>
        <w:right w:val="none" w:sz="0" w:space="0" w:color="auto"/>
      </w:divBdr>
    </w:div>
    <w:div w:id="468212677">
      <w:bodyDiv w:val="1"/>
      <w:marLeft w:val="0"/>
      <w:marRight w:val="0"/>
      <w:marTop w:val="0"/>
      <w:marBottom w:val="0"/>
      <w:divBdr>
        <w:top w:val="none" w:sz="0" w:space="0" w:color="auto"/>
        <w:left w:val="none" w:sz="0" w:space="0" w:color="auto"/>
        <w:bottom w:val="none" w:sz="0" w:space="0" w:color="auto"/>
        <w:right w:val="none" w:sz="0" w:space="0" w:color="auto"/>
      </w:divBdr>
    </w:div>
    <w:div w:id="875508397">
      <w:bodyDiv w:val="1"/>
      <w:marLeft w:val="0"/>
      <w:marRight w:val="0"/>
      <w:marTop w:val="0"/>
      <w:marBottom w:val="0"/>
      <w:divBdr>
        <w:top w:val="none" w:sz="0" w:space="0" w:color="auto"/>
        <w:left w:val="none" w:sz="0" w:space="0" w:color="auto"/>
        <w:bottom w:val="none" w:sz="0" w:space="0" w:color="auto"/>
        <w:right w:val="none" w:sz="0" w:space="0" w:color="auto"/>
      </w:divBdr>
    </w:div>
    <w:div w:id="202940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path.org/asset/4B16F19C-F7BD-456C-B212F557F8040F6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publications/guidance-for-the-use-of-marker-clips-by-breastscreen-australia-screening-and-assessment-services?languag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cbi.nlm.nih.gov/pubmed/2560515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ociationofbreastsurgery.org.uk/media/1414/nhs-bsp-clinical-guidance-for-breast-cancer-screening-assessm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5E04D584D994FA2BC67A5F0078E95" ma:contentTypeVersion="6" ma:contentTypeDescription="Create a new document." ma:contentTypeScope="" ma:versionID="aa0a93714c84baa21b5c85fdd047c4f6">
  <xsd:schema xmlns:xsd="http://www.w3.org/2001/XMLSchema" xmlns:xs="http://www.w3.org/2001/XMLSchema" xmlns:p="http://schemas.microsoft.com/office/2006/metadata/properties" xmlns:ns2="63fad512-98b4-43dc-a1a4-55dee3ab8d0d" targetNamespace="http://schemas.microsoft.com/office/2006/metadata/properties" ma:root="true" ma:fieldsID="68f199c334f83981b9d4dbb374c93b38" ns2:_="">
    <xsd:import namespace="63fad512-98b4-43dc-a1a4-55dee3ab8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ad512-98b4-43dc-a1a4-55dee3ab8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2A09-FC2D-48D5-A7D2-6631F7B39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ACC67-03DC-4FF6-9C33-FB851B787D9A}">
  <ds:schemaRefs>
    <ds:schemaRef ds:uri="http://schemas.microsoft.com/sharepoint/v3/contenttype/forms"/>
  </ds:schemaRefs>
</ds:datastoreItem>
</file>

<file path=customXml/itemProps3.xml><?xml version="1.0" encoding="utf-8"?>
<ds:datastoreItem xmlns:ds="http://schemas.openxmlformats.org/officeDocument/2006/customXml" ds:itemID="{9E2F434A-4CFF-4BAE-89F9-F649CB52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ad512-98b4-43dc-a1a4-55dee3ab8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8E07D-530B-4014-8E48-F4A7DE3674D6}">
  <ds:schemaRefs>
    <ds:schemaRef ds:uri="http://schemas.openxmlformats.org/officeDocument/2006/bibliography"/>
  </ds:schemaRefs>
</ds:datastoreItem>
</file>

<file path=docMetadata/LabelInfo.xml><?xml version="1.0" encoding="utf-8"?>
<clbl:labelList xmlns:clbl="http://schemas.microsoft.com/office/2020/mipLabelMetadata">
  <clbl:label id="{c91257ea-2a87-4ca9-a209-f86da931618b}" enabled="1" method="Privileged" siteId="{0afd6d6f-4e02-4691-a4fb-b52c9e6e55b0}"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3411</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BreastScreen Australia Clinical Advisory Group – The use of Mammographically Guided Vacuum Assisted Breast Biopsy (VABB) in BreastScreen Australia.docx</vt:lpstr>
    </vt:vector>
  </TitlesOfParts>
  <Company/>
  <LinksUpToDate>false</LinksUpToDate>
  <CharactersWithSpaces>3921</CharactersWithSpaces>
  <SharedDoc>false</SharedDoc>
  <HLinks>
    <vt:vector size="24" baseType="variant">
      <vt:variant>
        <vt:i4>3407906</vt:i4>
      </vt:variant>
      <vt:variant>
        <vt:i4>9</vt:i4>
      </vt:variant>
      <vt:variant>
        <vt:i4>0</vt:i4>
      </vt:variant>
      <vt:variant>
        <vt:i4>5</vt:i4>
      </vt:variant>
      <vt:variant>
        <vt:lpwstr>http://www.ncbi.nlm.nih.gov/pubmed/25605157</vt:lpwstr>
      </vt:variant>
      <vt:variant>
        <vt:lpwstr/>
      </vt:variant>
      <vt:variant>
        <vt:i4>5046288</vt:i4>
      </vt:variant>
      <vt:variant>
        <vt:i4>6</vt:i4>
      </vt:variant>
      <vt:variant>
        <vt:i4>0</vt:i4>
      </vt:variant>
      <vt:variant>
        <vt:i4>5</vt:i4>
      </vt:variant>
      <vt:variant>
        <vt:lpwstr>https://associationofbreastsurgery.org.uk/media/1414/nhs-bsp-clinical-guidance-for-breast-cancer-screening-assessment.pdf</vt:lpwstr>
      </vt:variant>
      <vt:variant>
        <vt:lpwstr/>
      </vt:variant>
      <vt:variant>
        <vt:i4>1114113</vt:i4>
      </vt:variant>
      <vt:variant>
        <vt:i4>3</vt:i4>
      </vt:variant>
      <vt:variant>
        <vt:i4>0</vt:i4>
      </vt:variant>
      <vt:variant>
        <vt:i4>5</vt:i4>
      </vt:variant>
      <vt:variant>
        <vt:lpwstr>http://www.rcpath.org/asset/4B16F19C-F7BD-456C-B212F557F8040F66/</vt:lpwstr>
      </vt:variant>
      <vt:variant>
        <vt:lpwstr/>
      </vt:variant>
      <vt:variant>
        <vt:i4>458782</vt:i4>
      </vt:variant>
      <vt:variant>
        <vt:i4>0</vt:i4>
      </vt:variant>
      <vt:variant>
        <vt:i4>0</vt:i4>
      </vt:variant>
      <vt:variant>
        <vt:i4>5</vt:i4>
      </vt:variant>
      <vt:variant>
        <vt:lpwstr>https://www.health.gov.au/resources/publications/guidance-for-the-use-of-marker-clips-by-breastscreen-australia-screening-and-assessment-services?language=en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BreastScreen Australia Clinical Advisory Group – The use of Mammographically Guided Vacuum Assisted Breast Biopsy (VABB) in BreastScreen Australia</dc:title>
  <dc:subject>BreastScreen Australia</dc:subject>
  <dc:creator>Australian Government Department of Health Disability and Ageing</dc:creator>
  <cp:keywords>Preventative health;Cancer;Women's health</cp:keywords>
  <cp:lastModifiedBy>MASCHKE, Elvia</cp:lastModifiedBy>
  <cp:revision>4</cp:revision>
  <cp:lastPrinted>2025-12-10T03:49:00Z</cp:lastPrinted>
  <dcterms:created xsi:type="dcterms:W3CDTF">2025-12-11T23:21:00Z</dcterms:created>
  <dcterms:modified xsi:type="dcterms:W3CDTF">2025-12-11T23:31:00Z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LastSaved">
    <vt:filetime>2023-07-12T00:00:00Z</vt:filetime>
  </property>
  <property fmtid="{D5CDD505-2E9C-101B-9397-08002B2CF9AE}" pid="4" name="ContentTypeId">
    <vt:lpwstr>0x010100C185E04D584D994FA2BC67A5F0078E95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ClassificationContentMarkingHeaderShapeIds">
    <vt:lpwstr>1dc3d408,2f983b79,5b4996b1</vt:lpwstr>
  </property>
  <property fmtid="{D5CDD505-2E9C-101B-9397-08002B2CF9AE}" pid="10" name="ClassificationContentMarkingFooterShapeIds">
    <vt:lpwstr>8b72939,58e4e5ec,5589570</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2025-11-12T04:17:38Z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58bad03d-03ee-4b62-9dde-bdc0d0e0e4b1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