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546" w14:textId="5F05D39E" w:rsidR="00C0186D" w:rsidRPr="00C0186D" w:rsidRDefault="00C0186D" w:rsidP="00293D95">
      <w:pPr>
        <w:pStyle w:val="Heading1"/>
        <w:pBdr>
          <w:bottom w:val="single" w:sz="4" w:space="1" w:color="auto"/>
        </w:pBdr>
        <w:jc w:val="center"/>
        <w:rPr>
          <w:b/>
          <w:bCs/>
          <w:sz w:val="44"/>
          <w:szCs w:val="44"/>
          <w:lang w:val="en-US"/>
        </w:rPr>
      </w:pPr>
      <w:r w:rsidRPr="00C0186D">
        <w:rPr>
          <w:b/>
          <w:bCs/>
          <w:sz w:val="44"/>
          <w:szCs w:val="44"/>
          <w:lang w:val="en-US"/>
        </w:rPr>
        <w:t>Terms of Reference</w:t>
      </w:r>
    </w:p>
    <w:p w14:paraId="37FABFE6" w14:textId="7DBB3633" w:rsidR="00D91393" w:rsidRPr="00D91393" w:rsidRDefault="00C80076" w:rsidP="0069519C">
      <w:pPr>
        <w:pStyle w:val="Heading1"/>
        <w:spacing w:line="24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sz w:val="44"/>
          <w:szCs w:val="44"/>
        </w:rPr>
        <w:t>I</w:t>
      </w:r>
      <w:r w:rsidR="0069519C" w:rsidRPr="00D91393">
        <w:rPr>
          <w:b/>
          <w:bCs/>
          <w:sz w:val="44"/>
          <w:szCs w:val="44"/>
        </w:rPr>
        <w:t>ndependent Review of</w:t>
      </w:r>
      <w:r w:rsidR="004A32B5" w:rsidRPr="00D91393">
        <w:rPr>
          <w:b/>
          <w:bCs/>
          <w:sz w:val="44"/>
          <w:szCs w:val="44"/>
        </w:rPr>
        <w:t xml:space="preserve"> Part VA – </w:t>
      </w:r>
      <w:r w:rsidR="004A32B5" w:rsidRPr="00D91393">
        <w:rPr>
          <w:b/>
          <w:bCs/>
          <w:i/>
          <w:iCs/>
          <w:sz w:val="44"/>
          <w:szCs w:val="44"/>
        </w:rPr>
        <w:t>Health Insurance Act 1973</w:t>
      </w:r>
    </w:p>
    <w:p w14:paraId="63ACF6E9" w14:textId="175C3B9E" w:rsidR="0069519C" w:rsidRDefault="0069519C" w:rsidP="00046DBC">
      <w:pPr>
        <w:pStyle w:val="Heading1"/>
        <w:jc w:val="center"/>
        <w:rPr>
          <w:sz w:val="52"/>
          <w:szCs w:val="52"/>
        </w:rPr>
      </w:pPr>
      <w:r w:rsidRPr="00D91393">
        <w:t>National Rural Health Commissioner</w:t>
      </w:r>
    </w:p>
    <w:p w14:paraId="63A64A4C" w14:textId="7F5CA548" w:rsidR="0069519C" w:rsidRDefault="0069519C"/>
    <w:p w14:paraId="6DA96302" w14:textId="4B4C9828" w:rsidR="0069519C" w:rsidRDefault="0069519C" w:rsidP="0069519C">
      <w:pPr>
        <w:pStyle w:val="Heading2"/>
      </w:pPr>
      <w:r>
        <w:t>Background</w:t>
      </w:r>
    </w:p>
    <w:p w14:paraId="5C771846" w14:textId="7F2F319A" w:rsidR="0069519C" w:rsidRPr="00EB1132" w:rsidRDefault="0069519C" w:rsidP="0069519C">
      <w:pPr>
        <w:kinsoku w:val="0"/>
        <w:overflowPunct w:val="0"/>
        <w:textAlignment w:val="baseline"/>
        <w:rPr>
          <w:rFonts w:cstheme="minorHAnsi"/>
          <w:i/>
          <w:iCs/>
          <w:u w:val="single"/>
        </w:rPr>
      </w:pPr>
      <w:r w:rsidRPr="00EB1132">
        <w:rPr>
          <w:rFonts w:cstheme="minorHAnsi"/>
          <w:i/>
          <w:iCs/>
          <w:u w:val="single"/>
        </w:rPr>
        <w:t>Establishment of the NRHC</w:t>
      </w:r>
    </w:p>
    <w:p w14:paraId="451A6396" w14:textId="1AA5585D" w:rsidR="0069519C" w:rsidRPr="0069519C" w:rsidRDefault="0069519C" w:rsidP="0069519C">
      <w:pPr>
        <w:kinsoku w:val="0"/>
        <w:overflowPunct w:val="0"/>
        <w:textAlignment w:val="baseline"/>
        <w:rPr>
          <w:rFonts w:cstheme="minorHAnsi"/>
        </w:rPr>
      </w:pPr>
      <w:r w:rsidRPr="0069519C">
        <w:rPr>
          <w:rFonts w:cstheme="minorHAnsi"/>
        </w:rPr>
        <w:t xml:space="preserve">The National Rural Health Commissioner (NRHC) plays a pivotal role in enhancing health outcomes across rural, regional, and remote communities in Australia. </w:t>
      </w:r>
      <w:r w:rsidR="00435360">
        <w:rPr>
          <w:rFonts w:cstheme="minorHAnsi"/>
        </w:rPr>
        <w:t xml:space="preserve">The position </w:t>
      </w:r>
      <w:r w:rsidR="00CF112E">
        <w:rPr>
          <w:rFonts w:cstheme="minorHAnsi"/>
        </w:rPr>
        <w:t>was</w:t>
      </w:r>
      <w:r w:rsidR="00435360">
        <w:rPr>
          <w:rFonts w:cstheme="minorHAnsi"/>
        </w:rPr>
        <w:t xml:space="preserve"> </w:t>
      </w:r>
      <w:r w:rsidR="00E25AC2">
        <w:rPr>
          <w:rFonts w:cstheme="minorHAnsi"/>
        </w:rPr>
        <w:t xml:space="preserve">established under the </w:t>
      </w:r>
      <w:r w:rsidR="00E25AC2" w:rsidRPr="00E524FD">
        <w:rPr>
          <w:rFonts w:cstheme="minorHAnsi"/>
          <w:i/>
          <w:iCs/>
        </w:rPr>
        <w:t>Health Insurance Act 1973</w:t>
      </w:r>
      <w:r w:rsidR="00404275">
        <w:rPr>
          <w:rFonts w:cstheme="minorHAnsi"/>
          <w:i/>
          <w:iCs/>
        </w:rPr>
        <w:t xml:space="preserve"> </w:t>
      </w:r>
      <w:r w:rsidR="00404275">
        <w:rPr>
          <w:rFonts w:cstheme="minorHAnsi"/>
        </w:rPr>
        <w:t>(the Act)</w:t>
      </w:r>
      <w:r w:rsidR="00E25AC2">
        <w:rPr>
          <w:rFonts w:cstheme="minorHAnsi"/>
        </w:rPr>
        <w:t xml:space="preserve">, with Part VA of the Act outlining the Commissioner’s responsibilities and functions. </w:t>
      </w:r>
    </w:p>
    <w:p w14:paraId="5CAC3DA5" w14:textId="39134E57" w:rsidR="0027349A" w:rsidRPr="0027349A" w:rsidRDefault="009F6EC5" w:rsidP="0027349A">
      <w:pPr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 xml:space="preserve">Under this legislation, the NRHC is responsible for </w:t>
      </w:r>
      <w:r w:rsidR="0027349A" w:rsidRPr="0027349A">
        <w:rPr>
          <w:rFonts w:cstheme="minorHAnsi"/>
        </w:rPr>
        <w:t xml:space="preserve">advising the </w:t>
      </w:r>
      <w:r w:rsidR="00636B9F">
        <w:rPr>
          <w:rFonts w:cstheme="minorHAnsi"/>
        </w:rPr>
        <w:t xml:space="preserve">Assistant Minister for </w:t>
      </w:r>
      <w:r w:rsidR="0027349A" w:rsidRPr="0027349A">
        <w:rPr>
          <w:rFonts w:cstheme="minorHAnsi"/>
        </w:rPr>
        <w:t xml:space="preserve">Rural </w:t>
      </w:r>
      <w:r w:rsidR="00A0617C">
        <w:rPr>
          <w:rFonts w:cstheme="minorHAnsi"/>
        </w:rPr>
        <w:t xml:space="preserve">and Regional </w:t>
      </w:r>
      <w:r w:rsidR="0027349A" w:rsidRPr="0027349A">
        <w:rPr>
          <w:rFonts w:cstheme="minorHAnsi"/>
        </w:rPr>
        <w:t>Health, undertaking projects, conducting inquiries, supporting Commonwealth strategies, performing research, and engaging with stakeholders in rural, regional, and remote health.</w:t>
      </w:r>
    </w:p>
    <w:p w14:paraId="553AD7AA" w14:textId="6BD597FF" w:rsidR="0069519C" w:rsidRPr="00BB304C" w:rsidRDefault="00C970B6" w:rsidP="00BB304C">
      <w:pPr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 xml:space="preserve">Additionally, </w:t>
      </w:r>
      <w:r w:rsidR="00404275">
        <w:rPr>
          <w:rFonts w:cstheme="minorHAnsi"/>
        </w:rPr>
        <w:t>s</w:t>
      </w:r>
      <w:r w:rsidR="00404275" w:rsidRPr="0027349A">
        <w:rPr>
          <w:rFonts w:cstheme="minorHAnsi"/>
        </w:rPr>
        <w:t xml:space="preserve"> </w:t>
      </w:r>
      <w:r w:rsidR="0027349A" w:rsidRPr="0027349A">
        <w:rPr>
          <w:rFonts w:cstheme="minorHAnsi"/>
        </w:rPr>
        <w:t>79AB</w:t>
      </w:r>
      <w:r w:rsidR="00E552FC">
        <w:rPr>
          <w:rFonts w:cstheme="minorHAnsi"/>
        </w:rPr>
        <w:t xml:space="preserve"> of the Act</w:t>
      </w:r>
      <w:r w:rsidR="0027349A" w:rsidRPr="0027349A">
        <w:rPr>
          <w:rFonts w:cstheme="minorHAnsi"/>
        </w:rPr>
        <w:t xml:space="preserve"> </w:t>
      </w:r>
      <w:r>
        <w:rPr>
          <w:rFonts w:cstheme="minorHAnsi"/>
        </w:rPr>
        <w:t xml:space="preserve">requires </w:t>
      </w:r>
      <w:r w:rsidR="0069519C" w:rsidRPr="0069519C">
        <w:rPr>
          <w:rFonts w:cstheme="minorHAnsi"/>
        </w:rPr>
        <w:t>an independent review of the NRHC’s functions, governance and reporting arrangements</w:t>
      </w:r>
      <w:r w:rsidR="00D3486F">
        <w:rPr>
          <w:rFonts w:cstheme="minorHAnsi"/>
        </w:rPr>
        <w:t xml:space="preserve"> to ensure accountability and effectiveness. </w:t>
      </w:r>
    </w:p>
    <w:p w14:paraId="14A29AF5" w14:textId="588267CE" w:rsidR="0069519C" w:rsidRDefault="0069519C" w:rsidP="0069519C">
      <w:pPr>
        <w:pStyle w:val="Heading2"/>
      </w:pPr>
      <w:r>
        <w:t>Purpose</w:t>
      </w:r>
    </w:p>
    <w:p w14:paraId="0A043D9F" w14:textId="1C1FEAF8" w:rsidR="00FB6DA4" w:rsidRPr="005917B7" w:rsidRDefault="00FB6DA4" w:rsidP="00FB6DA4">
      <w:r w:rsidRPr="005917B7">
        <w:t>The purpose of this review is to assess the effectiveness, relevance, and impact of the legislative framework governing the NRHC, and to provide recommendations for future improvements.</w:t>
      </w:r>
    </w:p>
    <w:p w14:paraId="1910841F" w14:textId="5077CF24" w:rsidR="0069519C" w:rsidRDefault="0069519C" w:rsidP="0069519C">
      <w:pPr>
        <w:pStyle w:val="Heading2"/>
      </w:pPr>
      <w:r>
        <w:t>Scope</w:t>
      </w:r>
    </w:p>
    <w:p w14:paraId="0CAE47A6" w14:textId="77777777" w:rsidR="00D77D81" w:rsidRPr="005917B7" w:rsidRDefault="00D77D81" w:rsidP="00E410E2">
      <w:pPr>
        <w:spacing w:after="0"/>
      </w:pPr>
      <w:r w:rsidRPr="005917B7">
        <w:t>The review will examine:</w:t>
      </w:r>
    </w:p>
    <w:p w14:paraId="14FF54E5" w14:textId="275128F9" w:rsidR="00D77D81" w:rsidRDefault="00D77D81" w:rsidP="00E410E2">
      <w:pPr>
        <w:numPr>
          <w:ilvl w:val="0"/>
          <w:numId w:val="5"/>
        </w:numPr>
        <w:spacing w:after="0"/>
      </w:pPr>
      <w:r w:rsidRPr="005917B7">
        <w:t xml:space="preserve">The extent to which the Commissioner’s functions have been fulfilled as per </w:t>
      </w:r>
      <w:r w:rsidR="00404275">
        <w:t>s</w:t>
      </w:r>
      <w:r w:rsidR="005B2DA2">
        <w:t> </w:t>
      </w:r>
      <w:r w:rsidRPr="005917B7">
        <w:t>79AB</w:t>
      </w:r>
    </w:p>
    <w:p w14:paraId="3163FEBD" w14:textId="301891BC" w:rsidR="00055952" w:rsidRDefault="00055952" w:rsidP="00E410E2">
      <w:pPr>
        <w:numPr>
          <w:ilvl w:val="0"/>
          <w:numId w:val="5"/>
        </w:numPr>
        <w:spacing w:after="0"/>
      </w:pPr>
      <w:r>
        <w:t>The effectiveness of the role and function of the Commissioner and Dep</w:t>
      </w:r>
      <w:r w:rsidR="00D13B0A">
        <w:t xml:space="preserve">uty Commissioners </w:t>
      </w:r>
    </w:p>
    <w:p w14:paraId="1E390657" w14:textId="399BB89B" w:rsidR="00D77D81" w:rsidRDefault="00D77D81" w:rsidP="00E410E2">
      <w:pPr>
        <w:numPr>
          <w:ilvl w:val="0"/>
          <w:numId w:val="5"/>
        </w:numPr>
        <w:spacing w:after="0"/>
      </w:pPr>
      <w:r w:rsidRPr="005917B7">
        <w:t>The impact of the Commissioner’s advice and projects on rural health outcomes</w:t>
      </w:r>
    </w:p>
    <w:p w14:paraId="19CC8391" w14:textId="2605EDF3" w:rsidR="007A4E71" w:rsidRPr="005917B7" w:rsidRDefault="007A4E71" w:rsidP="007A4E71">
      <w:pPr>
        <w:numPr>
          <w:ilvl w:val="0"/>
          <w:numId w:val="5"/>
        </w:numPr>
        <w:spacing w:after="0"/>
      </w:pPr>
      <w:r w:rsidRPr="005917B7">
        <w:t>The effectiveness of the Commissioner’s engagement with stakeholders</w:t>
      </w:r>
    </w:p>
    <w:p w14:paraId="0CB4FABF" w14:textId="4C863C5F" w:rsidR="00D77D81" w:rsidRPr="005917B7" w:rsidRDefault="00D77D81" w:rsidP="00E410E2">
      <w:pPr>
        <w:numPr>
          <w:ilvl w:val="0"/>
          <w:numId w:val="5"/>
        </w:numPr>
        <w:spacing w:after="0"/>
      </w:pPr>
      <w:r w:rsidRPr="005917B7">
        <w:lastRenderedPageBreak/>
        <w:t>The adequacy of legislative provisions in supporting the Commissioner’s independence and impartiality</w:t>
      </w:r>
    </w:p>
    <w:p w14:paraId="16041B46" w14:textId="58C0BD69" w:rsidR="00D77D81" w:rsidRDefault="00D77D81" w:rsidP="00E410E2">
      <w:pPr>
        <w:numPr>
          <w:ilvl w:val="0"/>
          <w:numId w:val="5"/>
        </w:numPr>
        <w:spacing w:after="0"/>
      </w:pPr>
      <w:r w:rsidRPr="005917B7">
        <w:t>Opportunities to strengthen the legislative framework to better support rural health policy and delivery</w:t>
      </w:r>
      <w:r w:rsidR="005B2DA2">
        <w:t>.</w:t>
      </w:r>
    </w:p>
    <w:p w14:paraId="371DEF34" w14:textId="77777777" w:rsidR="002E1F90" w:rsidRPr="002902C2" w:rsidRDefault="002E1F90" w:rsidP="002E1F90">
      <w:pPr>
        <w:pStyle w:val="Heading2"/>
      </w:pPr>
      <w:r w:rsidRPr="002902C2">
        <w:t xml:space="preserve">Out of scope </w:t>
      </w:r>
    </w:p>
    <w:p w14:paraId="507CEA2C" w14:textId="128BB050" w:rsidR="0090214A" w:rsidRPr="0090214A" w:rsidRDefault="008272D1" w:rsidP="00947B33">
      <w:pPr>
        <w:pStyle w:val="ListParagraph"/>
        <w:numPr>
          <w:ilvl w:val="1"/>
          <w:numId w:val="11"/>
        </w:numPr>
        <w:tabs>
          <w:tab w:val="clear" w:pos="1440"/>
          <w:tab w:val="num" w:pos="360"/>
        </w:tabs>
        <w:spacing w:after="0"/>
        <w:ind w:left="714" w:hanging="357"/>
      </w:pPr>
      <w:r>
        <w:t>Review of</w:t>
      </w:r>
      <w:r w:rsidR="008727A8">
        <w:t xml:space="preserve"> rural</w:t>
      </w:r>
      <w:r>
        <w:t xml:space="preserve"> </w:t>
      </w:r>
      <w:r w:rsidR="003E5BA6">
        <w:t>health policy implementation outcomes. I</w:t>
      </w:r>
      <w:r w:rsidR="0090214A" w:rsidRPr="0090214A">
        <w:t xml:space="preserve">mplementing health policy is the responsibility of </w:t>
      </w:r>
      <w:r w:rsidR="003E5BA6">
        <w:t>the department</w:t>
      </w:r>
      <w:r w:rsidR="0090214A" w:rsidRPr="0090214A">
        <w:t xml:space="preserve">. </w:t>
      </w:r>
    </w:p>
    <w:p w14:paraId="7BF38F70" w14:textId="56346BC5" w:rsidR="0090214A" w:rsidRPr="0090214A" w:rsidRDefault="0090214A" w:rsidP="00947B33">
      <w:pPr>
        <w:pStyle w:val="ListParagraph"/>
        <w:numPr>
          <w:ilvl w:val="1"/>
          <w:numId w:val="11"/>
        </w:numPr>
        <w:tabs>
          <w:tab w:val="clear" w:pos="1440"/>
          <w:tab w:val="num" w:pos="360"/>
        </w:tabs>
        <w:spacing w:after="0"/>
        <w:ind w:left="714" w:hanging="357"/>
      </w:pPr>
      <w:r w:rsidRPr="0090214A">
        <w:t xml:space="preserve">Individual </w:t>
      </w:r>
      <w:r w:rsidR="00404275">
        <w:t>p</w:t>
      </w:r>
      <w:r w:rsidRPr="0090214A">
        <w:t xml:space="preserve">ersonnel </w:t>
      </w:r>
      <w:r w:rsidR="00404275">
        <w:t>p</w:t>
      </w:r>
      <w:r w:rsidRPr="0090214A">
        <w:t>erformance</w:t>
      </w:r>
      <w:r w:rsidR="005A40D1">
        <w:t>. T</w:t>
      </w:r>
      <w:r w:rsidRPr="0090214A">
        <w:t>he review should not assess the personal performance of individuals within the NRHC office</w:t>
      </w:r>
      <w:r w:rsidR="00404275">
        <w:t xml:space="preserve">, including </w:t>
      </w:r>
      <w:r w:rsidR="005B2DA2">
        <w:t>Commissioners</w:t>
      </w:r>
      <w:r w:rsidR="00404275">
        <w:t xml:space="preserve"> and Deputy Commissioners</w:t>
      </w:r>
      <w:r w:rsidR="005D3F9B" w:rsidRPr="00A03B4D">
        <w:t xml:space="preserve">. </w:t>
      </w:r>
      <w:r w:rsidRPr="0090214A">
        <w:t xml:space="preserve"> </w:t>
      </w:r>
    </w:p>
    <w:p w14:paraId="3BF412FF" w14:textId="2CF8F383" w:rsidR="0069519C" w:rsidRDefault="0009121B" w:rsidP="0069519C">
      <w:pPr>
        <w:pStyle w:val="Heading2"/>
      </w:pPr>
      <w:r>
        <w:t>Guiding</w:t>
      </w:r>
      <w:r w:rsidR="0069519C">
        <w:t xml:space="preserve"> Principles</w:t>
      </w:r>
    </w:p>
    <w:p w14:paraId="00D466C3" w14:textId="4F275E65" w:rsidR="00247676" w:rsidRPr="0033598F" w:rsidRDefault="00404275" w:rsidP="00A50314">
      <w:r>
        <w:t>The</w:t>
      </w:r>
      <w:r w:rsidR="0008510D">
        <w:t xml:space="preserve"> review of the NRHC should be guided by principles that reflect the role’s statutory </w:t>
      </w:r>
      <w:proofErr w:type="gramStart"/>
      <w:r w:rsidR="00A50314">
        <w:t>purpose</w:t>
      </w:r>
      <w:r w:rsidR="003450BD">
        <w:t>,</w:t>
      </w:r>
      <w:r w:rsidR="00A50314">
        <w:t xml:space="preserve"> and</w:t>
      </w:r>
      <w:proofErr w:type="gramEnd"/>
      <w:r w:rsidR="00A50314">
        <w:t xml:space="preserve"> align</w:t>
      </w:r>
      <w:r w:rsidR="003450BD">
        <w:t>ed</w:t>
      </w:r>
      <w:r w:rsidR="00A50314">
        <w:t xml:space="preserve"> with the aims of the NRHC. More details on the aims of the NRHC are available at: </w:t>
      </w:r>
      <w:hyperlink r:id="rId7" w:history="1">
        <w:r w:rsidR="00A50314" w:rsidRPr="00352C47">
          <w:rPr>
            <w:rStyle w:val="Hyperlink"/>
          </w:rPr>
          <w:t>www.health.gov.au/our-work/onrhc/about</w:t>
        </w:r>
      </w:hyperlink>
      <w:r w:rsidR="00A50314">
        <w:t xml:space="preserve">. </w:t>
      </w:r>
    </w:p>
    <w:p w14:paraId="724C26B3" w14:textId="59F8321C" w:rsidR="00EF5988" w:rsidRDefault="00EF5988" w:rsidP="00EF5988">
      <w:pPr>
        <w:pStyle w:val="Heading2"/>
      </w:pPr>
      <w:r>
        <w:t>Methodology</w:t>
      </w:r>
    </w:p>
    <w:p w14:paraId="60FABA50" w14:textId="77777777" w:rsidR="007510A3" w:rsidRPr="005917B7" w:rsidRDefault="007510A3" w:rsidP="007510A3">
      <w:r w:rsidRPr="005917B7">
        <w:t>The review will include:</w:t>
      </w:r>
    </w:p>
    <w:p w14:paraId="0DCA8920" w14:textId="4D6191ED" w:rsidR="007510A3" w:rsidRPr="005917B7" w:rsidRDefault="007510A3" w:rsidP="007510A3">
      <w:pPr>
        <w:numPr>
          <w:ilvl w:val="0"/>
          <w:numId w:val="6"/>
        </w:numPr>
      </w:pPr>
      <w:r w:rsidRPr="005917B7">
        <w:t>Analysis of relevant legislation</w:t>
      </w:r>
      <w:r w:rsidR="00DC5611">
        <w:t xml:space="preserve"> </w:t>
      </w:r>
      <w:r w:rsidRPr="005917B7">
        <w:t>and documentation</w:t>
      </w:r>
    </w:p>
    <w:p w14:paraId="2DFB3FFB" w14:textId="33280338" w:rsidR="007510A3" w:rsidRDefault="007510A3" w:rsidP="007510A3">
      <w:pPr>
        <w:numPr>
          <w:ilvl w:val="0"/>
          <w:numId w:val="6"/>
        </w:numPr>
      </w:pPr>
      <w:r w:rsidRPr="005917B7">
        <w:t xml:space="preserve">Stakeholder consultations including </w:t>
      </w:r>
      <w:r w:rsidR="00404275">
        <w:t xml:space="preserve">with </w:t>
      </w:r>
      <w:r w:rsidRPr="005917B7">
        <w:t>rural health professionals,</w:t>
      </w:r>
      <w:r w:rsidR="00404275">
        <w:t xml:space="preserve"> rural health stakeholder organisations,</w:t>
      </w:r>
      <w:r w:rsidRPr="005917B7">
        <w:t xml:space="preserve"> community representatives, and government agencies</w:t>
      </w:r>
    </w:p>
    <w:p w14:paraId="2D9A2E0C" w14:textId="2110582F" w:rsidR="00457DAF" w:rsidRPr="005917B7" w:rsidRDefault="00457DAF" w:rsidP="007510A3">
      <w:pPr>
        <w:numPr>
          <w:ilvl w:val="0"/>
          <w:numId w:val="6"/>
        </w:numPr>
      </w:pPr>
      <w:r>
        <w:t>Review of reports, projects and outcomes</w:t>
      </w:r>
    </w:p>
    <w:p w14:paraId="1AD2523C" w14:textId="40B4E18D" w:rsidR="007510A3" w:rsidRPr="005917B7" w:rsidRDefault="007510A3" w:rsidP="007510A3">
      <w:pPr>
        <w:numPr>
          <w:ilvl w:val="0"/>
          <w:numId w:val="6"/>
        </w:numPr>
      </w:pPr>
      <w:r w:rsidRPr="005917B7">
        <w:t>Comparative analysis with similar statutory roles</w:t>
      </w:r>
      <w:r w:rsidR="00457DAF">
        <w:t xml:space="preserve">. </w:t>
      </w:r>
    </w:p>
    <w:p w14:paraId="56178FF6" w14:textId="62C44560" w:rsidR="007510A3" w:rsidRDefault="00493A78" w:rsidP="00493A78">
      <w:pPr>
        <w:pStyle w:val="Heading2"/>
      </w:pPr>
      <w:r>
        <w:t>Evaluation Criteria</w:t>
      </w:r>
    </w:p>
    <w:p w14:paraId="72B6C4C8" w14:textId="77777777" w:rsidR="00554C61" w:rsidRPr="00554C61" w:rsidRDefault="00554C61" w:rsidP="002E1F90">
      <w:pPr>
        <w:spacing w:line="240" w:lineRule="auto"/>
      </w:pPr>
      <w:r w:rsidRPr="00554C61">
        <w:t>The review will assess the Commissioner’s performance and legislative framework against the following criteria:</w:t>
      </w:r>
    </w:p>
    <w:p w14:paraId="68A817E0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t>Effectiveness</w:t>
      </w:r>
    </w:p>
    <w:p w14:paraId="13A8E9E2" w14:textId="77777777" w:rsid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Achievement of statutory functions and objectives.</w:t>
      </w:r>
    </w:p>
    <w:p w14:paraId="68BE462F" w14:textId="258B9F27" w:rsidR="005B2DA2" w:rsidRDefault="00BB304C" w:rsidP="002E1F90">
      <w:pPr>
        <w:numPr>
          <w:ilvl w:val="1"/>
          <w:numId w:val="7"/>
        </w:numPr>
        <w:spacing w:line="240" w:lineRule="auto"/>
      </w:pPr>
      <w:r>
        <w:t>P</w:t>
      </w:r>
      <w:r w:rsidR="005B2DA2">
        <w:t xml:space="preserve">erformance against the </w:t>
      </w:r>
      <w:hyperlink r:id="rId8" w:history="1">
        <w:r w:rsidR="005B2DA2" w:rsidRPr="005B2DA2">
          <w:rPr>
            <w:rStyle w:val="Hyperlink"/>
          </w:rPr>
          <w:t>NRHC Statement of Expectations</w:t>
        </w:r>
      </w:hyperlink>
      <w:r w:rsidR="005B2DA2">
        <w:t xml:space="preserve"> and </w:t>
      </w:r>
      <w:hyperlink r:id="rId9" w:history="1">
        <w:r w:rsidR="005B2DA2" w:rsidRPr="005B2DA2">
          <w:rPr>
            <w:rStyle w:val="Hyperlink"/>
          </w:rPr>
          <w:t>Statement of Intent</w:t>
        </w:r>
      </w:hyperlink>
      <w:r w:rsidR="005B2DA2">
        <w:t xml:space="preserve">. </w:t>
      </w:r>
    </w:p>
    <w:p w14:paraId="11811DC1" w14:textId="4EC73850" w:rsidR="005B2DA2" w:rsidRPr="00554C61" w:rsidRDefault="00BB304C" w:rsidP="002E1F90">
      <w:pPr>
        <w:numPr>
          <w:ilvl w:val="1"/>
          <w:numId w:val="7"/>
        </w:numPr>
        <w:spacing w:line="240" w:lineRule="auto"/>
      </w:pPr>
      <w:r>
        <w:t>P</w:t>
      </w:r>
      <w:r w:rsidR="005B2DA2">
        <w:t xml:space="preserve">erformance against the </w:t>
      </w:r>
      <w:r>
        <w:t xml:space="preserve">annual </w:t>
      </w:r>
      <w:r w:rsidR="005B2DA2">
        <w:t>Activity Work Plan</w:t>
      </w:r>
      <w:r>
        <w:t xml:space="preserve"> prepared by the NRHC</w:t>
      </w:r>
      <w:r w:rsidR="005B2DA2">
        <w:t xml:space="preserve">. </w:t>
      </w:r>
    </w:p>
    <w:p w14:paraId="52214018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Influence on rural health policy and strategy.</w:t>
      </w:r>
    </w:p>
    <w:p w14:paraId="60A4AD03" w14:textId="77777777" w:rsid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Responsiveness to emerging rural health issues.</w:t>
      </w:r>
    </w:p>
    <w:p w14:paraId="288E3331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lastRenderedPageBreak/>
        <w:t>Efficiency</w:t>
      </w:r>
    </w:p>
    <w:p w14:paraId="724EB63D" w14:textId="2DB21625" w:rsidR="00554C61" w:rsidRDefault="005B2DA2" w:rsidP="002E1F90">
      <w:pPr>
        <w:numPr>
          <w:ilvl w:val="1"/>
          <w:numId w:val="7"/>
        </w:numPr>
        <w:spacing w:line="240" w:lineRule="auto"/>
      </w:pPr>
      <w:r>
        <w:t>A</w:t>
      </w:r>
      <w:r w:rsidR="00A93101">
        <w:t xml:space="preserve">dequacy of </w:t>
      </w:r>
      <w:r w:rsidR="00DD6218" w:rsidRPr="00856B02">
        <w:t>NRHC resourc</w:t>
      </w:r>
      <w:r w:rsidR="00923772">
        <w:t>ing</w:t>
      </w:r>
      <w:r w:rsidR="00DD6218" w:rsidRPr="00856B02">
        <w:t xml:space="preserve"> for </w:t>
      </w:r>
      <w:r w:rsidR="00554C61" w:rsidRPr="00554C61">
        <w:t>delivering functions.</w:t>
      </w:r>
    </w:p>
    <w:p w14:paraId="34EDF733" w14:textId="19CECD9E" w:rsidR="005B2DA2" w:rsidRPr="00554C61" w:rsidRDefault="005B2DA2" w:rsidP="002E1F90">
      <w:pPr>
        <w:numPr>
          <w:ilvl w:val="1"/>
          <w:numId w:val="7"/>
        </w:numPr>
        <w:spacing w:line="240" w:lineRule="auto"/>
      </w:pPr>
      <w:r>
        <w:t xml:space="preserve">Efficacy of the Deputy Commissioner roles and responsibilities. </w:t>
      </w:r>
    </w:p>
    <w:p w14:paraId="50B24163" w14:textId="0D6B68C0" w:rsidR="00554C61" w:rsidRPr="00856B02" w:rsidRDefault="00554C61" w:rsidP="002E1F90">
      <w:pPr>
        <w:numPr>
          <w:ilvl w:val="1"/>
          <w:numId w:val="7"/>
        </w:numPr>
        <w:spacing w:line="240" w:lineRule="auto"/>
      </w:pPr>
      <w:r w:rsidRPr="00554C61">
        <w:t>Timeliness and quality of outputs (e.g. reports, advice).</w:t>
      </w:r>
    </w:p>
    <w:p w14:paraId="60FA78AD" w14:textId="77777777" w:rsidR="005B2DA2" w:rsidRDefault="00796777" w:rsidP="00BB304C">
      <w:pPr>
        <w:numPr>
          <w:ilvl w:val="1"/>
          <w:numId w:val="7"/>
        </w:numPr>
        <w:spacing w:line="240" w:lineRule="auto"/>
        <w:rPr>
          <w:rFonts w:cstheme="minorHAnsi"/>
        </w:rPr>
      </w:pPr>
      <w:r w:rsidRPr="00856B02">
        <w:rPr>
          <w:rFonts w:cstheme="minorHAnsi"/>
        </w:rPr>
        <w:t xml:space="preserve">Capability in managing </w:t>
      </w:r>
      <w:r w:rsidR="00856B02" w:rsidRPr="00856B02">
        <w:rPr>
          <w:rFonts w:cstheme="minorHAnsi"/>
        </w:rPr>
        <w:t>funding appropriation</w:t>
      </w:r>
      <w:r w:rsidRPr="00856B02">
        <w:rPr>
          <w:rFonts w:cstheme="minorHAnsi"/>
        </w:rPr>
        <w:t xml:space="preserve"> to deliver </w:t>
      </w:r>
      <w:r w:rsidR="00F47F84">
        <w:rPr>
          <w:rFonts w:cstheme="minorHAnsi"/>
        </w:rPr>
        <w:t>expected outcomes.</w:t>
      </w:r>
    </w:p>
    <w:p w14:paraId="09EA18D7" w14:textId="6D07A3CB" w:rsidR="00796777" w:rsidRDefault="005B2DA2" w:rsidP="00F47F84">
      <w:pPr>
        <w:pStyle w:val="ListParagraph"/>
        <w:widowControl w:val="0"/>
        <w:numPr>
          <w:ilvl w:val="1"/>
          <w:numId w:val="7"/>
        </w:numPr>
        <w:kinsoku w:val="0"/>
        <w:overflowPunct w:val="0"/>
        <w:spacing w:line="240" w:lineRule="auto"/>
        <w:ind w:left="1434" w:hanging="357"/>
        <w:textAlignment w:val="baseline"/>
        <w:rPr>
          <w:rFonts w:cstheme="minorHAnsi"/>
        </w:rPr>
      </w:pPr>
      <w:r>
        <w:rPr>
          <w:rFonts w:cstheme="minorHAnsi"/>
        </w:rPr>
        <w:t xml:space="preserve">Adequacy of the legislated 2-year appointment term for supporting efficient delivery of the NRHC functions. </w:t>
      </w:r>
      <w:r w:rsidR="00F47F84">
        <w:rPr>
          <w:rFonts w:cstheme="minorHAnsi"/>
        </w:rPr>
        <w:t xml:space="preserve"> </w:t>
      </w:r>
    </w:p>
    <w:p w14:paraId="61835D49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t>Stakeholder Engagement</w:t>
      </w:r>
    </w:p>
    <w:p w14:paraId="079EB00F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Breadth and depth of engagement with rural communities, health professionals, and government bodies.</w:t>
      </w:r>
    </w:p>
    <w:p w14:paraId="6DD4F08F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Stakeholder satisfaction and perceived value.</w:t>
      </w:r>
    </w:p>
    <w:p w14:paraId="1D1D983C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t>Impact</w:t>
      </w:r>
    </w:p>
    <w:p w14:paraId="1365FA0F" w14:textId="271F78A9" w:rsidR="00554C61" w:rsidRPr="00554C61" w:rsidRDefault="00BB304C" w:rsidP="002E1F90">
      <w:pPr>
        <w:numPr>
          <w:ilvl w:val="1"/>
          <w:numId w:val="7"/>
        </w:numPr>
        <w:spacing w:line="240" w:lineRule="auto"/>
      </w:pPr>
      <w:r>
        <w:t>NHRC contribution to t</w:t>
      </w:r>
      <w:r w:rsidR="005B2DA2">
        <w:t xml:space="preserve">angible improvements in rural health infrastructure and services. </w:t>
      </w:r>
    </w:p>
    <w:p w14:paraId="4A36D722" w14:textId="60CEE964" w:rsidR="00554C61" w:rsidRPr="00554C61" w:rsidRDefault="00BB304C" w:rsidP="002E1F90">
      <w:pPr>
        <w:numPr>
          <w:ilvl w:val="1"/>
          <w:numId w:val="7"/>
        </w:numPr>
        <w:spacing w:line="240" w:lineRule="auto"/>
      </w:pPr>
      <w:r>
        <w:t>NHRC</w:t>
      </w:r>
      <w:r w:rsidR="005B2DA2">
        <w:t xml:space="preserve"> c</w:t>
      </w:r>
      <w:r w:rsidR="00554C61" w:rsidRPr="00554C61">
        <w:t>ontribution to systemic change or innovation</w:t>
      </w:r>
      <w:r>
        <w:t xml:space="preserve"> in rural health</w:t>
      </w:r>
      <w:r w:rsidR="00554C61" w:rsidRPr="00554C61">
        <w:t>.</w:t>
      </w:r>
    </w:p>
    <w:p w14:paraId="34E80A58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t>Legislative Adequacy</w:t>
      </w:r>
    </w:p>
    <w:p w14:paraId="44E1A763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Clarity and sufficiency of legislative provisions.</w:t>
      </w:r>
    </w:p>
    <w:p w14:paraId="1FDF5D81" w14:textId="58BBAEAF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Support for independence, transparency and accountability.</w:t>
      </w:r>
    </w:p>
    <w:p w14:paraId="5712DDDA" w14:textId="77777777" w:rsidR="00554C61" w:rsidRPr="00554C61" w:rsidRDefault="00554C61" w:rsidP="002E1F90">
      <w:pPr>
        <w:numPr>
          <w:ilvl w:val="0"/>
          <w:numId w:val="7"/>
        </w:numPr>
        <w:spacing w:line="240" w:lineRule="auto"/>
      </w:pPr>
      <w:r w:rsidRPr="00554C61">
        <w:t>Governance and Reporting</w:t>
      </w:r>
    </w:p>
    <w:p w14:paraId="09D5D2AF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Compliance with reporting obligations.</w:t>
      </w:r>
    </w:p>
    <w:p w14:paraId="6B0038EC" w14:textId="77777777" w:rsidR="00554C61" w:rsidRPr="00554C61" w:rsidRDefault="00554C61" w:rsidP="002E1F90">
      <w:pPr>
        <w:numPr>
          <w:ilvl w:val="1"/>
          <w:numId w:val="7"/>
        </w:numPr>
        <w:spacing w:line="240" w:lineRule="auto"/>
      </w:pPr>
      <w:r w:rsidRPr="00554C61">
        <w:t>Transparency and accessibility of outputs.</w:t>
      </w:r>
    </w:p>
    <w:p w14:paraId="583533AB" w14:textId="24850FC3" w:rsidR="0069519C" w:rsidRDefault="0069519C" w:rsidP="0069519C">
      <w:pPr>
        <w:pStyle w:val="Heading2"/>
      </w:pPr>
      <w:r>
        <w:t>Review Lead and consultation</w:t>
      </w:r>
    </w:p>
    <w:p w14:paraId="56917DE2" w14:textId="58DF523B" w:rsidR="00FB444A" w:rsidRPr="005917B7" w:rsidRDefault="00FB444A" w:rsidP="00FB444A">
      <w:r w:rsidRPr="005917B7">
        <w:t xml:space="preserve">The review will be conducted by an independent reviewer(s) appointed by the </w:t>
      </w:r>
      <w:r>
        <w:t>Department of Health, Disability and Ageing</w:t>
      </w:r>
      <w:r w:rsidRPr="005917B7">
        <w:t>. The reviewer(s) must have expertise in rural health policy, legislation, and stakeholder engagement.</w:t>
      </w:r>
    </w:p>
    <w:p w14:paraId="332D41C3" w14:textId="75343CD6" w:rsidR="00FB444A" w:rsidRDefault="00FF234C" w:rsidP="00FF234C">
      <w:pPr>
        <w:pStyle w:val="Heading2"/>
      </w:pPr>
      <w:r>
        <w:t>Report</w:t>
      </w:r>
    </w:p>
    <w:p w14:paraId="5D3547F3" w14:textId="0343373D" w:rsidR="00FF234C" w:rsidRPr="00FF234C" w:rsidRDefault="00572B0B" w:rsidP="00FF234C">
      <w:r>
        <w:t>T</w:t>
      </w:r>
      <w:r w:rsidRPr="00572B0B">
        <w:t xml:space="preserve">he </w:t>
      </w:r>
      <w:r w:rsidR="00F66DAC">
        <w:t xml:space="preserve">final </w:t>
      </w:r>
      <w:r w:rsidRPr="00572B0B">
        <w:t xml:space="preserve">report </w:t>
      </w:r>
      <w:r w:rsidR="007A7FD2">
        <w:t xml:space="preserve">will be provided </w:t>
      </w:r>
      <w:r w:rsidRPr="00572B0B">
        <w:t xml:space="preserve">to the </w:t>
      </w:r>
      <w:r w:rsidR="00E21770">
        <w:t xml:space="preserve">Assistant Minister for </w:t>
      </w:r>
      <w:r w:rsidRPr="00572B0B">
        <w:t>Rural</w:t>
      </w:r>
      <w:r w:rsidR="00E21770">
        <w:t xml:space="preserve"> and Regional</w:t>
      </w:r>
      <w:r w:rsidRPr="00572B0B">
        <w:t xml:space="preserve"> </w:t>
      </w:r>
      <w:r w:rsidR="00A50314" w:rsidRPr="00572B0B">
        <w:t>Health</w:t>
      </w:r>
      <w:r w:rsidR="00A50314">
        <w:t xml:space="preserve"> and</w:t>
      </w:r>
      <w:r w:rsidR="007A7FD2">
        <w:t xml:space="preserve"> </w:t>
      </w:r>
      <w:r w:rsidRPr="00572B0B">
        <w:t>will be tabled in Parliament and made publicly available.</w:t>
      </w:r>
    </w:p>
    <w:p w14:paraId="18E30993" w14:textId="5C43FC40" w:rsidR="00E21770" w:rsidRPr="008822F2" w:rsidRDefault="0069519C" w:rsidP="00E21770">
      <w:pPr>
        <w:kinsoku w:val="0"/>
        <w:overflowPunct w:val="0"/>
        <w:textAlignment w:val="baseline"/>
        <w:rPr>
          <w:rFonts w:cstheme="minorHAnsi"/>
          <w:b/>
          <w:bCs/>
          <w:i/>
          <w:sz w:val="22"/>
          <w:szCs w:val="22"/>
        </w:rPr>
      </w:pPr>
      <w:r w:rsidRPr="008822F2">
        <w:rPr>
          <w:rFonts w:cstheme="minorHAnsi"/>
          <w:sz w:val="22"/>
          <w:szCs w:val="22"/>
        </w:rPr>
        <w:tab/>
      </w:r>
    </w:p>
    <w:p w14:paraId="4C709832" w14:textId="2741247B" w:rsidR="0069519C" w:rsidRPr="008822F2" w:rsidRDefault="0069519C" w:rsidP="0069519C">
      <w:pPr>
        <w:kinsoku w:val="0"/>
        <w:overflowPunct w:val="0"/>
        <w:textAlignment w:val="baseline"/>
        <w:rPr>
          <w:rFonts w:cstheme="minorHAnsi"/>
          <w:b/>
          <w:bCs/>
          <w:i/>
          <w:sz w:val="22"/>
          <w:szCs w:val="22"/>
        </w:rPr>
      </w:pPr>
    </w:p>
    <w:p w14:paraId="427DBE36" w14:textId="77777777" w:rsidR="0069519C" w:rsidRPr="0069519C" w:rsidRDefault="0069519C" w:rsidP="0069519C"/>
    <w:sectPr w:rsidR="0069519C" w:rsidRPr="0069519C" w:rsidSect="0006014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8B6E" w14:textId="77777777" w:rsidR="00B145AA" w:rsidRDefault="00B145AA" w:rsidP="0038364E">
      <w:pPr>
        <w:spacing w:after="0" w:line="240" w:lineRule="auto"/>
      </w:pPr>
      <w:r>
        <w:separator/>
      </w:r>
    </w:p>
  </w:endnote>
  <w:endnote w:type="continuationSeparator" w:id="0">
    <w:p w14:paraId="108E88DD" w14:textId="77777777" w:rsidR="00B145AA" w:rsidRDefault="00B145AA" w:rsidP="0038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121F" w14:textId="371694D1" w:rsidR="0038364E" w:rsidRDefault="003836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57DE27" wp14:editId="45E5F6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3420262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74AA7" w14:textId="54B79FE4" w:rsidR="0038364E" w:rsidRPr="0038364E" w:rsidRDefault="0038364E" w:rsidP="003836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836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7D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2AB74AA7" w14:textId="54B79FE4" w:rsidR="0038364E" w:rsidRPr="0038364E" w:rsidRDefault="0038364E" w:rsidP="003836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8364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6F96" w14:textId="5E6FA279" w:rsidR="0038364E" w:rsidRDefault="003836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B8D233" wp14:editId="5DE5B7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921933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99B3C" w14:textId="6465048B" w:rsidR="0038364E" w:rsidRPr="0038364E" w:rsidRDefault="0038364E" w:rsidP="003836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836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8D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A+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9COQPg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0F199B3C" w14:textId="6465048B" w:rsidR="0038364E" w:rsidRPr="0038364E" w:rsidRDefault="0038364E" w:rsidP="003836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8364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FF2C" w14:textId="77777777" w:rsidR="00B145AA" w:rsidRDefault="00B145AA" w:rsidP="0038364E">
      <w:pPr>
        <w:spacing w:after="0" w:line="240" w:lineRule="auto"/>
      </w:pPr>
      <w:r>
        <w:separator/>
      </w:r>
    </w:p>
  </w:footnote>
  <w:footnote w:type="continuationSeparator" w:id="0">
    <w:p w14:paraId="19A60006" w14:textId="77777777" w:rsidR="00B145AA" w:rsidRDefault="00B145AA" w:rsidP="0038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8AA6" w14:textId="3728E832" w:rsidR="0038364E" w:rsidRDefault="003836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09358" wp14:editId="06B177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24154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29C5C" w14:textId="68455015" w:rsidR="0038364E" w:rsidRPr="0038364E" w:rsidRDefault="0038364E" w:rsidP="003836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836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09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5C529C5C" w14:textId="68455015" w:rsidR="0038364E" w:rsidRPr="0038364E" w:rsidRDefault="0038364E" w:rsidP="003836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8364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3CB4" w14:textId="41B66DDD" w:rsidR="0038364E" w:rsidRDefault="00060148" w:rsidP="00060148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3D817500" wp14:editId="430B5303">
          <wp:extent cx="3641782" cy="581025"/>
          <wp:effectExtent l="0" t="0" r="0" b="0"/>
          <wp:docPr id="1131719607" name="Picture 1" descr="The 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19607" name="Picture 1" descr="The Department of Health, Disability and Age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217" cy="58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00D" w14:textId="47DDAF54" w:rsidR="0038364E" w:rsidRDefault="003836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C0647" wp14:editId="73F10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7783573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99C49" w14:textId="066D7863" w:rsidR="0038364E" w:rsidRPr="0038364E" w:rsidRDefault="0038364E" w:rsidP="003836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836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C0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6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KS8/X5cRJbv8bJ0P3wRoEo2aOtxKIosd&#10;1j6MqVNKrGVg1SmVNqPMbw7EjJ7s0mG0wrAdSNfU9O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Bp2Nw6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5A799C49" w14:textId="066D7863" w:rsidR="0038364E" w:rsidRPr="0038364E" w:rsidRDefault="0038364E" w:rsidP="003836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8364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CE1"/>
    <w:multiLevelType w:val="multilevel"/>
    <w:tmpl w:val="859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E168D"/>
    <w:multiLevelType w:val="multilevel"/>
    <w:tmpl w:val="B65E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A3408"/>
    <w:multiLevelType w:val="hybridMultilevel"/>
    <w:tmpl w:val="C59EB3B4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2A942CF0"/>
    <w:multiLevelType w:val="multilevel"/>
    <w:tmpl w:val="5AA6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D7628"/>
    <w:multiLevelType w:val="multilevel"/>
    <w:tmpl w:val="722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0035FA"/>
    <w:multiLevelType w:val="multilevel"/>
    <w:tmpl w:val="05D2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82B29"/>
    <w:multiLevelType w:val="hybridMultilevel"/>
    <w:tmpl w:val="C4569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55C"/>
    <w:multiLevelType w:val="hybridMultilevel"/>
    <w:tmpl w:val="6818EB74"/>
    <w:lvl w:ilvl="0" w:tplc="FF1462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D436D9"/>
    <w:multiLevelType w:val="multilevel"/>
    <w:tmpl w:val="C37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730F3"/>
    <w:multiLevelType w:val="hybridMultilevel"/>
    <w:tmpl w:val="10AAB67A"/>
    <w:lvl w:ilvl="0" w:tplc="5660F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864EEE">
      <w:start w:val="1"/>
      <w:numFmt w:val="lowerLetter"/>
      <w:lvlText w:val="%2."/>
      <w:lvlJc w:val="left"/>
      <w:pPr>
        <w:ind w:left="1080" w:hanging="360"/>
      </w:pPr>
    </w:lvl>
    <w:lvl w:ilvl="2" w:tplc="58124468">
      <w:start w:val="1"/>
      <w:numFmt w:val="lowerRoman"/>
      <w:lvlText w:val="%3."/>
      <w:lvlJc w:val="right"/>
      <w:pPr>
        <w:ind w:left="1800" w:hanging="180"/>
      </w:pPr>
    </w:lvl>
    <w:lvl w:ilvl="3" w:tplc="B58C7406" w:tentative="1">
      <w:start w:val="1"/>
      <w:numFmt w:val="decimal"/>
      <w:lvlText w:val="%4."/>
      <w:lvlJc w:val="left"/>
      <w:pPr>
        <w:ind w:left="2520" w:hanging="360"/>
      </w:pPr>
    </w:lvl>
    <w:lvl w:ilvl="4" w:tplc="75FE16BE" w:tentative="1">
      <w:start w:val="1"/>
      <w:numFmt w:val="lowerLetter"/>
      <w:lvlText w:val="%5."/>
      <w:lvlJc w:val="left"/>
      <w:pPr>
        <w:ind w:left="3240" w:hanging="360"/>
      </w:pPr>
    </w:lvl>
    <w:lvl w:ilvl="5" w:tplc="BF1E9090" w:tentative="1">
      <w:start w:val="1"/>
      <w:numFmt w:val="lowerRoman"/>
      <w:lvlText w:val="%6."/>
      <w:lvlJc w:val="right"/>
      <w:pPr>
        <w:ind w:left="3960" w:hanging="180"/>
      </w:pPr>
    </w:lvl>
    <w:lvl w:ilvl="6" w:tplc="7ECAA4D6" w:tentative="1">
      <w:start w:val="1"/>
      <w:numFmt w:val="decimal"/>
      <w:lvlText w:val="%7."/>
      <w:lvlJc w:val="left"/>
      <w:pPr>
        <w:ind w:left="4680" w:hanging="360"/>
      </w:pPr>
    </w:lvl>
    <w:lvl w:ilvl="7" w:tplc="220A4D34" w:tentative="1">
      <w:start w:val="1"/>
      <w:numFmt w:val="lowerLetter"/>
      <w:lvlText w:val="%8."/>
      <w:lvlJc w:val="left"/>
      <w:pPr>
        <w:ind w:left="5400" w:hanging="360"/>
      </w:pPr>
    </w:lvl>
    <w:lvl w:ilvl="8" w:tplc="498E37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DD5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2FE33C0"/>
    <w:multiLevelType w:val="multilevel"/>
    <w:tmpl w:val="0030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7A32CA"/>
    <w:multiLevelType w:val="multilevel"/>
    <w:tmpl w:val="6D9C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0943C9"/>
    <w:multiLevelType w:val="multilevel"/>
    <w:tmpl w:val="89BE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D454E"/>
    <w:multiLevelType w:val="multilevel"/>
    <w:tmpl w:val="0E3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B5333C"/>
    <w:multiLevelType w:val="multilevel"/>
    <w:tmpl w:val="9CF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6919D2"/>
    <w:multiLevelType w:val="multilevel"/>
    <w:tmpl w:val="675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11141"/>
    <w:multiLevelType w:val="hybridMultilevel"/>
    <w:tmpl w:val="5260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17A1F"/>
    <w:multiLevelType w:val="hybridMultilevel"/>
    <w:tmpl w:val="0F16FB28"/>
    <w:lvl w:ilvl="0" w:tplc="94FC16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35360">
    <w:abstractNumId w:val="7"/>
  </w:num>
  <w:num w:numId="2" w16cid:durableId="1717462236">
    <w:abstractNumId w:val="2"/>
  </w:num>
  <w:num w:numId="3" w16cid:durableId="1943872437">
    <w:abstractNumId w:val="9"/>
  </w:num>
  <w:num w:numId="4" w16cid:durableId="240454367">
    <w:abstractNumId w:val="18"/>
  </w:num>
  <w:num w:numId="5" w16cid:durableId="1896042050">
    <w:abstractNumId w:val="11"/>
  </w:num>
  <w:num w:numId="6" w16cid:durableId="1927223563">
    <w:abstractNumId w:val="0"/>
  </w:num>
  <w:num w:numId="7" w16cid:durableId="2062554285">
    <w:abstractNumId w:val="5"/>
  </w:num>
  <w:num w:numId="8" w16cid:durableId="1266840661">
    <w:abstractNumId w:val="3"/>
  </w:num>
  <w:num w:numId="9" w16cid:durableId="1250122520">
    <w:abstractNumId w:val="6"/>
  </w:num>
  <w:num w:numId="10" w16cid:durableId="967395964">
    <w:abstractNumId w:val="10"/>
  </w:num>
  <w:num w:numId="11" w16cid:durableId="1343161699">
    <w:abstractNumId w:val="13"/>
  </w:num>
  <w:num w:numId="12" w16cid:durableId="1392466435">
    <w:abstractNumId w:val="17"/>
  </w:num>
  <w:num w:numId="13" w16cid:durableId="1699433006">
    <w:abstractNumId w:val="4"/>
  </w:num>
  <w:num w:numId="14" w16cid:durableId="1143161192">
    <w:abstractNumId w:val="1"/>
  </w:num>
  <w:num w:numId="15" w16cid:durableId="826018605">
    <w:abstractNumId w:val="8"/>
  </w:num>
  <w:num w:numId="16" w16cid:durableId="667950641">
    <w:abstractNumId w:val="16"/>
  </w:num>
  <w:num w:numId="17" w16cid:durableId="1960405537">
    <w:abstractNumId w:val="15"/>
  </w:num>
  <w:num w:numId="18" w16cid:durableId="971860203">
    <w:abstractNumId w:val="14"/>
  </w:num>
  <w:num w:numId="19" w16cid:durableId="1945186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9C"/>
    <w:rsid w:val="00002031"/>
    <w:rsid w:val="00002A7B"/>
    <w:rsid w:val="00046DBC"/>
    <w:rsid w:val="0005468E"/>
    <w:rsid w:val="00055952"/>
    <w:rsid w:val="00060148"/>
    <w:rsid w:val="00073293"/>
    <w:rsid w:val="0008510D"/>
    <w:rsid w:val="0009121B"/>
    <w:rsid w:val="000B2EA9"/>
    <w:rsid w:val="000B5B79"/>
    <w:rsid w:val="00112E64"/>
    <w:rsid w:val="00117C05"/>
    <w:rsid w:val="00130EAA"/>
    <w:rsid w:val="00134246"/>
    <w:rsid w:val="00136DA4"/>
    <w:rsid w:val="00157043"/>
    <w:rsid w:val="0016663B"/>
    <w:rsid w:val="001944E3"/>
    <w:rsid w:val="001972D8"/>
    <w:rsid w:val="001A649A"/>
    <w:rsid w:val="00247676"/>
    <w:rsid w:val="0025525E"/>
    <w:rsid w:val="00260EB9"/>
    <w:rsid w:val="00272F09"/>
    <w:rsid w:val="00273170"/>
    <w:rsid w:val="0027349A"/>
    <w:rsid w:val="002902C2"/>
    <w:rsid w:val="00293D95"/>
    <w:rsid w:val="002A1FE0"/>
    <w:rsid w:val="002C337A"/>
    <w:rsid w:val="002D05EB"/>
    <w:rsid w:val="002E1F90"/>
    <w:rsid w:val="002F71AE"/>
    <w:rsid w:val="00320689"/>
    <w:rsid w:val="0033598F"/>
    <w:rsid w:val="003450BD"/>
    <w:rsid w:val="003517DA"/>
    <w:rsid w:val="00361A80"/>
    <w:rsid w:val="0038364E"/>
    <w:rsid w:val="003A76B1"/>
    <w:rsid w:val="003E5BA6"/>
    <w:rsid w:val="00404275"/>
    <w:rsid w:val="00435360"/>
    <w:rsid w:val="00457DAF"/>
    <w:rsid w:val="00493A78"/>
    <w:rsid w:val="004A32B5"/>
    <w:rsid w:val="00507233"/>
    <w:rsid w:val="00527F9A"/>
    <w:rsid w:val="00534191"/>
    <w:rsid w:val="00542843"/>
    <w:rsid w:val="00554C61"/>
    <w:rsid w:val="00572B0B"/>
    <w:rsid w:val="00576679"/>
    <w:rsid w:val="005A40D1"/>
    <w:rsid w:val="005B2DA2"/>
    <w:rsid w:val="005D3F9B"/>
    <w:rsid w:val="005E1346"/>
    <w:rsid w:val="005E36AC"/>
    <w:rsid w:val="00636B9F"/>
    <w:rsid w:val="006815E4"/>
    <w:rsid w:val="0069519C"/>
    <w:rsid w:val="00696D2F"/>
    <w:rsid w:val="006D767C"/>
    <w:rsid w:val="006F6CD5"/>
    <w:rsid w:val="00703B8C"/>
    <w:rsid w:val="0071160C"/>
    <w:rsid w:val="007510A3"/>
    <w:rsid w:val="007934FA"/>
    <w:rsid w:val="00796777"/>
    <w:rsid w:val="007A4E71"/>
    <w:rsid w:val="007A7FD2"/>
    <w:rsid w:val="007B0CEB"/>
    <w:rsid w:val="007C09B3"/>
    <w:rsid w:val="007E1D18"/>
    <w:rsid w:val="00801871"/>
    <w:rsid w:val="00823DD8"/>
    <w:rsid w:val="008272D1"/>
    <w:rsid w:val="00856B02"/>
    <w:rsid w:val="008643B4"/>
    <w:rsid w:val="008727A8"/>
    <w:rsid w:val="00872ECF"/>
    <w:rsid w:val="008768F5"/>
    <w:rsid w:val="00887C25"/>
    <w:rsid w:val="008B52A4"/>
    <w:rsid w:val="0090214A"/>
    <w:rsid w:val="00913642"/>
    <w:rsid w:val="00923772"/>
    <w:rsid w:val="00947B33"/>
    <w:rsid w:val="009E46CB"/>
    <w:rsid w:val="009F6EC5"/>
    <w:rsid w:val="00A03B4D"/>
    <w:rsid w:val="00A0617C"/>
    <w:rsid w:val="00A50314"/>
    <w:rsid w:val="00A61820"/>
    <w:rsid w:val="00A66592"/>
    <w:rsid w:val="00A85BEA"/>
    <w:rsid w:val="00A8725D"/>
    <w:rsid w:val="00A93101"/>
    <w:rsid w:val="00AA0D00"/>
    <w:rsid w:val="00AC0C2E"/>
    <w:rsid w:val="00AF0FAE"/>
    <w:rsid w:val="00B145AA"/>
    <w:rsid w:val="00B2350E"/>
    <w:rsid w:val="00B52BCA"/>
    <w:rsid w:val="00B56FAF"/>
    <w:rsid w:val="00B71D56"/>
    <w:rsid w:val="00BB039C"/>
    <w:rsid w:val="00BB304C"/>
    <w:rsid w:val="00BB5C90"/>
    <w:rsid w:val="00BF4CD6"/>
    <w:rsid w:val="00C0186D"/>
    <w:rsid w:val="00C576F6"/>
    <w:rsid w:val="00C80076"/>
    <w:rsid w:val="00C93438"/>
    <w:rsid w:val="00C970B6"/>
    <w:rsid w:val="00CF112E"/>
    <w:rsid w:val="00D00309"/>
    <w:rsid w:val="00D13B0A"/>
    <w:rsid w:val="00D3486F"/>
    <w:rsid w:val="00D72F09"/>
    <w:rsid w:val="00D7321C"/>
    <w:rsid w:val="00D77D81"/>
    <w:rsid w:val="00D91393"/>
    <w:rsid w:val="00DC5611"/>
    <w:rsid w:val="00DD6218"/>
    <w:rsid w:val="00DE3284"/>
    <w:rsid w:val="00E128DA"/>
    <w:rsid w:val="00E21770"/>
    <w:rsid w:val="00E25AC2"/>
    <w:rsid w:val="00E410E2"/>
    <w:rsid w:val="00E524FD"/>
    <w:rsid w:val="00E552FC"/>
    <w:rsid w:val="00EB1132"/>
    <w:rsid w:val="00EC7B34"/>
    <w:rsid w:val="00EF5988"/>
    <w:rsid w:val="00F11544"/>
    <w:rsid w:val="00F317C6"/>
    <w:rsid w:val="00F47F84"/>
    <w:rsid w:val="00F66DAC"/>
    <w:rsid w:val="00F77144"/>
    <w:rsid w:val="00F8649B"/>
    <w:rsid w:val="00FB444A"/>
    <w:rsid w:val="00FB6DA4"/>
    <w:rsid w:val="00FC5437"/>
    <w:rsid w:val="00FD1D95"/>
    <w:rsid w:val="00FD3667"/>
    <w:rsid w:val="00FF207A"/>
    <w:rsid w:val="00FF234C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9D6E6"/>
  <w15:chartTrackingRefBased/>
  <w15:docId w15:val="{22F9C766-3BD9-49CC-82D3-940A3486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9C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9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19C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locked/>
    <w:rsid w:val="0069519C"/>
  </w:style>
  <w:style w:type="character" w:styleId="FollowedHyperlink">
    <w:name w:val="FollowedHyperlink"/>
    <w:basedOn w:val="DefaultParagraphFont"/>
    <w:uiPriority w:val="99"/>
    <w:semiHidden/>
    <w:unhideWhenUsed/>
    <w:rsid w:val="0069519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042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2D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3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4E"/>
  </w:style>
  <w:style w:type="paragraph" w:styleId="Footer">
    <w:name w:val="footer"/>
    <w:basedOn w:val="Normal"/>
    <w:link w:val="FooterChar"/>
    <w:uiPriority w:val="99"/>
    <w:unhideWhenUsed/>
    <w:rsid w:val="00383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statement-of-expectations?language=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ealth.gov.au/our-work/onrhc/abou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gov.au/resources/publications/statement-of-intent-from-the-national-rural-health-commissioner-2-september-2024-to-30-june-2026?language=e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591</Words>
  <Characters>3828</Characters>
  <Application>Microsoft Office Word</Application>
  <DocSecurity>0</DocSecurity>
  <Lines>93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 - Independent Review of the NRHC</vt:lpstr>
    </vt:vector>
  </TitlesOfParts>
  <Company>Department of Health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- Independent Review of the NRHC</dc:title>
  <dc:subject>Review of the National Rural Health Commissioner legislative framework</dc:subject>
  <dc:creator>Australian Government Department of Health, Disability and Ageing</dc:creator>
  <cp:keywords/>
  <dc:description/>
  <cp:lastModifiedBy>OSBORNE, Alanna</cp:lastModifiedBy>
  <cp:revision>4</cp:revision>
  <dcterms:created xsi:type="dcterms:W3CDTF">2025-11-14T00:55:00Z</dcterms:created>
  <dcterms:modified xsi:type="dcterms:W3CDTF">2025-11-14T02:32:00Z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2e64ca81,1f3df83f,54fc21ea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4d054e59,4ffdb1e0,9e8fcce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2025-11-06T02:54:37Z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866dc4ab-6f3e-4c76-892a-421146ade355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