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78E8" w14:textId="10E48DB6" w:rsidR="001F2783" w:rsidRDefault="001971D6" w:rsidP="00FF62F0">
      <w:pPr>
        <w:pStyle w:val="Heading1"/>
      </w:pPr>
      <w:r w:rsidRPr="001971D6">
        <w:t xml:space="preserve">Rheumatic Fever </w:t>
      </w:r>
      <w:r w:rsidRPr="00FF62F0">
        <w:t>Strategy</w:t>
      </w:r>
      <w:r w:rsidR="005A1263">
        <w:t xml:space="preserve"> </w:t>
      </w:r>
      <w:r w:rsidR="00356692">
        <w:t xml:space="preserve">– </w:t>
      </w:r>
      <w:r w:rsidR="00356692" w:rsidRPr="001971D6">
        <w:t>Joint</w:t>
      </w:r>
      <w:r w:rsidRPr="001971D6">
        <w:t xml:space="preserve"> Advisory Committee Meeting, 26 June 2025</w:t>
      </w:r>
      <w:r w:rsidR="005A1263">
        <w:t>,</w:t>
      </w:r>
      <w:r w:rsidR="00FF62F0">
        <w:t xml:space="preserve"> </w:t>
      </w:r>
      <w:r w:rsidR="000A092B">
        <w:t>Communiqué</w:t>
      </w:r>
    </w:p>
    <w:p w14:paraId="687978E9" w14:textId="77777777" w:rsidR="001F2783" w:rsidRDefault="000A092B" w:rsidP="00FF62F0">
      <w:r>
        <w:t>The</w:t>
      </w:r>
      <w:r>
        <w:rPr>
          <w:spacing w:val="-1"/>
        </w:rPr>
        <w:t xml:space="preserve"> </w:t>
      </w:r>
      <w:r>
        <w:t>seventh</w:t>
      </w:r>
      <w:r>
        <w:rPr>
          <w:spacing w:val="-5"/>
        </w:rPr>
        <w:t xml:space="preserve"> </w:t>
      </w:r>
      <w:r>
        <w:t>meeting</w:t>
      </w:r>
      <w:r>
        <w:rPr>
          <w:spacing w:val="-5"/>
        </w:rPr>
        <w:t xml:space="preserve"> </w:t>
      </w:r>
      <w:r>
        <w:t>of</w:t>
      </w:r>
      <w:r>
        <w:rPr>
          <w:spacing w:val="-4"/>
        </w:rPr>
        <w:t xml:space="preserve"> </w:t>
      </w:r>
      <w:r>
        <w:t>the Rheumatic</w:t>
      </w:r>
      <w:r>
        <w:rPr>
          <w:spacing w:val="-4"/>
        </w:rPr>
        <w:t xml:space="preserve"> </w:t>
      </w:r>
      <w:r>
        <w:t>Fever</w:t>
      </w:r>
      <w:r>
        <w:rPr>
          <w:spacing w:val="-2"/>
        </w:rPr>
        <w:t xml:space="preserve"> </w:t>
      </w:r>
      <w:r>
        <w:t>Strategy</w:t>
      </w:r>
      <w:r>
        <w:rPr>
          <w:spacing w:val="-1"/>
        </w:rPr>
        <w:t xml:space="preserve"> </w:t>
      </w:r>
      <w:r>
        <w:t>(RFS)</w:t>
      </w:r>
      <w:r>
        <w:rPr>
          <w:spacing w:val="-2"/>
        </w:rPr>
        <w:t xml:space="preserve"> </w:t>
      </w:r>
      <w:r>
        <w:t>Joint</w:t>
      </w:r>
      <w:r>
        <w:rPr>
          <w:spacing w:val="-1"/>
        </w:rPr>
        <w:t xml:space="preserve"> </w:t>
      </w:r>
      <w:r>
        <w:t>Advisory</w:t>
      </w:r>
      <w:r>
        <w:rPr>
          <w:spacing w:val="-1"/>
        </w:rPr>
        <w:t xml:space="preserve"> </w:t>
      </w:r>
      <w:r>
        <w:t>Committee</w:t>
      </w:r>
      <w:r>
        <w:rPr>
          <w:spacing w:val="-4"/>
        </w:rPr>
        <w:t xml:space="preserve"> </w:t>
      </w:r>
      <w:r>
        <w:t>(JAC)</w:t>
      </w:r>
      <w:r>
        <w:rPr>
          <w:spacing w:val="-2"/>
        </w:rPr>
        <w:t xml:space="preserve"> </w:t>
      </w:r>
      <w:r>
        <w:t>was</w:t>
      </w:r>
      <w:r>
        <w:rPr>
          <w:spacing w:val="-1"/>
        </w:rPr>
        <w:t xml:space="preserve"> </w:t>
      </w:r>
      <w:r>
        <w:t>held</w:t>
      </w:r>
      <w:r>
        <w:rPr>
          <w:spacing w:val="-3"/>
        </w:rPr>
        <w:t xml:space="preserve"> </w:t>
      </w:r>
      <w:r>
        <w:t>in Canberra on 26 June 2025. The meeting was chaired by Dr. Dawn Casey, Deputy CEO of the National Aboriginal Community Controlled Health Organisation (NACCHO), and Ms. Melinda Turner, First Assistant Secretary, First Nations Health Division, from the Australian Government Department of Health, Disability and Ageing.</w:t>
      </w:r>
    </w:p>
    <w:p w14:paraId="687978EA" w14:textId="77777777" w:rsidR="001F2783" w:rsidRPr="00FF62F0" w:rsidRDefault="000A092B" w:rsidP="00FF62F0">
      <w:r>
        <w:t>The</w:t>
      </w:r>
      <w:r>
        <w:rPr>
          <w:spacing w:val="-5"/>
        </w:rPr>
        <w:t xml:space="preserve"> </w:t>
      </w:r>
      <w:r>
        <w:t>meeting</w:t>
      </w:r>
      <w:r>
        <w:rPr>
          <w:spacing w:val="-4"/>
        </w:rPr>
        <w:t xml:space="preserve"> </w:t>
      </w:r>
      <w:r>
        <w:t>covered</w:t>
      </w:r>
      <w:r>
        <w:rPr>
          <w:spacing w:val="-4"/>
        </w:rPr>
        <w:t xml:space="preserve"> </w:t>
      </w:r>
      <w:r>
        <w:t>several</w:t>
      </w:r>
      <w:r>
        <w:rPr>
          <w:spacing w:val="-3"/>
        </w:rPr>
        <w:t xml:space="preserve"> </w:t>
      </w:r>
      <w:r>
        <w:t>topics,</w:t>
      </w:r>
      <w:r>
        <w:rPr>
          <w:spacing w:val="-3"/>
        </w:rPr>
        <w:t xml:space="preserve"> </w:t>
      </w:r>
      <w:r>
        <w:t>including</w:t>
      </w:r>
      <w:r>
        <w:rPr>
          <w:spacing w:val="-3"/>
        </w:rPr>
        <w:t xml:space="preserve"> </w:t>
      </w:r>
      <w:r>
        <w:t>recent</w:t>
      </w:r>
      <w:r>
        <w:rPr>
          <w:spacing w:val="-2"/>
        </w:rPr>
        <w:t xml:space="preserve"> </w:t>
      </w:r>
      <w:r>
        <w:t>developments</w:t>
      </w:r>
      <w:r>
        <w:rPr>
          <w:spacing w:val="-5"/>
        </w:rPr>
        <w:t xml:space="preserve"> </w:t>
      </w:r>
      <w:r>
        <w:t>regarding</w:t>
      </w:r>
      <w:r>
        <w:rPr>
          <w:spacing w:val="-3"/>
        </w:rPr>
        <w:t xml:space="preserve"> </w:t>
      </w:r>
      <w:r>
        <w:t>acute</w:t>
      </w:r>
      <w:r>
        <w:rPr>
          <w:spacing w:val="-2"/>
        </w:rPr>
        <w:t xml:space="preserve"> </w:t>
      </w:r>
      <w:r>
        <w:t>rheumatic</w:t>
      </w:r>
      <w:r>
        <w:rPr>
          <w:spacing w:val="-5"/>
        </w:rPr>
        <w:t xml:space="preserve"> </w:t>
      </w:r>
      <w:r>
        <w:t xml:space="preserve">fever (ARF) and rheumatic </w:t>
      </w:r>
      <w:r w:rsidRPr="00FF62F0">
        <w:t>heart disease (RHD), and the utility and limitations of current data captured through the RFS.</w:t>
      </w:r>
    </w:p>
    <w:p w14:paraId="687978EB" w14:textId="639396AB" w:rsidR="001F2783" w:rsidRPr="00FF62F0" w:rsidRDefault="000A092B" w:rsidP="00FF62F0">
      <w:r w:rsidRPr="00FF62F0">
        <w:t xml:space="preserve">Participants provided updates from their respective jurisdictions. Several jurisdictions are progressing or finalising RHD strategies and action plans. Environmental health initiatives are underway, though resourcing remains a challenge. There is also work happening across the country to increase awareness of ARF and RHD, and of the link between housing and health. While some jurisdictions noted improvements in ARF recurrence and secondary prophylaxis adherence, others noted ARF and RHD numbers </w:t>
      </w:r>
      <w:r w:rsidR="00E012D1" w:rsidRPr="00FF62F0">
        <w:t>continue</w:t>
      </w:r>
      <w:r w:rsidRPr="00FF62F0">
        <w:t xml:space="preserve"> to rise.</w:t>
      </w:r>
    </w:p>
    <w:p w14:paraId="687978EC" w14:textId="0BBDCAD9" w:rsidR="001F2783" w:rsidRDefault="000A092B" w:rsidP="00FF62F0">
      <w:r w:rsidRPr="00FF62F0">
        <w:t>The Committee discussed data</w:t>
      </w:r>
      <w:r>
        <w:t xml:space="preserve"> and indicators needed to measure meaningful progress toward the national</w:t>
      </w:r>
      <w:r>
        <w:rPr>
          <w:spacing w:val="-2"/>
        </w:rPr>
        <w:t xml:space="preserve"> </w:t>
      </w:r>
      <w:r>
        <w:t>commitment</w:t>
      </w:r>
      <w:r>
        <w:rPr>
          <w:spacing w:val="-4"/>
        </w:rPr>
        <w:t xml:space="preserve"> </w:t>
      </w:r>
      <w:r>
        <w:t>to</w:t>
      </w:r>
      <w:r>
        <w:rPr>
          <w:spacing w:val="-3"/>
        </w:rPr>
        <w:t xml:space="preserve"> </w:t>
      </w:r>
      <w:r>
        <w:t>end</w:t>
      </w:r>
      <w:r>
        <w:rPr>
          <w:spacing w:val="-3"/>
        </w:rPr>
        <w:t xml:space="preserve"> </w:t>
      </w:r>
      <w:r>
        <w:t>new</w:t>
      </w:r>
      <w:r>
        <w:rPr>
          <w:spacing w:val="-1"/>
        </w:rPr>
        <w:t xml:space="preserve"> </w:t>
      </w:r>
      <w:r>
        <w:t>cases</w:t>
      </w:r>
      <w:r>
        <w:rPr>
          <w:spacing w:val="-4"/>
        </w:rPr>
        <w:t xml:space="preserve"> </w:t>
      </w:r>
      <w:r>
        <w:t>of</w:t>
      </w:r>
      <w:r>
        <w:rPr>
          <w:spacing w:val="-4"/>
        </w:rPr>
        <w:t xml:space="preserve"> </w:t>
      </w:r>
      <w:r>
        <w:t>RHD</w:t>
      </w:r>
      <w:r>
        <w:rPr>
          <w:spacing w:val="-1"/>
        </w:rPr>
        <w:t xml:space="preserve"> </w:t>
      </w:r>
      <w:r>
        <w:t>by</w:t>
      </w:r>
      <w:r>
        <w:rPr>
          <w:spacing w:val="-1"/>
        </w:rPr>
        <w:t xml:space="preserve"> </w:t>
      </w:r>
      <w:r>
        <w:t>2030.</w:t>
      </w:r>
      <w:r>
        <w:rPr>
          <w:spacing w:val="-2"/>
        </w:rPr>
        <w:t xml:space="preserve"> </w:t>
      </w:r>
      <w:r>
        <w:t>Several</w:t>
      </w:r>
      <w:r>
        <w:rPr>
          <w:spacing w:val="-5"/>
        </w:rPr>
        <w:t xml:space="preserve"> </w:t>
      </w:r>
      <w:r>
        <w:t>key</w:t>
      </w:r>
      <w:r>
        <w:rPr>
          <w:spacing w:val="-3"/>
        </w:rPr>
        <w:t xml:space="preserve"> </w:t>
      </w:r>
      <w:r>
        <w:t>issues</w:t>
      </w:r>
      <w:r>
        <w:rPr>
          <w:spacing w:val="-4"/>
        </w:rPr>
        <w:t xml:space="preserve"> </w:t>
      </w:r>
      <w:r>
        <w:t>were</w:t>
      </w:r>
      <w:r>
        <w:rPr>
          <w:spacing w:val="-1"/>
        </w:rPr>
        <w:t xml:space="preserve"> </w:t>
      </w:r>
      <w:r>
        <w:t>identified</w:t>
      </w:r>
      <w:r>
        <w:rPr>
          <w:spacing w:val="-2"/>
        </w:rPr>
        <w:t xml:space="preserve"> </w:t>
      </w:r>
      <w:r>
        <w:t>across</w:t>
      </w:r>
      <w:r>
        <w:rPr>
          <w:spacing w:val="-2"/>
        </w:rPr>
        <w:t xml:space="preserve"> </w:t>
      </w:r>
      <w:r>
        <w:t>data, governance,</w:t>
      </w:r>
      <w:r>
        <w:rPr>
          <w:spacing w:val="-1"/>
        </w:rPr>
        <w:t xml:space="preserve"> </w:t>
      </w:r>
      <w:r>
        <w:t>referral</w:t>
      </w:r>
      <w:r>
        <w:rPr>
          <w:spacing w:val="-4"/>
        </w:rPr>
        <w:t xml:space="preserve"> </w:t>
      </w:r>
      <w:r>
        <w:t>pathways,</w:t>
      </w:r>
      <w:r>
        <w:rPr>
          <w:spacing w:val="-1"/>
        </w:rPr>
        <w:t xml:space="preserve"> </w:t>
      </w:r>
      <w:r>
        <w:t>chronic</w:t>
      </w:r>
      <w:r>
        <w:rPr>
          <w:spacing w:val="-1"/>
        </w:rPr>
        <w:t xml:space="preserve"> </w:t>
      </w:r>
      <w:r>
        <w:t>disease</w:t>
      </w:r>
      <w:r>
        <w:rPr>
          <w:spacing w:val="-3"/>
        </w:rPr>
        <w:t xml:space="preserve"> </w:t>
      </w:r>
      <w:r>
        <w:t>management,</w:t>
      </w:r>
      <w:r>
        <w:rPr>
          <w:spacing w:val="-1"/>
        </w:rPr>
        <w:t xml:space="preserve"> </w:t>
      </w:r>
      <w:r>
        <w:t>and</w:t>
      </w:r>
      <w:r>
        <w:rPr>
          <w:spacing w:val="-2"/>
        </w:rPr>
        <w:t xml:space="preserve"> </w:t>
      </w:r>
      <w:r>
        <w:t>primordial</w:t>
      </w:r>
      <w:r>
        <w:rPr>
          <w:spacing w:val="-4"/>
        </w:rPr>
        <w:t xml:space="preserve"> </w:t>
      </w:r>
      <w:r>
        <w:t>prevention.</w:t>
      </w:r>
      <w:r>
        <w:rPr>
          <w:spacing w:val="-1"/>
        </w:rPr>
        <w:t xml:space="preserve"> </w:t>
      </w:r>
      <w:r>
        <w:t>Further</w:t>
      </w:r>
      <w:r>
        <w:rPr>
          <w:spacing w:val="-3"/>
        </w:rPr>
        <w:t xml:space="preserve"> </w:t>
      </w:r>
      <w:r>
        <w:t>work is</w:t>
      </w:r>
      <w:r>
        <w:rPr>
          <w:spacing w:val="-2"/>
        </w:rPr>
        <w:t xml:space="preserve"> </w:t>
      </w:r>
      <w:r>
        <w:t>required</w:t>
      </w:r>
      <w:r>
        <w:rPr>
          <w:spacing w:val="-3"/>
        </w:rPr>
        <w:t xml:space="preserve"> </w:t>
      </w:r>
      <w:r>
        <w:t>by</w:t>
      </w:r>
      <w:r>
        <w:rPr>
          <w:spacing w:val="-3"/>
        </w:rPr>
        <w:t xml:space="preserve"> </w:t>
      </w:r>
      <w:r>
        <w:t>all</w:t>
      </w:r>
      <w:r>
        <w:rPr>
          <w:spacing w:val="-2"/>
        </w:rPr>
        <w:t xml:space="preserve"> </w:t>
      </w:r>
      <w:r>
        <w:t>levels</w:t>
      </w:r>
      <w:r>
        <w:rPr>
          <w:spacing w:val="-4"/>
        </w:rPr>
        <w:t xml:space="preserve"> </w:t>
      </w:r>
      <w:r>
        <w:t>of</w:t>
      </w:r>
      <w:r>
        <w:rPr>
          <w:spacing w:val="-4"/>
        </w:rPr>
        <w:t xml:space="preserve"> </w:t>
      </w:r>
      <w:r>
        <w:t>government</w:t>
      </w:r>
      <w:r>
        <w:rPr>
          <w:spacing w:val="-1"/>
        </w:rPr>
        <w:t xml:space="preserve"> </w:t>
      </w:r>
      <w:r>
        <w:t>to</w:t>
      </w:r>
      <w:r>
        <w:rPr>
          <w:spacing w:val="-2"/>
        </w:rPr>
        <w:t xml:space="preserve"> </w:t>
      </w:r>
      <w:r>
        <w:t>embody</w:t>
      </w:r>
      <w:r>
        <w:rPr>
          <w:spacing w:val="-3"/>
        </w:rPr>
        <w:t xml:space="preserve"> </w:t>
      </w:r>
      <w:r>
        <w:t>the</w:t>
      </w:r>
      <w:r>
        <w:rPr>
          <w:spacing w:val="-3"/>
        </w:rPr>
        <w:t xml:space="preserve"> </w:t>
      </w:r>
      <w:r>
        <w:t>principles</w:t>
      </w:r>
      <w:r>
        <w:rPr>
          <w:spacing w:val="-2"/>
        </w:rPr>
        <w:t xml:space="preserve"> </w:t>
      </w:r>
      <w:r>
        <w:t>outlined</w:t>
      </w:r>
      <w:r>
        <w:rPr>
          <w:spacing w:val="-5"/>
        </w:rPr>
        <w:t xml:space="preserve"> </w:t>
      </w:r>
      <w:r>
        <w:t>in</w:t>
      </w:r>
      <w:r>
        <w:rPr>
          <w:spacing w:val="-3"/>
        </w:rPr>
        <w:t xml:space="preserve"> </w:t>
      </w:r>
      <w:r>
        <w:t>the</w:t>
      </w:r>
      <w:r>
        <w:rPr>
          <w:spacing w:val="-1"/>
        </w:rPr>
        <w:t xml:space="preserve"> </w:t>
      </w:r>
      <w:r>
        <w:rPr>
          <w:i/>
        </w:rPr>
        <w:t>National</w:t>
      </w:r>
      <w:r>
        <w:rPr>
          <w:i/>
          <w:spacing w:val="-2"/>
        </w:rPr>
        <w:t xml:space="preserve"> </w:t>
      </w:r>
      <w:r>
        <w:rPr>
          <w:i/>
        </w:rPr>
        <w:t>Agreement</w:t>
      </w:r>
      <w:r>
        <w:rPr>
          <w:i/>
          <w:spacing w:val="-1"/>
        </w:rPr>
        <w:t xml:space="preserve"> </w:t>
      </w:r>
      <w:r>
        <w:rPr>
          <w:i/>
        </w:rPr>
        <w:t>on Closing the Gap</w:t>
      </w:r>
      <w:r>
        <w:t>,</w:t>
      </w:r>
      <w:r>
        <w:rPr>
          <w:spacing w:val="40"/>
        </w:rPr>
        <w:t xml:space="preserve"> </w:t>
      </w:r>
      <w:r>
        <w:t xml:space="preserve">particularly priority reform one and priority reform four. Participants workshopped what success would look like, developed outcomes </w:t>
      </w:r>
      <w:r w:rsidR="008A3CC1">
        <w:t>statements,</w:t>
      </w:r>
      <w:r>
        <w:t xml:space="preserve"> and identified actions required to address each issue.</w:t>
      </w:r>
    </w:p>
    <w:p w14:paraId="687978ED" w14:textId="77777777" w:rsidR="001F2783" w:rsidRPr="00FF62F0" w:rsidRDefault="000A092B" w:rsidP="00FF62F0">
      <w:r>
        <w:t xml:space="preserve">Co-chairs confirmed </w:t>
      </w:r>
      <w:r w:rsidRPr="00FF62F0">
        <w:t>the JAC will continue to meet up to 30 June 2028, noting the RFS has been extended to support the ongoing efforts to end new cases of ARF and RHD. The strategic issues workshopped during this meeting will inform a revised workplan for the JAC. Revisions to the current Terms of Reference and Committee membership were also discussed.</w:t>
      </w:r>
    </w:p>
    <w:p w14:paraId="2B53366B" w14:textId="1B3EB67A" w:rsidR="00C142D1" w:rsidRPr="00FF62F0" w:rsidRDefault="000A092B" w:rsidP="00FF62F0">
      <w:r w:rsidRPr="00FF62F0">
        <w:t>The ongoing shortage of long-acting benzathine benzylpenicillin (Bicillin L-A) was raised as a key risk, and NACCHO provided an update on current efforts to mitigate this risk. Other related issues discussed included access to echocardiograms</w:t>
      </w:r>
      <w:r>
        <w:t xml:space="preserve"> and cardiology review in remote areas, and RHD in pregnancy.</w:t>
      </w:r>
    </w:p>
    <w:p w14:paraId="63EC8800" w14:textId="4FEB33B8" w:rsidR="00C142D1" w:rsidRDefault="00B4601C" w:rsidP="00FF62F0">
      <w:pPr>
        <w:pStyle w:val="Heading2"/>
      </w:pPr>
      <w:r w:rsidRPr="00C142D1">
        <w:t>NEXT STEPS</w:t>
      </w:r>
    </w:p>
    <w:p w14:paraId="01C7B12A" w14:textId="0D2C0C0A" w:rsidR="00E012D1" w:rsidRPr="00FF62F0" w:rsidRDefault="00C142D1" w:rsidP="00FF62F0">
      <w:r w:rsidRPr="00C142D1">
        <w:t xml:space="preserve">The Committee will meet </w:t>
      </w:r>
      <w:r w:rsidRPr="00FF62F0">
        <w:t>again</w:t>
      </w:r>
      <w:r w:rsidRPr="00C142D1">
        <w:t xml:space="preserve"> in 2025 to discuss the outcome of the Terms of Reference review and next steps for the strategic issues identified. For further information, please contact the RFS JAC Secretariat via: </w:t>
      </w:r>
      <w:hyperlink r:id="rId7">
        <w:r w:rsidRPr="00C142D1">
          <w:rPr>
            <w:rStyle w:val="Hyperlink"/>
          </w:rPr>
          <w:t>RFS@health.gov.au</w:t>
        </w:r>
      </w:hyperlink>
      <w:r w:rsidRPr="00C142D1">
        <w:t xml:space="preserve"> or the NACCHO RHD Team </w:t>
      </w:r>
      <w:hyperlink r:id="rId8">
        <w:r w:rsidRPr="00C142D1">
          <w:rPr>
            <w:rStyle w:val="Hyperlink"/>
          </w:rPr>
          <w:t>rhd@naccho.org.au</w:t>
        </w:r>
      </w:hyperlink>
    </w:p>
    <w:sectPr w:rsidR="00E012D1" w:rsidRPr="00FF62F0">
      <w:headerReference w:type="even" r:id="rId9"/>
      <w:headerReference w:type="default" r:id="rId10"/>
      <w:footerReference w:type="even" r:id="rId11"/>
      <w:footerReference w:type="default" r:id="rId12"/>
      <w:headerReference w:type="first" r:id="rId13"/>
      <w:footerReference w:type="first" r:id="rId14"/>
      <w:pgSz w:w="12240" w:h="15840"/>
      <w:pgMar w:top="1820" w:right="14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F8B1" w14:textId="77777777" w:rsidR="00174B9A" w:rsidRDefault="00174B9A" w:rsidP="00E012D1">
      <w:r>
        <w:separator/>
      </w:r>
    </w:p>
  </w:endnote>
  <w:endnote w:type="continuationSeparator" w:id="0">
    <w:p w14:paraId="496A909E" w14:textId="77777777" w:rsidR="00174B9A" w:rsidRDefault="00174B9A" w:rsidP="00E0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8ED7" w14:textId="77777777" w:rsidR="0040105C" w:rsidRDefault="00401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3E1C" w14:textId="77777777" w:rsidR="0040105C" w:rsidRDefault="00401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7DF5" w14:textId="77777777" w:rsidR="0040105C" w:rsidRDefault="00401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9CE7" w14:textId="77777777" w:rsidR="00174B9A" w:rsidRDefault="00174B9A" w:rsidP="00E012D1">
      <w:r>
        <w:separator/>
      </w:r>
    </w:p>
  </w:footnote>
  <w:footnote w:type="continuationSeparator" w:id="0">
    <w:p w14:paraId="1B3208FD" w14:textId="77777777" w:rsidR="00174B9A" w:rsidRDefault="00174B9A" w:rsidP="00E0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4FBB" w14:textId="77777777" w:rsidR="0040105C" w:rsidRDefault="00401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DD03" w14:textId="4EFA8C3C" w:rsidR="00FF62F0" w:rsidRDefault="0040105C">
    <w:pPr>
      <w:pStyle w:val="Header"/>
    </w:pPr>
    <w:r>
      <w:rPr>
        <w:noProof/>
      </w:rPr>
      <w:drawing>
        <wp:inline distT="0" distB="0" distL="0" distR="0" wp14:anchorId="0ED65864" wp14:editId="79AF6E5B">
          <wp:extent cx="2551181" cy="954026"/>
          <wp:effectExtent l="0" t="0" r="1905" b="0"/>
          <wp:docPr id="2131984056" name="Picture 1"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84056" name="Picture 1" descr="A black background with a black square"/>
                  <pic:cNvPicPr/>
                </pic:nvPicPr>
                <pic:blipFill>
                  <a:blip r:embed="rId1">
                    <a:extLst>
                      <a:ext uri="{28A0092B-C50C-407E-A947-70E740481C1C}">
                        <a14:useLocalDpi xmlns:a14="http://schemas.microsoft.com/office/drawing/2010/main" val="0"/>
                      </a:ext>
                    </a:extLst>
                  </a:blip>
                  <a:stretch>
                    <a:fillRect/>
                  </a:stretch>
                </pic:blipFill>
                <pic:spPr>
                  <a:xfrm>
                    <a:off x="0" y="0"/>
                    <a:ext cx="2551181" cy="954026"/>
                  </a:xfrm>
                  <a:prstGeom prst="rect">
                    <a:avLst/>
                  </a:prstGeom>
                </pic:spPr>
              </pic:pic>
            </a:graphicData>
          </a:graphic>
        </wp:inline>
      </w:drawing>
    </w:r>
    <w:r>
      <w:tab/>
    </w:r>
    <w:r>
      <w:rPr>
        <w:noProof/>
      </w:rPr>
      <w:tab/>
    </w:r>
    <w:r>
      <w:rPr>
        <w:noProof/>
      </w:rPr>
      <w:drawing>
        <wp:inline distT="0" distB="0" distL="0" distR="0" wp14:anchorId="7CE2CB4F" wp14:editId="239E9D06">
          <wp:extent cx="1009650" cy="1190625"/>
          <wp:effectExtent l="0" t="0" r="0" b="9525"/>
          <wp:docPr id="167443656" name="Picture 1" descr="NACCH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3656" name="Picture 1" descr="NACCHO logo"/>
                  <pic:cNvPicPr/>
                </pic:nvPicPr>
                <pic:blipFill>
                  <a:blip r:embed="rId2"/>
                  <a:stretch>
                    <a:fillRect/>
                  </a:stretch>
                </pic:blipFill>
                <pic:spPr>
                  <a:xfrm>
                    <a:off x="0" y="0"/>
                    <a:ext cx="1009650" cy="11906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9B8D" w14:textId="77777777" w:rsidR="0040105C" w:rsidRDefault="00401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83"/>
    <w:rsid w:val="00037543"/>
    <w:rsid w:val="000561AA"/>
    <w:rsid w:val="000A092B"/>
    <w:rsid w:val="00174B9A"/>
    <w:rsid w:val="00183FE9"/>
    <w:rsid w:val="001971D6"/>
    <w:rsid w:val="001F2783"/>
    <w:rsid w:val="00213C38"/>
    <w:rsid w:val="002C3C78"/>
    <w:rsid w:val="00337BD1"/>
    <w:rsid w:val="00356692"/>
    <w:rsid w:val="003903C6"/>
    <w:rsid w:val="0040105C"/>
    <w:rsid w:val="00503A27"/>
    <w:rsid w:val="005A1263"/>
    <w:rsid w:val="00640971"/>
    <w:rsid w:val="006F7914"/>
    <w:rsid w:val="007510D5"/>
    <w:rsid w:val="008A3CC1"/>
    <w:rsid w:val="009A0724"/>
    <w:rsid w:val="009B6621"/>
    <w:rsid w:val="00AE4D26"/>
    <w:rsid w:val="00B03BEC"/>
    <w:rsid w:val="00B1236B"/>
    <w:rsid w:val="00B4601C"/>
    <w:rsid w:val="00BA7F65"/>
    <w:rsid w:val="00C142D1"/>
    <w:rsid w:val="00D62D3F"/>
    <w:rsid w:val="00E012D1"/>
    <w:rsid w:val="00E1200C"/>
    <w:rsid w:val="00F10A27"/>
    <w:rsid w:val="00F16F8C"/>
    <w:rsid w:val="00F84053"/>
    <w:rsid w:val="00FE2634"/>
    <w:rsid w:val="00FF62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978E1"/>
  <w15:docId w15:val="{5346192B-F6BC-4913-85F0-1D9B80BE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F0"/>
    <w:pPr>
      <w:spacing w:before="120" w:after="120"/>
    </w:pPr>
    <w:rPr>
      <w:rFonts w:ascii="Calibri" w:eastAsia="Calibri" w:hAnsi="Calibri" w:cs="Calibri"/>
    </w:rPr>
  </w:style>
  <w:style w:type="paragraph" w:styleId="Heading1">
    <w:name w:val="heading 1"/>
    <w:basedOn w:val="Normal"/>
    <w:uiPriority w:val="9"/>
    <w:qFormat/>
    <w:rsid w:val="00FF62F0"/>
    <w:pPr>
      <w:ind w:left="358"/>
      <w:jc w:val="center"/>
      <w:outlineLvl w:val="0"/>
    </w:pPr>
    <w:rPr>
      <w:b/>
      <w:bCs/>
      <w:sz w:val="24"/>
    </w:rPr>
  </w:style>
  <w:style w:type="paragraph" w:styleId="Heading2">
    <w:name w:val="heading 2"/>
    <w:basedOn w:val="Normal"/>
    <w:next w:val="Normal"/>
    <w:link w:val="Heading2Char"/>
    <w:uiPriority w:val="9"/>
    <w:unhideWhenUsed/>
    <w:qFormat/>
    <w:rsid w:val="00FF62F0"/>
    <w:pPr>
      <w:keepNext/>
      <w:keepLines/>
      <w:spacing w:before="40"/>
      <w:outlineLvl w:val="1"/>
    </w:pPr>
    <w:rPr>
      <w:rFonts w:asciiTheme="minorHAnsi" w:eastAsiaTheme="majorEastAsia" w:hAnsiTheme="min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12D1"/>
    <w:pPr>
      <w:tabs>
        <w:tab w:val="center" w:pos="4513"/>
        <w:tab w:val="right" w:pos="9026"/>
      </w:tabs>
    </w:pPr>
  </w:style>
  <w:style w:type="character" w:customStyle="1" w:styleId="HeaderChar">
    <w:name w:val="Header Char"/>
    <w:basedOn w:val="DefaultParagraphFont"/>
    <w:link w:val="Header"/>
    <w:uiPriority w:val="99"/>
    <w:rsid w:val="00E012D1"/>
    <w:rPr>
      <w:rFonts w:ascii="Calibri" w:eastAsia="Calibri" w:hAnsi="Calibri" w:cs="Calibri"/>
    </w:rPr>
  </w:style>
  <w:style w:type="paragraph" w:styleId="Footer">
    <w:name w:val="footer"/>
    <w:basedOn w:val="Normal"/>
    <w:link w:val="FooterChar"/>
    <w:uiPriority w:val="99"/>
    <w:unhideWhenUsed/>
    <w:rsid w:val="00E012D1"/>
    <w:pPr>
      <w:tabs>
        <w:tab w:val="center" w:pos="4513"/>
        <w:tab w:val="right" w:pos="9026"/>
      </w:tabs>
    </w:pPr>
  </w:style>
  <w:style w:type="character" w:customStyle="1" w:styleId="FooterChar">
    <w:name w:val="Footer Char"/>
    <w:basedOn w:val="DefaultParagraphFont"/>
    <w:link w:val="Footer"/>
    <w:uiPriority w:val="99"/>
    <w:rsid w:val="00E012D1"/>
    <w:rPr>
      <w:rFonts w:ascii="Calibri" w:eastAsia="Calibri" w:hAnsi="Calibri" w:cs="Calibri"/>
    </w:rPr>
  </w:style>
  <w:style w:type="character" w:customStyle="1" w:styleId="Heading2Char">
    <w:name w:val="Heading 2 Char"/>
    <w:basedOn w:val="DefaultParagraphFont"/>
    <w:link w:val="Heading2"/>
    <w:uiPriority w:val="9"/>
    <w:rsid w:val="00FF62F0"/>
    <w:rPr>
      <w:rFonts w:eastAsiaTheme="majorEastAsia" w:cstheme="majorBidi"/>
      <w:b/>
      <w:sz w:val="24"/>
      <w:szCs w:val="26"/>
    </w:rPr>
  </w:style>
  <w:style w:type="character" w:styleId="Hyperlink">
    <w:name w:val="Hyperlink"/>
    <w:basedOn w:val="DefaultParagraphFont"/>
    <w:uiPriority w:val="99"/>
    <w:unhideWhenUsed/>
    <w:rsid w:val="00C142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hd@naccho.org.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FS@health.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B28FB-DD08-4975-8798-B133024A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410</Words>
  <Characters>2379</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Rheumatic Fever Strategy – Joint Advisory Committee Meeting, 26 June 2025, Communiqué</dc:title>
  <dc:subject>Aboriginal and Torres Strait Islander health</dc:subject>
  <dc:creator>Australian Government Department of Health, Disability and Ageing</dc:creator>
  <dc:description/>
  <cp:lastModifiedBy>MASCHKE, Elvia</cp:lastModifiedBy>
  <cp:revision>3</cp:revision>
  <dcterms:created xsi:type="dcterms:W3CDTF">2025-11-17T05:19:00Z</dcterms:created>
  <dcterms:modified xsi:type="dcterms:W3CDTF">2025-11-17T05:21:00Z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0x0101002950611A16AE18488890914C7813D827</vt:lpwstr>
  </property>
  <property fmtid="{D5CDD505-2E9C-101B-9397-08002B2CF9AE}" pid="3" name="Created">
    <vt:filetime>2025-11-06T00:00:00Z</vt:filetime>
  </property>
  <property fmtid="{D5CDD505-2E9C-101B-9397-08002B2CF9AE}" pid="4" name="Creator">
    <vt:lpwstr>Acrobat PDFMaker 25 for Word</vt:lpwstr>
  </property>
  <property fmtid="{D5CDD505-2E9C-101B-9397-08002B2CF9AE}" pid="5" name="LastSaved">
    <vt:filetime>2025-11-17T00:00:00Z</vt:filetime>
  </property>
  <property fmtid="{D5CDD505-2E9C-101B-9397-08002B2CF9AE}" pid="6" name="MSIP_Label_edd204cd-6aa2-46a1-bfaf-a0d9bcf7e7ca_ActionId">
    <vt:lpwstr>e52e0f2f-1352-4191-a8b0-719362bdb896</vt:lpwstr>
  </property>
  <property fmtid="{D5CDD505-2E9C-101B-9397-08002B2CF9AE}" pid="7" name="MSIP_Label_edd204cd-6aa2-46a1-bfaf-a0d9bcf7e7ca_ContentBits">
    <vt:lpwstr>3</vt:lpwstr>
  </property>
  <property fmtid="{D5CDD505-2E9C-101B-9397-08002B2CF9AE}" pid="8" name="MSIP_Label_edd204cd-6aa2-46a1-bfaf-a0d9bcf7e7ca_Enabled">
    <vt:lpwstr>true</vt:lpwstr>
  </property>
  <property fmtid="{D5CDD505-2E9C-101B-9397-08002B2CF9AE}" pid="9" name="MSIP_Label_edd204cd-6aa2-46a1-bfaf-a0d9bcf7e7ca_Method">
    <vt:lpwstr>Privileged</vt:lpwstr>
  </property>
  <property fmtid="{D5CDD505-2E9C-101B-9397-08002B2CF9AE}" pid="10" name="MSIP_Label_edd204cd-6aa2-46a1-bfaf-a0d9bcf7e7ca_Name">
    <vt:lpwstr>U</vt:lpwstr>
  </property>
  <property fmtid="{D5CDD505-2E9C-101B-9397-08002B2CF9AE}" pid="11" name="MSIP_Label_edd204cd-6aa2-46a1-bfaf-a0d9bcf7e7ca_SetDate">
    <vt:lpwstr>2025-11-06T04:40:36Z</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Tag">
    <vt:lpwstr>10, 0, 1, 1</vt:lpwstr>
  </property>
  <property fmtid="{D5CDD505-2E9C-101B-9397-08002B2CF9AE}" pid="14" name="MediaServiceImageTags">
    <vt:lpwstr/>
  </property>
  <property fmtid="{D5CDD505-2E9C-101B-9397-08002B2CF9AE}" pid="15" name="Producer">
    <vt:lpwstr>Adobe PDF Library 25.1.20</vt:lpwstr>
  </property>
  <property fmtid="{D5CDD505-2E9C-101B-9397-08002B2CF9AE}" pid="16" name="SourceModified">
    <vt:lpwstr/>
  </property>
</Properties>
</file>