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616A" w14:textId="77777777" w:rsidR="00215646" w:rsidRDefault="00000000" w:rsidP="0084425F">
      <w:pPr>
        <w:rPr>
          <w:rFonts w:ascii="Noto Sans TC" w:eastAsia="Noto Sans TC" w:hAnsi="Noto Sans TC"/>
        </w:rPr>
      </w:pPr>
      <w:r w:rsidRPr="008654ED">
        <w:rPr>
          <w:rFonts w:ascii="Noto Sans TC" w:eastAsia="Noto Sans TC" w:hAnsi="Noto Sans TC"/>
          <w:noProof/>
          <w:lang w:eastAsia="en-AU"/>
        </w:rPr>
        <w:drawing>
          <wp:inline distT="0" distB="0" distL="0" distR="0" wp14:anchorId="7DFEBE2F" wp14:editId="2B459CB3">
            <wp:extent cx="3733800" cy="780288"/>
            <wp:effectExtent l="0" t="0" r="0" b="1270"/>
            <wp:docPr id="1" name="Picture 1" descr="澳洲政府，全國腸癌篩查計劃&#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澳洲政府，全國腸癌篩查計劃&#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60ED94D5" w14:textId="3B4B4EF6" w:rsidR="00AA239D" w:rsidRPr="00AA239D" w:rsidRDefault="00AA239D" w:rsidP="00AA239D">
      <w:pPr>
        <w:rPr>
          <w:rFonts w:ascii="Noto Sans TC" w:eastAsia="Noto Sans TC" w:hAnsi="Noto Sans TC"/>
          <w:lang w:val="en-PH"/>
        </w:rPr>
      </w:pPr>
      <w:r w:rsidRPr="00AA239D">
        <w:rPr>
          <w:rFonts w:ascii="Noto Sans TC" w:eastAsia="Noto Sans TC" w:hAnsi="Noto Sans TC"/>
          <w:lang w:val="en-PH"/>
        </w:rPr>
        <w:t xml:space="preserve">Traditional Chinese | </w:t>
      </w:r>
      <w:proofErr w:type="spellStart"/>
      <w:r w:rsidRPr="00AA239D">
        <w:rPr>
          <w:rFonts w:ascii="Noto Sans TC" w:eastAsia="Noto Sans TC" w:hAnsi="Noto Sans TC"/>
          <w:lang w:val="en-PH"/>
        </w:rPr>
        <w:t>繁體中文</w:t>
      </w:r>
      <w:proofErr w:type="spellEnd"/>
    </w:p>
    <w:p w14:paraId="0C7E4E11" w14:textId="12410B3B" w:rsidR="00F247B3" w:rsidRPr="004D78AD" w:rsidRDefault="00000000" w:rsidP="004D78AD">
      <w:pPr>
        <w:pStyle w:val="Title"/>
      </w:pPr>
      <w:r w:rsidRPr="008654ED">
        <w:rPr>
          <w:lang w:val="zh-Hant"/>
        </w:rPr>
        <w:t>大腸鏡檢</w:t>
      </w:r>
      <w:r w:rsidRPr="008654ED">
        <w:rPr>
          <w:rFonts w:ascii="Microsoft JhengHei" w:eastAsia="Microsoft JhengHei" w:hAnsi="Microsoft JhengHei" w:cs="Microsoft JhengHei" w:hint="eastAsia"/>
          <w:lang w:val="zh-Hant"/>
        </w:rPr>
        <w:t>查</w:t>
      </w:r>
      <w:r w:rsidRPr="008654ED">
        <w:rPr>
          <w:rFonts w:ascii="Yu Gothic" w:eastAsia="Yu Gothic" w:hAnsi="Yu Gothic" w:cs="Yu Gothic" w:hint="eastAsia"/>
          <w:lang w:val="zh-Hant"/>
        </w:rPr>
        <w:t>須</w:t>
      </w:r>
      <w:r w:rsidRPr="008654ED">
        <w:rPr>
          <w:lang w:val="zh-Hant"/>
        </w:rPr>
        <w:t>知</w:t>
      </w:r>
    </w:p>
    <w:p w14:paraId="648595B9" w14:textId="53CF71A9" w:rsidR="00F247B3" w:rsidRPr="008654ED" w:rsidRDefault="00000000" w:rsidP="00F247B3">
      <w:pPr>
        <w:rPr>
          <w:rFonts w:ascii="Noto Sans TC" w:eastAsia="Noto Sans TC" w:hAnsi="Noto Sans TC"/>
          <w:lang w:eastAsia="zh-TW"/>
        </w:rPr>
      </w:pPr>
      <w:r w:rsidRPr="008654ED">
        <w:rPr>
          <w:rFonts w:ascii="Noto Sans TC" w:eastAsia="Noto Sans TC" w:hAnsi="Noto Sans TC"/>
          <w:b/>
          <w:bCs/>
          <w:lang w:val="zh-Hant" w:eastAsia="zh-TW"/>
        </w:rPr>
        <w:t>如需查閱您所說</w:t>
      </w:r>
      <w:r w:rsidRPr="008654ED">
        <w:rPr>
          <w:rFonts w:ascii="Microsoft YaHei" w:eastAsia="Microsoft YaHei" w:hAnsi="Microsoft YaHei" w:cs="Microsoft YaHei" w:hint="eastAsia"/>
          <w:b/>
          <w:bCs/>
          <w:lang w:val="zh-Hant" w:eastAsia="zh-TW"/>
        </w:rPr>
        <w:t>语</w:t>
      </w:r>
      <w:r w:rsidRPr="008654ED">
        <w:rPr>
          <w:rFonts w:ascii="Noto Sans TC" w:eastAsia="Noto Sans TC" w:hAnsi="Noto Sans TC" w:cs="Noto Sans TC" w:hint="eastAsia"/>
          <w:b/>
          <w:bCs/>
          <w:lang w:val="zh-Hant" w:eastAsia="zh-TW"/>
        </w:rPr>
        <w:t>言的資訊，</w:t>
      </w:r>
      <w:r w:rsidRPr="008654ED">
        <w:rPr>
          <w:rFonts w:ascii="Noto Sans TC" w:eastAsia="Noto Sans TC" w:hAnsi="Noto Sans TC"/>
          <w:lang w:val="zh-Hant" w:eastAsia="zh-TW"/>
        </w:rPr>
        <w:t xml:space="preserve"> 請致電翻譯服務：13 14 50 或訪問 </w:t>
      </w:r>
      <w:r w:rsidR="00AA239D">
        <w:rPr>
          <w:rFonts w:ascii="Noto Sans TC" w:eastAsia="Noto Sans TC" w:hAnsi="Noto Sans TC"/>
          <w:lang w:val="en-US" w:eastAsia="zh-TW"/>
        </w:rPr>
        <w:br/>
      </w:r>
      <w:hyperlink r:id="rId12" w:history="1">
        <w:r w:rsidR="00AA239D" w:rsidRPr="00E923B9">
          <w:rPr>
            <w:rStyle w:val="Hyperlink"/>
            <w:rFonts w:ascii="Noto Sans TC" w:eastAsia="Noto Sans TC" w:hAnsi="Noto Sans TC"/>
            <w:lang w:val="zh-Hant" w:eastAsia="zh-TW"/>
          </w:rPr>
          <w:t>www.health.gov.au/nbcsp-translations</w:t>
        </w:r>
      </w:hyperlink>
      <w:r w:rsidRPr="008654ED">
        <w:rPr>
          <w:rFonts w:ascii="Noto Sans TC" w:eastAsia="Noto Sans TC" w:hAnsi="Noto Sans TC"/>
          <w:lang w:val="zh-Hant" w:eastAsia="zh-TW"/>
        </w:rPr>
        <w:t>。</w:t>
      </w:r>
    </w:p>
    <w:p w14:paraId="3B12C1E3" w14:textId="77777777" w:rsidR="00F247B3" w:rsidRPr="008654ED" w:rsidRDefault="00000000">
      <w:pPr>
        <w:rPr>
          <w:rFonts w:ascii="Noto Sans TC" w:eastAsia="Noto Sans TC" w:hAnsi="Noto Sans TC"/>
          <w:lang w:eastAsia="zh-TW"/>
        </w:rPr>
      </w:pPr>
      <w:r w:rsidRPr="008654ED">
        <w:rPr>
          <w:rFonts w:ascii="Noto Sans TC" w:eastAsia="Noto Sans TC" w:hAnsi="Noto Sans TC"/>
          <w:lang w:eastAsia="zh-TW"/>
        </w:rPr>
        <w:br w:type="page"/>
      </w:r>
    </w:p>
    <w:p w14:paraId="59A4F037"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b/>
          <w:bCs/>
          <w:lang w:val="zh-Hant" w:eastAsia="zh-TW"/>
        </w:rPr>
        <w:lastRenderedPageBreak/>
        <w:t>如在進行腸道篩查測試時發現了便血。造成出血的原因可能有很多；大部分情況與癌症無關，但務必要找出原因。</w:t>
      </w:r>
    </w:p>
    <w:p w14:paraId="27A04426"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b/>
          <w:bCs/>
          <w:lang w:val="zh-Hant" w:eastAsia="zh-TW"/>
        </w:rPr>
        <w:t>預約醫生，向醫生諮詢您的陽性檢測結果。</w:t>
      </w:r>
      <w:r w:rsidRPr="008654ED">
        <w:rPr>
          <w:rFonts w:ascii="Noto Sans TC" w:eastAsia="Noto Sans TC" w:hAnsi="Noto Sans TC"/>
          <w:lang w:val="zh-Hant" w:eastAsia="zh-TW"/>
        </w:rPr>
        <w:t>醫生可能會建議您接受一項名為大腸鏡的檢查。</w:t>
      </w:r>
    </w:p>
    <w:p w14:paraId="4A633B4C" w14:textId="77777777" w:rsidR="00F247B3" w:rsidRPr="008654ED" w:rsidRDefault="00000000" w:rsidP="008654ED">
      <w:pPr>
        <w:pStyle w:val="Heading1"/>
        <w:spacing w:before="120" w:after="60" w:line="240" w:lineRule="auto"/>
        <w:rPr>
          <w:rFonts w:ascii="Noto Sans TC" w:eastAsia="Noto Sans TC" w:hAnsi="Noto Sans TC"/>
          <w:lang w:eastAsia="zh-TW"/>
        </w:rPr>
      </w:pPr>
      <w:r w:rsidRPr="008654ED">
        <w:rPr>
          <w:rFonts w:ascii="Noto Sans TC" w:eastAsia="Noto Sans TC" w:hAnsi="Noto Sans TC"/>
          <w:lang w:val="zh-Hant" w:eastAsia="zh-TW"/>
        </w:rPr>
        <w:t>關於大腸鏡檢查</w:t>
      </w:r>
    </w:p>
    <w:p w14:paraId="5BE6B61D"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大腸鏡檢查是一項使用配有微型攝影機的細長軟管（稱為大腸鏡或內窺鏡）來觀察腸道內部情況的檢查程序。</w:t>
      </w:r>
    </w:p>
    <w:p w14:paraId="3CE558C4"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醫生會給予藥物幫助放鬆（稱為鎮靜藥物）。</w:t>
      </w:r>
    </w:p>
    <w:p w14:paraId="458B3610"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當您躺下後，醫生會將內窺鏡經由肛門送入腸道，檢查是否有息肉或增生物。</w:t>
      </w:r>
    </w:p>
    <w:p w14:paraId="08A5DC02"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進行大腸鏡檢查時，您不會察覺或對檢查的過程有感覺。</w:t>
      </w:r>
    </w:p>
    <w:p w14:paraId="5DF5E42F"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檢查過程不超過45分鐘，預計需要在醫院逗留3至4小時。</w:t>
      </w:r>
    </w:p>
    <w:p w14:paraId="3D3FC667"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您可以選擇在公立醫院、私立醫院或診所進行大腸鏡檢查。</w:t>
      </w:r>
    </w:p>
    <w:p w14:paraId="52AB2366"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為什麼醫生會建議我做大腸鏡檢查？</w:t>
      </w:r>
    </w:p>
    <w:p w14:paraId="0A79F2EC" w14:textId="77777777"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lang w:val="zh-Hant" w:eastAsia="zh-TW"/>
        </w:rPr>
        <w:t>大腸鏡檢查是查明出血原因的最佳方法。</w:t>
      </w:r>
    </w:p>
    <w:p w14:paraId="03690CAC" w14:textId="77777777"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lang w:val="zh-Hant" w:eastAsia="zh-TW"/>
        </w:rPr>
        <w:t>在大腸鏡檢查過程中，醫生通常會切除任何發現的息肉或增生物。</w:t>
      </w:r>
    </w:p>
    <w:p w14:paraId="7017DA27" w14:textId="77777777"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lang w:val="zh-Hant" w:eastAsia="zh-TW"/>
        </w:rPr>
        <w:t>息肉是附著在腸壁上的小增生物，有時會發展成癌症。</w:t>
      </w:r>
    </w:p>
    <w:p w14:paraId="5E1908CC" w14:textId="77777777"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lang w:val="zh-Hant" w:eastAsia="zh-TW"/>
        </w:rPr>
        <w:t>切除息肉有助於預防癌症，而且過程不會感到痛苦。</w:t>
      </w:r>
    </w:p>
    <w:p w14:paraId="0173530E" w14:textId="77777777"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lang w:val="zh-Hant" w:eastAsia="zh-TW"/>
        </w:rPr>
        <w:t>切除的息肉或增生物會送至實驗室檢測是惡性的（癌性）還是良性（無害）。</w:t>
      </w:r>
    </w:p>
    <w:p w14:paraId="4045E480"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我要為大腸鏡檢查做什麼準備？</w:t>
      </w:r>
    </w:p>
    <w:p w14:paraId="545BE6FB" w14:textId="5393F8BA"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如果您有任何健康問題或正在服用長期藥物，請在開始準備清理腸道之前諮詢醫生。</w:t>
      </w:r>
      <w:r w:rsidR="00AA239D">
        <w:rPr>
          <w:rFonts w:ascii="Noto Sans TC" w:eastAsia="Noto Sans TC" w:hAnsi="Noto Sans TC"/>
          <w:lang w:val="en-US" w:eastAsia="zh-TW"/>
        </w:rPr>
        <w:br/>
      </w:r>
      <w:r w:rsidRPr="008654ED">
        <w:rPr>
          <w:rFonts w:ascii="Noto Sans TC" w:eastAsia="Noto Sans TC" w:hAnsi="Noto Sans TC"/>
          <w:lang w:val="zh-Hant" w:eastAsia="zh-TW"/>
        </w:rPr>
        <w:t>醫生可能會告訴您在大腸鏡檢查前幾天停止服用某些藥物。</w:t>
      </w:r>
    </w:p>
    <w:p w14:paraId="64B90060"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他們會告知您如何準備，其中包括：</w:t>
      </w:r>
    </w:p>
    <w:p w14:paraId="285050DF" w14:textId="75F0503E"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b/>
          <w:bCs/>
          <w:lang w:val="zh-Hant" w:eastAsia="zh-TW"/>
        </w:rPr>
        <w:t>飲食</w:t>
      </w:r>
      <w:r w:rsidR="00AA239D" w:rsidRPr="008654ED">
        <w:rPr>
          <w:rFonts w:ascii="Noto Sans TC" w:eastAsia="Noto Sans TC" w:hAnsi="Noto Sans TC"/>
          <w:lang w:val="zh-Hant" w:eastAsia="zh-TW"/>
        </w:rPr>
        <w:t>。</w:t>
      </w:r>
      <w:r w:rsidRPr="008654ED">
        <w:rPr>
          <w:rFonts w:ascii="Noto Sans TC" w:eastAsia="Noto Sans TC" w:hAnsi="Noto Sans TC"/>
          <w:lang w:val="zh-Hant" w:eastAsia="zh-TW"/>
        </w:rPr>
        <w:t>大腸鏡檢查前幾天的飲食建議。</w:t>
      </w:r>
    </w:p>
    <w:p w14:paraId="2C3B475D" w14:textId="1F434D9E" w:rsidR="00F247B3" w:rsidRPr="008654ED" w:rsidRDefault="00000000" w:rsidP="008654ED">
      <w:pPr>
        <w:pStyle w:val="ListParagraph"/>
        <w:numPr>
          <w:ilvl w:val="0"/>
          <w:numId w:val="2"/>
        </w:numPr>
        <w:spacing w:after="0" w:line="240" w:lineRule="auto"/>
        <w:rPr>
          <w:rFonts w:ascii="Noto Sans TC" w:eastAsia="Noto Sans TC" w:hAnsi="Noto Sans TC"/>
          <w:lang w:eastAsia="zh-TW"/>
        </w:rPr>
      </w:pPr>
      <w:r w:rsidRPr="008654ED">
        <w:rPr>
          <w:rFonts w:ascii="Noto Sans TC" w:eastAsia="Noto Sans TC" w:hAnsi="Noto Sans TC"/>
          <w:b/>
          <w:bCs/>
          <w:lang w:val="zh-Hant" w:eastAsia="zh-TW"/>
        </w:rPr>
        <w:t>清理腸道</w:t>
      </w:r>
      <w:r w:rsidR="00AA239D" w:rsidRPr="008654ED">
        <w:rPr>
          <w:rFonts w:ascii="Noto Sans TC" w:eastAsia="Noto Sans TC" w:hAnsi="Noto Sans TC"/>
          <w:lang w:val="zh-Hant" w:eastAsia="zh-TW"/>
        </w:rPr>
        <w:t>。</w:t>
      </w:r>
      <w:r w:rsidRPr="008654ED">
        <w:rPr>
          <w:rFonts w:ascii="Noto Sans TC" w:eastAsia="Noto Sans TC" w:hAnsi="Noto Sans TC"/>
          <w:lang w:val="zh-Hant" w:eastAsia="zh-TW"/>
        </w:rPr>
        <w:t>如何拿到一套可以上廁所清空腸道的藥物。</w:t>
      </w:r>
    </w:p>
    <w:p w14:paraId="792D9825"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您必須仔細遵循清理腸道的說明，讓醫生可以看清腸道內部情況。否則，可能需要再次進行大腸鏡檢查</w:t>
      </w:r>
      <w:bookmarkStart w:id="0" w:name="_Hlk208495292"/>
      <w:r w:rsidRPr="008654ED">
        <w:rPr>
          <w:rFonts w:ascii="Noto Sans TC" w:eastAsia="Noto Sans TC" w:hAnsi="Noto Sans TC"/>
          <w:lang w:val="zh-Hant" w:eastAsia="zh-TW"/>
        </w:rPr>
        <w:t>。</w:t>
      </w:r>
      <w:bookmarkEnd w:id="0"/>
    </w:p>
    <w:p w14:paraId="6532A9B7"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大腸鏡檢查後有何安排？</w:t>
      </w:r>
    </w:p>
    <w:p w14:paraId="63A5CF6F"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當您完成大腸鏡檢查醒來後，我們會為您提供一些食物和飲品。您可能會感到有點腹脹，但大概一個小時後會消退。您亦可能會出現少許出血，但這屬正常現象。</w:t>
      </w:r>
    </w:p>
    <w:p w14:paraId="6B13BC20"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醫生其後會告知您有關檢查的進展、回家後照顧自己的方法、何時恢復正常飲食和服用藥物，以及任何所需的後續治療。您必須在朋友或家人的陪同下才能回家。</w:t>
      </w:r>
    </w:p>
    <w:p w14:paraId="6F24F98E"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您和您的醫生將收到一份關於大腸鏡檢查和實驗室檢查所有結果的報告。</w:t>
      </w:r>
    </w:p>
    <w:p w14:paraId="7886A602"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您或您的醫生應將您的實驗室結果報告發送至全國癌症篩查登記處。</w:t>
      </w:r>
    </w:p>
    <w:p w14:paraId="609B8A71"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由於鎮靜劑仍發揮作用，因此在大腸鏡檢查後的24小時內切勿：</w:t>
      </w:r>
    </w:p>
    <w:p w14:paraId="4A1B0AA9" w14:textId="77777777" w:rsidR="00F247B3" w:rsidRPr="008654ED" w:rsidRDefault="00000000" w:rsidP="008654ED">
      <w:pPr>
        <w:pStyle w:val="ListParagraph"/>
        <w:numPr>
          <w:ilvl w:val="0"/>
          <w:numId w:val="2"/>
        </w:numPr>
        <w:spacing w:after="0" w:line="240" w:lineRule="auto"/>
        <w:rPr>
          <w:rFonts w:ascii="Noto Sans TC" w:eastAsia="Noto Sans TC" w:hAnsi="Noto Sans TC"/>
        </w:rPr>
      </w:pPr>
      <w:r w:rsidRPr="008654ED">
        <w:rPr>
          <w:rFonts w:ascii="Noto Sans TC" w:eastAsia="Noto Sans TC" w:hAnsi="Noto Sans TC"/>
          <w:lang w:val="zh-Hant"/>
        </w:rPr>
        <w:t>開車</w:t>
      </w:r>
    </w:p>
    <w:p w14:paraId="0A74C7AB" w14:textId="77777777" w:rsidR="00F247B3" w:rsidRPr="008654ED" w:rsidRDefault="00000000" w:rsidP="008654ED">
      <w:pPr>
        <w:pStyle w:val="ListParagraph"/>
        <w:numPr>
          <w:ilvl w:val="0"/>
          <w:numId w:val="2"/>
        </w:numPr>
        <w:spacing w:after="0" w:line="240" w:lineRule="auto"/>
        <w:rPr>
          <w:rFonts w:ascii="Noto Sans TC" w:eastAsia="Noto Sans TC" w:hAnsi="Noto Sans TC"/>
        </w:rPr>
      </w:pPr>
      <w:r w:rsidRPr="008654ED">
        <w:rPr>
          <w:rFonts w:ascii="Noto Sans TC" w:eastAsia="Noto Sans TC" w:hAnsi="Noto Sans TC"/>
          <w:lang w:val="zh-Hant"/>
        </w:rPr>
        <w:t>獨自出行</w:t>
      </w:r>
    </w:p>
    <w:p w14:paraId="3D1CAF88" w14:textId="77777777" w:rsidR="00F247B3" w:rsidRPr="008654ED" w:rsidRDefault="00000000" w:rsidP="008654ED">
      <w:pPr>
        <w:pStyle w:val="ListParagraph"/>
        <w:numPr>
          <w:ilvl w:val="0"/>
          <w:numId w:val="2"/>
        </w:numPr>
        <w:spacing w:after="0" w:line="240" w:lineRule="auto"/>
        <w:rPr>
          <w:rFonts w:ascii="Noto Sans TC" w:eastAsia="Noto Sans TC" w:hAnsi="Noto Sans TC"/>
        </w:rPr>
      </w:pPr>
      <w:r w:rsidRPr="008654ED">
        <w:rPr>
          <w:rFonts w:ascii="Noto Sans TC" w:eastAsia="Noto Sans TC" w:hAnsi="Noto Sans TC"/>
          <w:lang w:val="zh-Hant"/>
        </w:rPr>
        <w:t>操作機械</w:t>
      </w:r>
    </w:p>
    <w:p w14:paraId="1086C808" w14:textId="77777777" w:rsidR="00F247B3" w:rsidRPr="008654ED" w:rsidRDefault="00000000" w:rsidP="008654ED">
      <w:pPr>
        <w:pStyle w:val="ListParagraph"/>
        <w:numPr>
          <w:ilvl w:val="0"/>
          <w:numId w:val="2"/>
        </w:numPr>
        <w:spacing w:after="0" w:line="240" w:lineRule="auto"/>
        <w:rPr>
          <w:rFonts w:ascii="Noto Sans TC" w:eastAsia="Noto Sans TC" w:hAnsi="Noto Sans TC"/>
        </w:rPr>
      </w:pPr>
      <w:r w:rsidRPr="008654ED">
        <w:rPr>
          <w:rFonts w:ascii="Noto Sans TC" w:eastAsia="Noto Sans TC" w:hAnsi="Noto Sans TC"/>
          <w:lang w:val="zh-Hant"/>
        </w:rPr>
        <w:t>簽署法律文件</w:t>
      </w:r>
    </w:p>
    <w:p w14:paraId="1DB4834C" w14:textId="740559DF" w:rsidR="00F247B3" w:rsidRPr="008654ED" w:rsidRDefault="00000000" w:rsidP="008654ED">
      <w:pPr>
        <w:pStyle w:val="ListParagraph"/>
        <w:numPr>
          <w:ilvl w:val="0"/>
          <w:numId w:val="2"/>
        </w:numPr>
        <w:spacing w:after="0" w:line="240" w:lineRule="auto"/>
        <w:rPr>
          <w:rFonts w:ascii="Noto Sans TC" w:eastAsia="Noto Sans TC" w:hAnsi="Noto Sans TC"/>
        </w:rPr>
      </w:pPr>
      <w:proofErr w:type="spellStart"/>
      <w:r w:rsidRPr="008654ED">
        <w:rPr>
          <w:rFonts w:ascii="Noto Sans TC" w:eastAsia="Noto Sans TC" w:hAnsi="Noto Sans TC"/>
          <w:lang w:val="zh-Hant"/>
        </w:rPr>
        <w:t>喝酒</w:t>
      </w:r>
      <w:proofErr w:type="spellEnd"/>
      <w:r w:rsidR="00AA239D" w:rsidRPr="008654ED">
        <w:rPr>
          <w:rFonts w:ascii="Noto Sans TC" w:eastAsia="Noto Sans TC" w:hAnsi="Noto Sans TC"/>
          <w:lang w:val="zh-Hant" w:eastAsia="zh-TW"/>
        </w:rPr>
        <w:t>。</w:t>
      </w:r>
    </w:p>
    <w:p w14:paraId="311DAA6A"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大腸鏡檢查的準確度高嗎？</w:t>
      </w:r>
    </w:p>
    <w:p w14:paraId="5A1F7A00"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大腸鏡檢查準確度很高，是找出陽性結果原因的最佳方法。在檢查過程中，仍可能有小機率的遺漏。</w:t>
      </w:r>
    </w:p>
    <w:p w14:paraId="04983582"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如果沒有發現癌症或息肉，您應該繼續遵照全國腸癌篩查計劃做檢查。下次到時間接受篩查時，我們會向您寄送另一份檢測包。</w:t>
      </w:r>
    </w:p>
    <w:p w14:paraId="5E497818"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大腸鏡檢查有風險或副作用嗎？</w:t>
      </w:r>
    </w:p>
    <w:p w14:paraId="43910F94"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大腸鏡檢查後的副作用並不常見。您可能會因清理腸道而出現頭痛或嘔吐，或在大腸鏡檢查後出現出血現象。您可能會對鎮靜劑有反應，但這種情況很少見。在極少數情況下，有人需要再次入院。</w:t>
      </w:r>
    </w:p>
    <w:p w14:paraId="2F0F78F5"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在進行大腸鏡檢查之前，您應該與醫生討論任何風險或擔憂。</w:t>
      </w:r>
    </w:p>
    <w:p w14:paraId="7FA020D2"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大腸鏡檢查需要收費嗎？</w:t>
      </w:r>
    </w:p>
    <w:p w14:paraId="3D1825FB"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在公立醫院的公費病人可免費接受大腸鏡檢查。如果您是自費患者，做大腸鏡檢查可能需要付費，具體金額取決於您的私人健康保險情況。您可能需要支付清理腸道套件的費用。</w:t>
      </w:r>
    </w:p>
    <w:p w14:paraId="6275D43D" w14:textId="77777777" w:rsidR="00F247B3" w:rsidRPr="008654ED" w:rsidRDefault="00000000" w:rsidP="008654ED">
      <w:pPr>
        <w:pStyle w:val="Heading1"/>
        <w:spacing w:before="120" w:after="60" w:line="240" w:lineRule="auto"/>
        <w:rPr>
          <w:rFonts w:ascii="Noto Sans TC" w:eastAsia="Noto Sans TC" w:hAnsi="Noto Sans TC"/>
          <w:lang w:val="zh-Hant" w:eastAsia="zh-TW"/>
        </w:rPr>
      </w:pPr>
      <w:r w:rsidRPr="008654ED">
        <w:rPr>
          <w:rFonts w:ascii="Noto Sans TC" w:eastAsia="Noto Sans TC" w:hAnsi="Noto Sans TC"/>
          <w:lang w:val="zh-Hant" w:eastAsia="zh-TW"/>
        </w:rPr>
        <w:t>如有疑問？</w:t>
      </w:r>
    </w:p>
    <w:p w14:paraId="5D5C21FE" w14:textId="77777777"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本手冊可以幫助您了解大腸鏡檢查。您的醫生或醫院可為您提供更多資訊。</w:t>
      </w:r>
    </w:p>
    <w:p w14:paraId="3290F473" w14:textId="3115B2E6" w:rsidR="00F247B3" w:rsidRPr="008654ED" w:rsidRDefault="00000000" w:rsidP="008654ED">
      <w:pPr>
        <w:spacing w:after="0" w:line="240" w:lineRule="auto"/>
        <w:rPr>
          <w:rFonts w:ascii="Noto Sans TC" w:eastAsia="Noto Sans TC" w:hAnsi="Noto Sans TC"/>
          <w:lang w:eastAsia="zh-TW"/>
        </w:rPr>
      </w:pPr>
      <w:r w:rsidRPr="008654ED">
        <w:rPr>
          <w:rFonts w:ascii="Noto Sans TC" w:eastAsia="Noto Sans TC" w:hAnsi="Noto Sans TC"/>
          <w:lang w:val="zh-Hant" w:eastAsia="zh-TW"/>
        </w:rPr>
        <w:t xml:space="preserve">了解全國腸癌篩查計劃的更多資訊 </w:t>
      </w:r>
      <w:hyperlink r:id="rId13" w:history="1">
        <w:r w:rsidR="00F247B3" w:rsidRPr="00AA239D">
          <w:rPr>
            <w:rStyle w:val="Hyperlink"/>
            <w:rFonts w:ascii="Noto Sans TC" w:eastAsia="Noto Sans TC" w:hAnsi="Noto Sans TC"/>
            <w:b/>
            <w:bCs/>
            <w:color w:val="auto"/>
            <w:u w:val="none"/>
            <w:lang w:val="zh-Hant" w:eastAsia="zh-TW"/>
          </w:rPr>
          <w:t>www.health.gov.au/nbcsp</w:t>
        </w:r>
      </w:hyperlink>
      <w:r w:rsidRPr="008654ED">
        <w:rPr>
          <w:rFonts w:ascii="Noto Sans TC" w:eastAsia="Noto Sans TC" w:hAnsi="Noto Sans TC"/>
          <w:lang w:val="zh-Hant" w:eastAsia="zh-TW"/>
        </w:rPr>
        <w:t>。</w:t>
      </w:r>
    </w:p>
    <w:sectPr w:rsidR="00F247B3" w:rsidRPr="008654ED">
      <w:headerReference w:type="even" r:id="rId14"/>
      <w:footerReference w:type="even"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8BBE" w14:textId="77777777" w:rsidR="006D687E" w:rsidRDefault="006D687E" w:rsidP="004D78AD">
      <w:pPr>
        <w:spacing w:after="0" w:line="240" w:lineRule="auto"/>
      </w:pPr>
      <w:r>
        <w:separator/>
      </w:r>
    </w:p>
  </w:endnote>
  <w:endnote w:type="continuationSeparator" w:id="0">
    <w:p w14:paraId="49219DCA" w14:textId="77777777" w:rsidR="006D687E" w:rsidRDefault="006D687E" w:rsidP="004D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TC">
    <w:altName w:val="Yu Gothic"/>
    <w:charset w:val="80"/>
    <w:family w:val="swiss"/>
    <w:pitch w:val="variable"/>
    <w:sig w:usb0="20000287" w:usb1="2ADF3C10" w:usb2="00000016" w:usb3="00000000" w:csb0="00120107"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B5D6" w14:textId="775F73D3" w:rsidR="004D78AD" w:rsidRDefault="004D78AD">
    <w:pPr>
      <w:pStyle w:val="Footer"/>
    </w:pPr>
    <w:r>
      <w:rPr>
        <w:noProof/>
      </w:rPr>
      <mc:AlternateContent>
        <mc:Choice Requires="wps">
          <w:drawing>
            <wp:anchor distT="0" distB="0" distL="0" distR="0" simplePos="0" relativeHeight="251662336" behindDoc="0" locked="0" layoutInCell="1" allowOverlap="1" wp14:anchorId="23EB5333" wp14:editId="419A20A7">
              <wp:simplePos x="635" y="635"/>
              <wp:positionH relativeFrom="page">
                <wp:align>center</wp:align>
              </wp:positionH>
              <wp:positionV relativeFrom="page">
                <wp:align>bottom</wp:align>
              </wp:positionV>
              <wp:extent cx="833755" cy="391160"/>
              <wp:effectExtent l="0" t="0" r="4445" b="0"/>
              <wp:wrapNone/>
              <wp:docPr id="3475992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02D222B" w14:textId="6E84B904"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B5333"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502D222B" w14:textId="6E84B904"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BBB9" w14:textId="7192EBB9" w:rsidR="004D78AD" w:rsidRDefault="004D78AD">
    <w:pPr>
      <w:pStyle w:val="Footer"/>
    </w:pPr>
    <w:r>
      <w:rPr>
        <w:noProof/>
      </w:rPr>
      <mc:AlternateContent>
        <mc:Choice Requires="wps">
          <w:drawing>
            <wp:anchor distT="0" distB="0" distL="0" distR="0" simplePos="0" relativeHeight="251661312" behindDoc="0" locked="0" layoutInCell="1" allowOverlap="1" wp14:anchorId="2C6A156A" wp14:editId="70A036FA">
              <wp:simplePos x="635" y="635"/>
              <wp:positionH relativeFrom="page">
                <wp:align>center</wp:align>
              </wp:positionH>
              <wp:positionV relativeFrom="page">
                <wp:align>bottom</wp:align>
              </wp:positionV>
              <wp:extent cx="833755" cy="391160"/>
              <wp:effectExtent l="0" t="0" r="4445" b="0"/>
              <wp:wrapNone/>
              <wp:docPr id="99604409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C369F96" w14:textId="2694E49B"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A156A"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0C369F96" w14:textId="2694E49B"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0ACA" w14:textId="77777777" w:rsidR="006D687E" w:rsidRDefault="006D687E" w:rsidP="004D78AD">
      <w:pPr>
        <w:spacing w:after="0" w:line="240" w:lineRule="auto"/>
      </w:pPr>
      <w:r>
        <w:separator/>
      </w:r>
    </w:p>
  </w:footnote>
  <w:footnote w:type="continuationSeparator" w:id="0">
    <w:p w14:paraId="500EF1D3" w14:textId="77777777" w:rsidR="006D687E" w:rsidRDefault="006D687E" w:rsidP="004D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0292" w14:textId="74BB8F7C" w:rsidR="004D78AD" w:rsidRDefault="004D78AD">
    <w:pPr>
      <w:pStyle w:val="Header"/>
    </w:pPr>
    <w:r>
      <w:rPr>
        <w:noProof/>
      </w:rPr>
      <mc:AlternateContent>
        <mc:Choice Requires="wps">
          <w:drawing>
            <wp:anchor distT="0" distB="0" distL="0" distR="0" simplePos="0" relativeHeight="251659264" behindDoc="0" locked="0" layoutInCell="1" allowOverlap="1" wp14:anchorId="5A7C6D93" wp14:editId="0B9F4D3A">
              <wp:simplePos x="635" y="635"/>
              <wp:positionH relativeFrom="page">
                <wp:align>center</wp:align>
              </wp:positionH>
              <wp:positionV relativeFrom="page">
                <wp:align>top</wp:align>
              </wp:positionV>
              <wp:extent cx="833755" cy="391160"/>
              <wp:effectExtent l="0" t="0" r="4445" b="8890"/>
              <wp:wrapNone/>
              <wp:docPr id="69297492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09F4C6B6" w14:textId="0E77DB88"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C6D93"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09F4C6B6" w14:textId="0E77DB88"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7CD1" w14:textId="0C262EB9" w:rsidR="004D78AD" w:rsidRDefault="004D78AD">
    <w:pPr>
      <w:pStyle w:val="Header"/>
    </w:pPr>
    <w:r>
      <w:rPr>
        <w:noProof/>
      </w:rPr>
      <mc:AlternateContent>
        <mc:Choice Requires="wps">
          <w:drawing>
            <wp:anchor distT="0" distB="0" distL="0" distR="0" simplePos="0" relativeHeight="251658240" behindDoc="0" locked="0" layoutInCell="1" allowOverlap="1" wp14:anchorId="2FDB2408" wp14:editId="3A60E65F">
              <wp:simplePos x="635" y="635"/>
              <wp:positionH relativeFrom="page">
                <wp:align>center</wp:align>
              </wp:positionH>
              <wp:positionV relativeFrom="page">
                <wp:align>top</wp:align>
              </wp:positionV>
              <wp:extent cx="833755" cy="391160"/>
              <wp:effectExtent l="0" t="0" r="4445" b="8890"/>
              <wp:wrapNone/>
              <wp:docPr id="87970450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E2844AA" w14:textId="69DF2D35"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B2408"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7E2844AA" w14:textId="69DF2D35" w:rsidR="004D78AD" w:rsidRPr="004D78AD" w:rsidRDefault="004D78AD" w:rsidP="004D78AD">
                    <w:pPr>
                      <w:spacing w:after="0"/>
                      <w:rPr>
                        <w:rFonts w:ascii="Aptos" w:eastAsia="Aptos" w:hAnsi="Aptos" w:cs="Aptos"/>
                        <w:noProof/>
                        <w:color w:val="FF0000"/>
                        <w:sz w:val="24"/>
                      </w:rPr>
                    </w:pPr>
                    <w:r w:rsidRPr="004D78AD">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AAB4681A">
      <w:numFmt w:val="bullet"/>
      <w:lvlText w:val="•"/>
      <w:lvlJc w:val="left"/>
      <w:rPr>
        <w:rFonts w:ascii="Calibri" w:eastAsiaTheme="minorHAnsi" w:hAnsi="Calibri" w:cs="Calibri" w:hint="default"/>
        <w:b/>
      </w:rPr>
    </w:lvl>
    <w:lvl w:ilvl="1" w:tplc="277AEE5E">
      <w:numFmt w:val="decimal"/>
      <w:lvlText w:val=""/>
      <w:lvlJc w:val="left"/>
    </w:lvl>
    <w:lvl w:ilvl="2" w:tplc="37D2DDE2">
      <w:numFmt w:val="decimal"/>
      <w:lvlText w:val=""/>
      <w:lvlJc w:val="left"/>
    </w:lvl>
    <w:lvl w:ilvl="3" w:tplc="DDFC8F9C">
      <w:numFmt w:val="decimal"/>
      <w:lvlText w:val=""/>
      <w:lvlJc w:val="left"/>
    </w:lvl>
    <w:lvl w:ilvl="4" w:tplc="F8FC77CA">
      <w:numFmt w:val="decimal"/>
      <w:lvlText w:val=""/>
      <w:lvlJc w:val="left"/>
    </w:lvl>
    <w:lvl w:ilvl="5" w:tplc="180CFE08">
      <w:numFmt w:val="decimal"/>
      <w:lvlText w:val=""/>
      <w:lvlJc w:val="left"/>
    </w:lvl>
    <w:lvl w:ilvl="6" w:tplc="3DF2E734">
      <w:numFmt w:val="decimal"/>
      <w:lvlText w:val=""/>
      <w:lvlJc w:val="left"/>
    </w:lvl>
    <w:lvl w:ilvl="7" w:tplc="3A2875FE">
      <w:numFmt w:val="decimal"/>
      <w:lvlText w:val=""/>
      <w:lvlJc w:val="left"/>
    </w:lvl>
    <w:lvl w:ilvl="8" w:tplc="07C42E2C">
      <w:numFmt w:val="decimal"/>
      <w:lvlText w:val=""/>
      <w:lvlJc w:val="left"/>
    </w:lvl>
  </w:abstractNum>
  <w:abstractNum w:abstractNumId="1" w15:restartNumberingAfterBreak="0">
    <w:nsid w:val="08B41FCC"/>
    <w:multiLevelType w:val="hybridMultilevel"/>
    <w:tmpl w:val="BA2A5040"/>
    <w:lvl w:ilvl="0" w:tplc="6B367770">
      <w:numFmt w:val="bullet"/>
      <w:lvlText w:val="•"/>
      <w:lvlJc w:val="left"/>
      <w:rPr>
        <w:rFonts w:ascii="Calibri" w:eastAsiaTheme="minorHAnsi" w:hAnsi="Calibri" w:cs="Calibri" w:hint="default"/>
        <w:b/>
      </w:rPr>
    </w:lvl>
    <w:lvl w:ilvl="1" w:tplc="A1048F68">
      <w:numFmt w:val="decimal"/>
      <w:lvlText w:val=""/>
      <w:lvlJc w:val="left"/>
    </w:lvl>
    <w:lvl w:ilvl="2" w:tplc="17B4D8F4">
      <w:numFmt w:val="decimal"/>
      <w:lvlText w:val=""/>
      <w:lvlJc w:val="left"/>
    </w:lvl>
    <w:lvl w:ilvl="3" w:tplc="A8C2C804">
      <w:numFmt w:val="decimal"/>
      <w:lvlText w:val=""/>
      <w:lvlJc w:val="left"/>
    </w:lvl>
    <w:lvl w:ilvl="4" w:tplc="DAE894D2">
      <w:numFmt w:val="decimal"/>
      <w:lvlText w:val=""/>
      <w:lvlJc w:val="left"/>
    </w:lvl>
    <w:lvl w:ilvl="5" w:tplc="DE3EB320">
      <w:numFmt w:val="decimal"/>
      <w:lvlText w:val=""/>
      <w:lvlJc w:val="left"/>
    </w:lvl>
    <w:lvl w:ilvl="6" w:tplc="6F4896D8">
      <w:numFmt w:val="decimal"/>
      <w:lvlText w:val=""/>
      <w:lvlJc w:val="left"/>
    </w:lvl>
    <w:lvl w:ilvl="7" w:tplc="5B9859C6">
      <w:numFmt w:val="decimal"/>
      <w:lvlText w:val=""/>
      <w:lvlJc w:val="left"/>
    </w:lvl>
    <w:lvl w:ilvl="8" w:tplc="6FF80E70">
      <w:numFmt w:val="decimal"/>
      <w:lvlText w:val=""/>
      <w:lvlJc w:val="left"/>
    </w:lvl>
  </w:abstractNum>
  <w:abstractNum w:abstractNumId="2" w15:restartNumberingAfterBreak="0">
    <w:nsid w:val="401C219C"/>
    <w:multiLevelType w:val="hybridMultilevel"/>
    <w:tmpl w:val="339669DE"/>
    <w:lvl w:ilvl="0" w:tplc="16A282DA">
      <w:start w:val="1"/>
      <w:numFmt w:val="bullet"/>
      <w:lvlText w:val=""/>
      <w:lvlJc w:val="left"/>
      <w:pPr>
        <w:ind w:left="720" w:hanging="360"/>
      </w:pPr>
      <w:rPr>
        <w:rFonts w:ascii="Symbol" w:hAnsi="Symbol" w:hint="default"/>
      </w:rPr>
    </w:lvl>
    <w:lvl w:ilvl="1" w:tplc="6776700C" w:tentative="1">
      <w:start w:val="1"/>
      <w:numFmt w:val="bullet"/>
      <w:lvlText w:val="o"/>
      <w:lvlJc w:val="left"/>
      <w:pPr>
        <w:ind w:left="1440" w:hanging="360"/>
      </w:pPr>
      <w:rPr>
        <w:rFonts w:ascii="Courier New" w:hAnsi="Courier New" w:cs="Courier New" w:hint="default"/>
      </w:rPr>
    </w:lvl>
    <w:lvl w:ilvl="2" w:tplc="1542F10C" w:tentative="1">
      <w:start w:val="1"/>
      <w:numFmt w:val="bullet"/>
      <w:lvlText w:val=""/>
      <w:lvlJc w:val="left"/>
      <w:pPr>
        <w:ind w:left="2160" w:hanging="360"/>
      </w:pPr>
      <w:rPr>
        <w:rFonts w:ascii="Wingdings" w:hAnsi="Wingdings" w:hint="default"/>
      </w:rPr>
    </w:lvl>
    <w:lvl w:ilvl="3" w:tplc="F606D0F6" w:tentative="1">
      <w:start w:val="1"/>
      <w:numFmt w:val="bullet"/>
      <w:lvlText w:val=""/>
      <w:lvlJc w:val="left"/>
      <w:pPr>
        <w:ind w:left="2880" w:hanging="360"/>
      </w:pPr>
      <w:rPr>
        <w:rFonts w:ascii="Symbol" w:hAnsi="Symbol" w:hint="default"/>
      </w:rPr>
    </w:lvl>
    <w:lvl w:ilvl="4" w:tplc="108E868A" w:tentative="1">
      <w:start w:val="1"/>
      <w:numFmt w:val="bullet"/>
      <w:lvlText w:val="o"/>
      <w:lvlJc w:val="left"/>
      <w:pPr>
        <w:ind w:left="3600" w:hanging="360"/>
      </w:pPr>
      <w:rPr>
        <w:rFonts w:ascii="Courier New" w:hAnsi="Courier New" w:cs="Courier New" w:hint="default"/>
      </w:rPr>
    </w:lvl>
    <w:lvl w:ilvl="5" w:tplc="F2FE7C92" w:tentative="1">
      <w:start w:val="1"/>
      <w:numFmt w:val="bullet"/>
      <w:lvlText w:val=""/>
      <w:lvlJc w:val="left"/>
      <w:pPr>
        <w:ind w:left="4320" w:hanging="360"/>
      </w:pPr>
      <w:rPr>
        <w:rFonts w:ascii="Wingdings" w:hAnsi="Wingdings" w:hint="default"/>
      </w:rPr>
    </w:lvl>
    <w:lvl w:ilvl="6" w:tplc="7EF2A300" w:tentative="1">
      <w:start w:val="1"/>
      <w:numFmt w:val="bullet"/>
      <w:lvlText w:val=""/>
      <w:lvlJc w:val="left"/>
      <w:pPr>
        <w:ind w:left="5040" w:hanging="360"/>
      </w:pPr>
      <w:rPr>
        <w:rFonts w:ascii="Symbol" w:hAnsi="Symbol" w:hint="default"/>
      </w:rPr>
    </w:lvl>
    <w:lvl w:ilvl="7" w:tplc="A3F6A228" w:tentative="1">
      <w:start w:val="1"/>
      <w:numFmt w:val="bullet"/>
      <w:lvlText w:val="o"/>
      <w:lvlJc w:val="left"/>
      <w:pPr>
        <w:ind w:left="5760" w:hanging="360"/>
      </w:pPr>
      <w:rPr>
        <w:rFonts w:ascii="Courier New" w:hAnsi="Courier New" w:cs="Courier New" w:hint="default"/>
      </w:rPr>
    </w:lvl>
    <w:lvl w:ilvl="8" w:tplc="5798FA22"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28A0E9E6">
      <w:start w:val="1"/>
      <w:numFmt w:val="decimal"/>
      <w:lvlText w:val=""/>
      <w:lvlJc w:val="left"/>
    </w:lvl>
    <w:lvl w:ilvl="1" w:tplc="E2741220">
      <w:numFmt w:val="decimal"/>
      <w:lvlText w:val=""/>
      <w:lvlJc w:val="left"/>
    </w:lvl>
    <w:lvl w:ilvl="2" w:tplc="9816EF5E">
      <w:numFmt w:val="decimal"/>
      <w:lvlText w:val=""/>
      <w:lvlJc w:val="left"/>
    </w:lvl>
    <w:lvl w:ilvl="3" w:tplc="B038F6F6">
      <w:numFmt w:val="decimal"/>
      <w:lvlText w:val=""/>
      <w:lvlJc w:val="left"/>
    </w:lvl>
    <w:lvl w:ilvl="4" w:tplc="D94011D6">
      <w:numFmt w:val="decimal"/>
      <w:lvlText w:val=""/>
      <w:lvlJc w:val="left"/>
    </w:lvl>
    <w:lvl w:ilvl="5" w:tplc="B6AC750A">
      <w:numFmt w:val="decimal"/>
      <w:lvlText w:val=""/>
      <w:lvlJc w:val="left"/>
    </w:lvl>
    <w:lvl w:ilvl="6" w:tplc="774ABE96">
      <w:numFmt w:val="decimal"/>
      <w:lvlText w:val=""/>
      <w:lvlJc w:val="left"/>
    </w:lvl>
    <w:lvl w:ilvl="7" w:tplc="3BB61280">
      <w:numFmt w:val="decimal"/>
      <w:lvlText w:val=""/>
      <w:lvlJc w:val="left"/>
    </w:lvl>
    <w:lvl w:ilvl="8" w:tplc="1492ADEE">
      <w:numFmt w:val="decimal"/>
      <w:lvlText w:val=""/>
      <w:lvlJc w:val="left"/>
    </w:lvl>
  </w:abstractNum>
  <w:abstractNum w:abstractNumId="4" w15:restartNumberingAfterBreak="0">
    <w:nsid w:val="606F5BF9"/>
    <w:multiLevelType w:val="hybridMultilevel"/>
    <w:tmpl w:val="7D300396"/>
    <w:lvl w:ilvl="0" w:tplc="1884D69A">
      <w:numFmt w:val="bullet"/>
      <w:lvlText w:val="•"/>
      <w:lvlJc w:val="left"/>
      <w:pPr>
        <w:ind w:left="360" w:hanging="360"/>
      </w:pPr>
      <w:rPr>
        <w:rFonts w:ascii="Calibri" w:eastAsiaTheme="minorHAnsi" w:hAnsi="Calibri" w:cs="Calibri" w:hint="default"/>
        <w:b/>
      </w:rPr>
    </w:lvl>
    <w:lvl w:ilvl="1" w:tplc="5BFAF3CA" w:tentative="1">
      <w:start w:val="1"/>
      <w:numFmt w:val="bullet"/>
      <w:lvlText w:val="o"/>
      <w:lvlJc w:val="left"/>
      <w:pPr>
        <w:ind w:left="1080" w:hanging="360"/>
      </w:pPr>
      <w:rPr>
        <w:rFonts w:ascii="Courier New" w:hAnsi="Courier New" w:cs="Courier New" w:hint="default"/>
      </w:rPr>
    </w:lvl>
    <w:lvl w:ilvl="2" w:tplc="17F2DC84" w:tentative="1">
      <w:start w:val="1"/>
      <w:numFmt w:val="bullet"/>
      <w:lvlText w:val=""/>
      <w:lvlJc w:val="left"/>
      <w:pPr>
        <w:ind w:left="1800" w:hanging="360"/>
      </w:pPr>
      <w:rPr>
        <w:rFonts w:ascii="Wingdings" w:hAnsi="Wingdings" w:hint="default"/>
      </w:rPr>
    </w:lvl>
    <w:lvl w:ilvl="3" w:tplc="55FC129A" w:tentative="1">
      <w:start w:val="1"/>
      <w:numFmt w:val="bullet"/>
      <w:lvlText w:val=""/>
      <w:lvlJc w:val="left"/>
      <w:pPr>
        <w:ind w:left="2520" w:hanging="360"/>
      </w:pPr>
      <w:rPr>
        <w:rFonts w:ascii="Symbol" w:hAnsi="Symbol" w:hint="default"/>
      </w:rPr>
    </w:lvl>
    <w:lvl w:ilvl="4" w:tplc="1598C944" w:tentative="1">
      <w:start w:val="1"/>
      <w:numFmt w:val="bullet"/>
      <w:lvlText w:val="o"/>
      <w:lvlJc w:val="left"/>
      <w:pPr>
        <w:ind w:left="3240" w:hanging="360"/>
      </w:pPr>
      <w:rPr>
        <w:rFonts w:ascii="Courier New" w:hAnsi="Courier New" w:cs="Courier New" w:hint="default"/>
      </w:rPr>
    </w:lvl>
    <w:lvl w:ilvl="5" w:tplc="C5A2848A" w:tentative="1">
      <w:start w:val="1"/>
      <w:numFmt w:val="bullet"/>
      <w:lvlText w:val=""/>
      <w:lvlJc w:val="left"/>
      <w:pPr>
        <w:ind w:left="3960" w:hanging="360"/>
      </w:pPr>
      <w:rPr>
        <w:rFonts w:ascii="Wingdings" w:hAnsi="Wingdings" w:hint="default"/>
      </w:rPr>
    </w:lvl>
    <w:lvl w:ilvl="6" w:tplc="179AE2C0" w:tentative="1">
      <w:start w:val="1"/>
      <w:numFmt w:val="bullet"/>
      <w:lvlText w:val=""/>
      <w:lvlJc w:val="left"/>
      <w:pPr>
        <w:ind w:left="4680" w:hanging="360"/>
      </w:pPr>
      <w:rPr>
        <w:rFonts w:ascii="Symbol" w:hAnsi="Symbol" w:hint="default"/>
      </w:rPr>
    </w:lvl>
    <w:lvl w:ilvl="7" w:tplc="A0124946" w:tentative="1">
      <w:start w:val="1"/>
      <w:numFmt w:val="bullet"/>
      <w:lvlText w:val="o"/>
      <w:lvlJc w:val="left"/>
      <w:pPr>
        <w:ind w:left="5400" w:hanging="360"/>
      </w:pPr>
      <w:rPr>
        <w:rFonts w:ascii="Courier New" w:hAnsi="Courier New" w:cs="Courier New" w:hint="default"/>
      </w:rPr>
    </w:lvl>
    <w:lvl w:ilvl="8" w:tplc="70200E02"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76F40D06">
      <w:start w:val="1"/>
      <w:numFmt w:val="decimal"/>
      <w:lvlText w:val=""/>
      <w:lvlJc w:val="left"/>
    </w:lvl>
    <w:lvl w:ilvl="1" w:tplc="F23EF0EE">
      <w:numFmt w:val="decimal"/>
      <w:lvlText w:val=""/>
      <w:lvlJc w:val="left"/>
    </w:lvl>
    <w:lvl w:ilvl="2" w:tplc="9CB674F2">
      <w:numFmt w:val="decimal"/>
      <w:lvlText w:val=""/>
      <w:lvlJc w:val="left"/>
    </w:lvl>
    <w:lvl w:ilvl="3" w:tplc="FE72269E">
      <w:numFmt w:val="decimal"/>
      <w:lvlText w:val=""/>
      <w:lvlJc w:val="left"/>
    </w:lvl>
    <w:lvl w:ilvl="4" w:tplc="D1FC5A9E">
      <w:numFmt w:val="decimal"/>
      <w:lvlText w:val=""/>
      <w:lvlJc w:val="left"/>
    </w:lvl>
    <w:lvl w:ilvl="5" w:tplc="E73C9006">
      <w:numFmt w:val="decimal"/>
      <w:lvlText w:val=""/>
      <w:lvlJc w:val="left"/>
    </w:lvl>
    <w:lvl w:ilvl="6" w:tplc="C8B8D096">
      <w:numFmt w:val="decimal"/>
      <w:lvlText w:val=""/>
      <w:lvlJc w:val="left"/>
    </w:lvl>
    <w:lvl w:ilvl="7" w:tplc="B27E11BC">
      <w:numFmt w:val="decimal"/>
      <w:lvlText w:val=""/>
      <w:lvlJc w:val="left"/>
    </w:lvl>
    <w:lvl w:ilvl="8" w:tplc="A4EC91A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215646"/>
    <w:rsid w:val="00280050"/>
    <w:rsid w:val="0028376E"/>
    <w:rsid w:val="00296E4B"/>
    <w:rsid w:val="00372083"/>
    <w:rsid w:val="00407ED7"/>
    <w:rsid w:val="0045200D"/>
    <w:rsid w:val="004B48B4"/>
    <w:rsid w:val="004D78AD"/>
    <w:rsid w:val="005174F1"/>
    <w:rsid w:val="00580A31"/>
    <w:rsid w:val="0067685E"/>
    <w:rsid w:val="006D687E"/>
    <w:rsid w:val="007F6F56"/>
    <w:rsid w:val="0084425F"/>
    <w:rsid w:val="008654ED"/>
    <w:rsid w:val="00907A23"/>
    <w:rsid w:val="00920545"/>
    <w:rsid w:val="00961732"/>
    <w:rsid w:val="00A77ED8"/>
    <w:rsid w:val="00AA239D"/>
    <w:rsid w:val="00AD67AE"/>
    <w:rsid w:val="00B32D0B"/>
    <w:rsid w:val="00B728F1"/>
    <w:rsid w:val="00C322B7"/>
    <w:rsid w:val="00DA0152"/>
    <w:rsid w:val="00EB7DD4"/>
    <w:rsid w:val="00F14D6C"/>
    <w:rsid w:val="00F247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15DA"/>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78AD"/>
    <w:pPr>
      <w:spacing w:before="3120" w:after="960" w:line="240" w:lineRule="auto"/>
      <w:ind w:right="3402"/>
      <w:contextualSpacing/>
    </w:pPr>
    <w:rPr>
      <w:rFonts w:ascii="Noto Sans TC" w:eastAsia="Noto Sans TC" w:hAnsi="Noto Sans TC" w:cstheme="majorBidi"/>
      <w:b/>
      <w:color w:val="0B2748"/>
      <w:spacing w:val="-10"/>
      <w:kern w:val="28"/>
      <w:sz w:val="56"/>
      <w:szCs w:val="56"/>
      <w:lang w:eastAsia="zh-TW"/>
      <w14:ligatures w14:val="none"/>
    </w:rPr>
  </w:style>
  <w:style w:type="character" w:customStyle="1" w:styleId="TitleChar">
    <w:name w:val="Title Char"/>
    <w:basedOn w:val="DefaultParagraphFont"/>
    <w:link w:val="Title"/>
    <w:uiPriority w:val="10"/>
    <w:rsid w:val="004D78AD"/>
    <w:rPr>
      <w:rFonts w:ascii="Noto Sans TC" w:eastAsia="Noto Sans TC" w:hAnsi="Noto Sans TC" w:cstheme="majorBidi"/>
      <w:b/>
      <w:color w:val="0B2748"/>
      <w:spacing w:val="-10"/>
      <w:kern w:val="28"/>
      <w:sz w:val="56"/>
      <w:szCs w:val="56"/>
      <w:lang w:eastAsia="zh-TW"/>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Revision">
    <w:name w:val="Revision"/>
    <w:hidden/>
    <w:uiPriority w:val="99"/>
    <w:semiHidden/>
    <w:rsid w:val="00907A23"/>
    <w:pPr>
      <w:spacing w:after="0" w:line="240" w:lineRule="auto"/>
    </w:pPr>
  </w:style>
  <w:style w:type="paragraph" w:styleId="Header">
    <w:name w:val="header"/>
    <w:basedOn w:val="Normal"/>
    <w:link w:val="HeaderChar"/>
    <w:uiPriority w:val="99"/>
    <w:unhideWhenUsed/>
    <w:rsid w:val="004D7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8AD"/>
  </w:style>
  <w:style w:type="paragraph" w:styleId="Footer">
    <w:name w:val="footer"/>
    <w:basedOn w:val="Normal"/>
    <w:link w:val="FooterChar"/>
    <w:uiPriority w:val="99"/>
    <w:unhideWhenUsed/>
    <w:rsid w:val="004D7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nbc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au/nbcsp-transl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CAE6FC2A-A62A-B14D-A892-6EEE332C233C}">
  <ds:schemaRefs>
    <ds:schemaRef ds:uri="http://schemas.openxmlformats.org/officeDocument/2006/bibliography"/>
  </ds:schemaRefs>
</ds:datastoreItem>
</file>

<file path=customXml/itemProps2.xml><?xml version="1.0" encoding="utf-8"?>
<ds:datastoreItem xmlns:ds="http://schemas.openxmlformats.org/officeDocument/2006/customXml" ds:itemID="{216BEC0C-6BB5-492D-AF11-5CD786139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4.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5433</TotalTime>
  <Pages>1</Pages>
  <Words>743</Words>
  <Characters>789</Characters>
  <Application>Microsoft Office Word</Application>
  <DocSecurity>0</DocSecurity>
  <Lines>37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大腸鏡檢查須知</dc:title>
  <dc:creator>Department of Health, Disability and Ageing, Australian Government</dc:creator>
  <cp:keywords>癌症</cp:keywords>
  <cp:lastModifiedBy>MASCHKE, Elvia</cp:lastModifiedBy>
  <cp:revision>18</cp:revision>
  <dcterms:created xsi:type="dcterms:W3CDTF">2025-08-07T01:19:00Z</dcterms:created>
  <dcterms:modified xsi:type="dcterms:W3CDTF">2025-11-25T20:32:00Z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346f39bb,294df54f,18cf305c</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3b5e6d3b,14b7f198,3de58a9e</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2025-11-25T20:31:51Z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35696152-f8df-40de-b2f6-b1c5071318b3</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