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D5759" w14:textId="1B70EA30" w:rsidR="00E17AA8" w:rsidRPr="003751E9" w:rsidRDefault="007C2DB4" w:rsidP="00ED1342">
      <w:pPr>
        <w:pStyle w:val="Heading1"/>
        <w:keepNext w:val="0"/>
        <w:keepLines w:val="0"/>
        <w:widowControl w:val="0"/>
      </w:pPr>
      <w:bookmarkStart w:id="0" w:name="_Toc158731833"/>
      <w:bookmarkStart w:id="1" w:name="_Toc158732160"/>
      <w:bookmarkStart w:id="2" w:name="_Toc203406452"/>
      <w:bookmarkStart w:id="3" w:name="_Toc210985744"/>
      <w:bookmarkStart w:id="4" w:name="_Toc211857056"/>
      <w:r w:rsidRPr="007C2DB4">
        <w:t>Service and Support Portal User Guide – Advanced outlet and service management: transferring clients and services</w:t>
      </w:r>
      <w:bookmarkEnd w:id="0"/>
      <w:bookmarkEnd w:id="1"/>
      <w:bookmarkEnd w:id="2"/>
      <w:bookmarkEnd w:id="3"/>
      <w:bookmarkEnd w:id="4"/>
    </w:p>
    <w:p w14:paraId="2E33495F" w14:textId="77777777" w:rsidR="00F90A7E" w:rsidRPr="00F43310" w:rsidRDefault="00F90A7E" w:rsidP="00ED1342">
      <w:pPr>
        <w:pStyle w:val="IntroPara"/>
        <w:widowControl w:val="0"/>
      </w:pPr>
      <w:r w:rsidRPr="00F43310">
        <w:t>This guide is designed for:</w:t>
      </w:r>
    </w:p>
    <w:p w14:paraId="009291EA" w14:textId="77777777" w:rsidR="00F90A7E" w:rsidRPr="00F43310" w:rsidRDefault="00F90A7E" w:rsidP="00ED1342">
      <w:pPr>
        <w:pStyle w:val="Introparagraphlistbullet"/>
        <w:widowControl w:val="0"/>
      </w:pPr>
      <w:r w:rsidRPr="00F43310">
        <w:t>Administrators within the My Aged Care service and support portal</w:t>
      </w:r>
    </w:p>
    <w:p w14:paraId="11F46DAA" w14:textId="77777777" w:rsidR="00F90A7E" w:rsidRPr="00F43310" w:rsidRDefault="00F90A7E" w:rsidP="00ED1342">
      <w:pPr>
        <w:pStyle w:val="Introparagraphlistbullet"/>
        <w:widowControl w:val="0"/>
      </w:pPr>
      <w:r w:rsidRPr="00F43310">
        <w:t>Outlet Administrators who have access to more than one outlet.</w:t>
      </w:r>
    </w:p>
    <w:p w14:paraId="4660DFAD" w14:textId="77777777" w:rsidR="00F90A7E" w:rsidRPr="00F43310" w:rsidRDefault="00F90A7E" w:rsidP="00ED1342">
      <w:pPr>
        <w:pStyle w:val="IntroPara"/>
        <w:widowControl w:val="0"/>
      </w:pPr>
      <w:r w:rsidRPr="00F43310">
        <w:t>This guide explains the procedures for transferring clients and services within and between outlets in an organisation.</w:t>
      </w:r>
    </w:p>
    <w:p w14:paraId="691FDA50" w14:textId="2540EA15" w:rsidR="00F90A7E" w:rsidRPr="00F43310" w:rsidRDefault="00F90A7E" w:rsidP="00ED1342">
      <w:pPr>
        <w:pStyle w:val="IntroPara"/>
        <w:widowControl w:val="0"/>
      </w:pPr>
      <w:r w:rsidRPr="00F43310">
        <w:t>This process will assist organisation administrators to restructure outlets set up for their organisation to meet their business needs.</w:t>
      </w:r>
    </w:p>
    <w:p w14:paraId="06072651" w14:textId="77777777" w:rsidR="00F90A7E" w:rsidRDefault="00F90A7E" w:rsidP="00ED1342">
      <w:pPr>
        <w:widowControl w:val="0"/>
        <w:spacing w:line="276" w:lineRule="auto"/>
      </w:pPr>
      <w:r>
        <w:t>This guide is divided into the following topics:</w:t>
      </w:r>
    </w:p>
    <w:sdt>
      <w:sdtPr>
        <w:rPr>
          <w:rFonts w:eastAsia="Times New Roman" w:cs="Times New Roman"/>
          <w:b/>
          <w:bCs/>
          <w:sz w:val="22"/>
          <w:szCs w:val="24"/>
        </w:rPr>
        <w:id w:val="311216908"/>
        <w:docPartObj>
          <w:docPartGallery w:val="Table of Contents"/>
          <w:docPartUnique/>
        </w:docPartObj>
      </w:sdtPr>
      <w:sdtEndPr>
        <w:rPr>
          <w:b w:val="0"/>
          <w:bCs w:val="0"/>
          <w:szCs w:val="22"/>
        </w:rPr>
      </w:sdtEndPr>
      <w:sdtContent>
        <w:p w14:paraId="09F5B835" w14:textId="793AEA9B" w:rsidR="00F62103" w:rsidRDefault="00063110">
          <w:pPr>
            <w:pStyle w:val="TOC1"/>
            <w:rPr>
              <w:rFonts w:asciiTheme="minorHAnsi" w:eastAsiaTheme="minorEastAsia" w:hAnsiTheme="minorHAnsi"/>
              <w:noProof/>
              <w:kern w:val="2"/>
              <w:szCs w:val="24"/>
              <w:lang w:eastAsia="en-AU"/>
              <w14:ligatures w14:val="standardContextual"/>
            </w:rPr>
          </w:pPr>
          <w:r w:rsidRPr="0070280D">
            <w:rPr>
              <w:rFonts w:cs="Arial"/>
              <w:sz w:val="21"/>
              <w:szCs w:val="21"/>
            </w:rPr>
            <w:fldChar w:fldCharType="begin"/>
          </w:r>
          <w:r w:rsidRPr="0070280D">
            <w:rPr>
              <w:rFonts w:cs="Arial"/>
              <w:sz w:val="21"/>
              <w:szCs w:val="21"/>
            </w:rPr>
            <w:instrText xml:space="preserve"> TOC \o "1-3" \h \z \u </w:instrText>
          </w:r>
          <w:r w:rsidRPr="0070280D">
            <w:rPr>
              <w:rFonts w:cs="Arial"/>
              <w:sz w:val="21"/>
              <w:szCs w:val="21"/>
            </w:rPr>
            <w:fldChar w:fldCharType="separate"/>
          </w:r>
        </w:p>
        <w:p w14:paraId="32A88233" w14:textId="08BD9147" w:rsidR="00F62103" w:rsidRDefault="00F62103">
          <w:pPr>
            <w:pStyle w:val="TOC2"/>
            <w:rPr>
              <w:rFonts w:asciiTheme="minorHAnsi" w:eastAsiaTheme="minorEastAsia" w:hAnsiTheme="minorHAnsi"/>
              <w:noProof/>
              <w:kern w:val="2"/>
              <w:szCs w:val="24"/>
              <w:lang w:eastAsia="en-AU"/>
              <w14:ligatures w14:val="standardContextual"/>
            </w:rPr>
          </w:pPr>
          <w:hyperlink w:anchor="_Toc211857057" w:history="1">
            <w:r w:rsidRPr="005407B5">
              <w:rPr>
                <w:rStyle w:val="Hyperlink"/>
                <w:noProof/>
              </w:rPr>
              <w:t>Notes</w:t>
            </w:r>
            <w:r>
              <w:rPr>
                <w:noProof/>
                <w:webHidden/>
              </w:rPr>
              <w:tab/>
            </w:r>
            <w:r>
              <w:rPr>
                <w:noProof/>
                <w:webHidden/>
              </w:rPr>
              <w:fldChar w:fldCharType="begin"/>
            </w:r>
            <w:r>
              <w:rPr>
                <w:noProof/>
                <w:webHidden/>
              </w:rPr>
              <w:instrText xml:space="preserve"> PAGEREF _Toc211857057 \h </w:instrText>
            </w:r>
            <w:r>
              <w:rPr>
                <w:noProof/>
                <w:webHidden/>
              </w:rPr>
            </w:r>
            <w:r>
              <w:rPr>
                <w:noProof/>
                <w:webHidden/>
              </w:rPr>
              <w:fldChar w:fldCharType="separate"/>
            </w:r>
            <w:r w:rsidR="00C7440B">
              <w:rPr>
                <w:noProof/>
                <w:webHidden/>
              </w:rPr>
              <w:t>2</w:t>
            </w:r>
            <w:r>
              <w:rPr>
                <w:noProof/>
                <w:webHidden/>
              </w:rPr>
              <w:fldChar w:fldCharType="end"/>
            </w:r>
          </w:hyperlink>
        </w:p>
        <w:p w14:paraId="0597BA2B" w14:textId="169436FB" w:rsidR="00F62103" w:rsidRDefault="00F62103">
          <w:pPr>
            <w:pStyle w:val="TOC2"/>
            <w:rPr>
              <w:rFonts w:asciiTheme="minorHAnsi" w:eastAsiaTheme="minorEastAsia" w:hAnsiTheme="minorHAnsi"/>
              <w:noProof/>
              <w:kern w:val="2"/>
              <w:szCs w:val="24"/>
              <w:lang w:eastAsia="en-AU"/>
              <w14:ligatures w14:val="standardContextual"/>
            </w:rPr>
          </w:pPr>
          <w:hyperlink w:anchor="_Toc211857058" w:history="1">
            <w:r w:rsidRPr="005407B5">
              <w:rPr>
                <w:rStyle w:val="Hyperlink"/>
                <w:noProof/>
              </w:rPr>
              <w:t>Transferring between outlets</w:t>
            </w:r>
            <w:r>
              <w:rPr>
                <w:noProof/>
                <w:webHidden/>
              </w:rPr>
              <w:tab/>
            </w:r>
            <w:r>
              <w:rPr>
                <w:noProof/>
                <w:webHidden/>
              </w:rPr>
              <w:fldChar w:fldCharType="begin"/>
            </w:r>
            <w:r>
              <w:rPr>
                <w:noProof/>
                <w:webHidden/>
              </w:rPr>
              <w:instrText xml:space="preserve"> PAGEREF _Toc211857058 \h </w:instrText>
            </w:r>
            <w:r>
              <w:rPr>
                <w:noProof/>
                <w:webHidden/>
              </w:rPr>
            </w:r>
            <w:r>
              <w:rPr>
                <w:noProof/>
                <w:webHidden/>
              </w:rPr>
              <w:fldChar w:fldCharType="separate"/>
            </w:r>
            <w:r w:rsidR="00C7440B">
              <w:rPr>
                <w:noProof/>
                <w:webHidden/>
              </w:rPr>
              <w:t>3</w:t>
            </w:r>
            <w:r>
              <w:rPr>
                <w:noProof/>
                <w:webHidden/>
              </w:rPr>
              <w:fldChar w:fldCharType="end"/>
            </w:r>
          </w:hyperlink>
        </w:p>
        <w:p w14:paraId="28CDBCB8" w14:textId="68411042" w:rsidR="00F62103" w:rsidRDefault="00F62103">
          <w:pPr>
            <w:pStyle w:val="TOC2"/>
            <w:rPr>
              <w:rFonts w:asciiTheme="minorHAnsi" w:eastAsiaTheme="minorEastAsia" w:hAnsiTheme="minorHAnsi"/>
              <w:noProof/>
              <w:kern w:val="2"/>
              <w:szCs w:val="24"/>
              <w:lang w:eastAsia="en-AU"/>
              <w14:ligatures w14:val="standardContextual"/>
            </w:rPr>
          </w:pPr>
          <w:hyperlink w:anchor="_Toc211857059" w:history="1">
            <w:r w:rsidRPr="005407B5">
              <w:rPr>
                <w:rStyle w:val="Hyperlink"/>
                <w:noProof/>
              </w:rPr>
              <w:t>Viewing the service transfer log</w:t>
            </w:r>
            <w:r>
              <w:rPr>
                <w:noProof/>
                <w:webHidden/>
              </w:rPr>
              <w:tab/>
            </w:r>
            <w:r>
              <w:rPr>
                <w:noProof/>
                <w:webHidden/>
              </w:rPr>
              <w:fldChar w:fldCharType="begin"/>
            </w:r>
            <w:r>
              <w:rPr>
                <w:noProof/>
                <w:webHidden/>
              </w:rPr>
              <w:instrText xml:space="preserve"> PAGEREF _Toc211857059 \h </w:instrText>
            </w:r>
            <w:r>
              <w:rPr>
                <w:noProof/>
                <w:webHidden/>
              </w:rPr>
            </w:r>
            <w:r>
              <w:rPr>
                <w:noProof/>
                <w:webHidden/>
              </w:rPr>
              <w:fldChar w:fldCharType="separate"/>
            </w:r>
            <w:r w:rsidR="00C7440B">
              <w:rPr>
                <w:noProof/>
                <w:webHidden/>
              </w:rPr>
              <w:t>7</w:t>
            </w:r>
            <w:r>
              <w:rPr>
                <w:noProof/>
                <w:webHidden/>
              </w:rPr>
              <w:fldChar w:fldCharType="end"/>
            </w:r>
          </w:hyperlink>
        </w:p>
        <w:p w14:paraId="77CDA20D" w14:textId="28DDA005" w:rsidR="00F62103" w:rsidRDefault="00F62103">
          <w:pPr>
            <w:pStyle w:val="TOC2"/>
            <w:rPr>
              <w:rFonts w:asciiTheme="minorHAnsi" w:eastAsiaTheme="minorEastAsia" w:hAnsiTheme="minorHAnsi"/>
              <w:noProof/>
              <w:kern w:val="2"/>
              <w:szCs w:val="24"/>
              <w:lang w:eastAsia="en-AU"/>
              <w14:ligatures w14:val="standardContextual"/>
            </w:rPr>
          </w:pPr>
          <w:hyperlink w:anchor="_Toc211857060" w:history="1">
            <w:r w:rsidRPr="005407B5">
              <w:rPr>
                <w:rStyle w:val="Hyperlink"/>
                <w:noProof/>
              </w:rPr>
              <w:t>Transferring a client between services</w:t>
            </w:r>
            <w:r>
              <w:rPr>
                <w:noProof/>
                <w:webHidden/>
              </w:rPr>
              <w:tab/>
            </w:r>
            <w:r>
              <w:rPr>
                <w:noProof/>
                <w:webHidden/>
              </w:rPr>
              <w:fldChar w:fldCharType="begin"/>
            </w:r>
            <w:r>
              <w:rPr>
                <w:noProof/>
                <w:webHidden/>
              </w:rPr>
              <w:instrText xml:space="preserve"> PAGEREF _Toc211857060 \h </w:instrText>
            </w:r>
            <w:r>
              <w:rPr>
                <w:noProof/>
                <w:webHidden/>
              </w:rPr>
            </w:r>
            <w:r>
              <w:rPr>
                <w:noProof/>
                <w:webHidden/>
              </w:rPr>
              <w:fldChar w:fldCharType="separate"/>
            </w:r>
            <w:r w:rsidR="00C7440B">
              <w:rPr>
                <w:noProof/>
                <w:webHidden/>
              </w:rPr>
              <w:t>9</w:t>
            </w:r>
            <w:r>
              <w:rPr>
                <w:noProof/>
                <w:webHidden/>
              </w:rPr>
              <w:fldChar w:fldCharType="end"/>
            </w:r>
          </w:hyperlink>
        </w:p>
        <w:p w14:paraId="26CECA4E" w14:textId="049C857F" w:rsidR="00F62103" w:rsidRDefault="00F62103">
          <w:pPr>
            <w:pStyle w:val="TOC2"/>
            <w:rPr>
              <w:rFonts w:asciiTheme="minorHAnsi" w:eastAsiaTheme="minorEastAsia" w:hAnsiTheme="minorHAnsi"/>
              <w:noProof/>
              <w:kern w:val="2"/>
              <w:szCs w:val="24"/>
              <w:lang w:eastAsia="en-AU"/>
              <w14:ligatures w14:val="standardContextual"/>
            </w:rPr>
          </w:pPr>
          <w:hyperlink w:anchor="_Toc211857061" w:history="1">
            <w:r w:rsidRPr="005407B5">
              <w:rPr>
                <w:rStyle w:val="Hyperlink"/>
                <w:noProof/>
              </w:rPr>
              <w:t>Viewing the client transfer log</w:t>
            </w:r>
            <w:r>
              <w:rPr>
                <w:noProof/>
                <w:webHidden/>
              </w:rPr>
              <w:tab/>
            </w:r>
            <w:r>
              <w:rPr>
                <w:noProof/>
                <w:webHidden/>
              </w:rPr>
              <w:fldChar w:fldCharType="begin"/>
            </w:r>
            <w:r>
              <w:rPr>
                <w:noProof/>
                <w:webHidden/>
              </w:rPr>
              <w:instrText xml:space="preserve"> PAGEREF _Toc211857061 \h </w:instrText>
            </w:r>
            <w:r>
              <w:rPr>
                <w:noProof/>
                <w:webHidden/>
              </w:rPr>
            </w:r>
            <w:r>
              <w:rPr>
                <w:noProof/>
                <w:webHidden/>
              </w:rPr>
              <w:fldChar w:fldCharType="separate"/>
            </w:r>
            <w:r w:rsidR="00C7440B">
              <w:rPr>
                <w:noProof/>
                <w:webHidden/>
              </w:rPr>
              <w:t>11</w:t>
            </w:r>
            <w:r>
              <w:rPr>
                <w:noProof/>
                <w:webHidden/>
              </w:rPr>
              <w:fldChar w:fldCharType="end"/>
            </w:r>
          </w:hyperlink>
        </w:p>
        <w:p w14:paraId="6633D64B" w14:textId="157F7DD2" w:rsidR="00F62103" w:rsidRDefault="00F62103">
          <w:pPr>
            <w:pStyle w:val="TOC2"/>
            <w:rPr>
              <w:rFonts w:asciiTheme="minorHAnsi" w:eastAsiaTheme="minorEastAsia" w:hAnsiTheme="minorHAnsi"/>
              <w:noProof/>
              <w:kern w:val="2"/>
              <w:szCs w:val="24"/>
              <w:lang w:eastAsia="en-AU"/>
              <w14:ligatures w14:val="standardContextual"/>
            </w:rPr>
          </w:pPr>
          <w:hyperlink w:anchor="_Toc211857062" w:history="1">
            <w:r w:rsidRPr="005407B5">
              <w:rPr>
                <w:rStyle w:val="Hyperlink"/>
                <w:noProof/>
              </w:rPr>
              <w:t>For more information or support</w:t>
            </w:r>
            <w:r>
              <w:rPr>
                <w:noProof/>
                <w:webHidden/>
              </w:rPr>
              <w:tab/>
            </w:r>
            <w:r>
              <w:rPr>
                <w:noProof/>
                <w:webHidden/>
              </w:rPr>
              <w:fldChar w:fldCharType="begin"/>
            </w:r>
            <w:r>
              <w:rPr>
                <w:noProof/>
                <w:webHidden/>
              </w:rPr>
              <w:instrText xml:space="preserve"> PAGEREF _Toc211857062 \h </w:instrText>
            </w:r>
            <w:r>
              <w:rPr>
                <w:noProof/>
                <w:webHidden/>
              </w:rPr>
            </w:r>
            <w:r>
              <w:rPr>
                <w:noProof/>
                <w:webHidden/>
              </w:rPr>
              <w:fldChar w:fldCharType="separate"/>
            </w:r>
            <w:r w:rsidR="00C7440B">
              <w:rPr>
                <w:noProof/>
                <w:webHidden/>
              </w:rPr>
              <w:t>13</w:t>
            </w:r>
            <w:r>
              <w:rPr>
                <w:noProof/>
                <w:webHidden/>
              </w:rPr>
              <w:fldChar w:fldCharType="end"/>
            </w:r>
          </w:hyperlink>
        </w:p>
        <w:p w14:paraId="2EB074FF" w14:textId="6DB0F1C8" w:rsidR="00063110" w:rsidRDefault="00063110" w:rsidP="00ED1342">
          <w:pPr>
            <w:widowControl w:val="0"/>
            <w:spacing w:line="276" w:lineRule="auto"/>
          </w:pPr>
          <w:r w:rsidRPr="0070280D">
            <w:rPr>
              <w:rFonts w:cs="Arial"/>
              <w:b/>
              <w:bCs/>
              <w:noProof/>
              <w:szCs w:val="21"/>
            </w:rPr>
            <w:fldChar w:fldCharType="end"/>
          </w:r>
        </w:p>
      </w:sdtContent>
    </w:sdt>
    <w:p w14:paraId="2C8B43D1" w14:textId="77777777" w:rsidR="004758A2" w:rsidRPr="00F43310" w:rsidRDefault="004758A2" w:rsidP="00ED1342">
      <w:pPr>
        <w:widowControl w:val="0"/>
        <w:spacing w:line="276" w:lineRule="auto"/>
        <w:rPr>
          <w:rFonts w:eastAsia="MS Gothic"/>
        </w:rPr>
      </w:pPr>
      <w:r>
        <w:br w:type="page"/>
      </w:r>
    </w:p>
    <w:p w14:paraId="03E82268" w14:textId="20CF5AA4" w:rsidR="005D60B0" w:rsidRDefault="004976ED" w:rsidP="00F6658A">
      <w:pPr>
        <w:rPr>
          <w:sz w:val="28"/>
          <w:szCs w:val="28"/>
        </w:rPr>
      </w:pPr>
      <w:bookmarkStart w:id="5" w:name="_Toc211857057"/>
      <w:r w:rsidRPr="00396108">
        <w:rPr>
          <w:b/>
          <w:color w:val="FF0000"/>
          <w:sz w:val="36"/>
          <w:szCs w:val="36"/>
        </w:rPr>
        <w:lastRenderedPageBreak/>
        <w:t>!</w:t>
      </w:r>
      <w:r w:rsidRPr="00ED1342">
        <w:rPr>
          <w:b/>
        </w:rPr>
        <w:t xml:space="preserve"> </w:t>
      </w:r>
      <w:r w:rsidR="005D60B0" w:rsidRPr="00F6658A">
        <w:rPr>
          <w:rStyle w:val="Strong"/>
        </w:rPr>
        <w:t>Applicability</w:t>
      </w:r>
      <w:r w:rsidR="00EE2EC0" w:rsidRPr="00F6658A">
        <w:rPr>
          <w:rStyle w:val="Strong"/>
        </w:rPr>
        <w:t xml:space="preserve"> (1st November 2025)</w:t>
      </w:r>
    </w:p>
    <w:p w14:paraId="5C3B631C" w14:textId="367CACB9" w:rsidR="006906DA" w:rsidRDefault="00184D75" w:rsidP="00EE2EC0">
      <w:pPr>
        <w:pStyle w:val="ListBullet"/>
        <w:widowControl w:val="0"/>
        <w:spacing w:line="276" w:lineRule="auto"/>
        <w:ind w:left="397" w:hanging="397"/>
      </w:pPr>
      <w:r>
        <w:t>Access to the</w:t>
      </w:r>
      <w:r w:rsidR="00EE2EC0">
        <w:t xml:space="preserve"> functionality</w:t>
      </w:r>
      <w:r>
        <w:t xml:space="preserve"> described in this guide</w:t>
      </w:r>
      <w:r w:rsidR="00EE2EC0">
        <w:t xml:space="preserve"> has been disabled</w:t>
      </w:r>
      <w:r w:rsidR="000D1D6A">
        <w:t xml:space="preserve"> in the Service and Support Portal</w:t>
      </w:r>
      <w:r w:rsidR="00EE2EC0">
        <w:t xml:space="preserve"> for </w:t>
      </w:r>
      <w:r w:rsidR="00C845B2">
        <w:t>ALL</w:t>
      </w:r>
      <w:r w:rsidR="00EE2EC0">
        <w:t xml:space="preserve"> </w:t>
      </w:r>
      <w:r w:rsidR="00D65974">
        <w:t xml:space="preserve">programs </w:t>
      </w:r>
      <w:r w:rsidR="007924C5">
        <w:t>from 1</w:t>
      </w:r>
      <w:r w:rsidR="007924C5" w:rsidRPr="397728F4">
        <w:rPr>
          <w:vertAlign w:val="superscript"/>
        </w:rPr>
        <w:t>st</w:t>
      </w:r>
      <w:r w:rsidR="007924C5">
        <w:t xml:space="preserve"> November 2025 until further notice.</w:t>
      </w:r>
    </w:p>
    <w:p w14:paraId="4B2BC53F" w14:textId="024113DA" w:rsidR="3F6F966F" w:rsidRDefault="3F6F966F" w:rsidP="4058F1AB">
      <w:pPr>
        <w:pStyle w:val="ListBullet"/>
        <w:widowControl w:val="0"/>
        <w:spacing w:line="276" w:lineRule="auto"/>
        <w:ind w:left="397" w:hanging="397"/>
      </w:pPr>
      <w:r w:rsidRPr="4058F1AB">
        <w:t xml:space="preserve">To request a transfer of services or clients, Organisation Administrators must email </w:t>
      </w:r>
      <w:hyperlink r:id="rId11">
        <w:r w:rsidRPr="4058F1AB">
          <w:rPr>
            <w:rStyle w:val="Hyperlink"/>
            <w:rFonts w:eastAsia="Arial" w:cs="Arial"/>
            <w:b/>
            <w:bCs/>
            <w:color w:val="467886"/>
            <w:szCs w:val="22"/>
          </w:rPr>
          <w:t>agedcaretransfers@health.gov.au</w:t>
        </w:r>
      </w:hyperlink>
      <w:r w:rsidRPr="4058F1AB">
        <w:rPr>
          <w:rFonts w:eastAsia="Arial" w:cs="Arial"/>
        </w:rPr>
        <w:t xml:space="preserve"> </w:t>
      </w:r>
      <w:r w:rsidRPr="4058F1AB">
        <w:t>using the email address linked to their organisation in the Service and Support Portal</w:t>
      </w:r>
      <w:r w:rsidR="2A28BF1E" w:rsidRPr="4058F1AB">
        <w:t xml:space="preserve"> by i</w:t>
      </w:r>
      <w:r w:rsidRPr="4058F1AB">
        <w:t>nclud</w:t>
      </w:r>
      <w:r w:rsidR="64D9C21F" w:rsidRPr="4058F1AB">
        <w:t>ing</w:t>
      </w:r>
      <w:r w:rsidRPr="4058F1AB">
        <w:t xml:space="preserve"> only the organisation name (no client information). The department will follow up to collect details of the transferring and receiving outlets, relevant services, clients or referrals, and their location.</w:t>
      </w:r>
    </w:p>
    <w:p w14:paraId="6AD58C0D" w14:textId="2E8A4469" w:rsidR="00EE2EC0" w:rsidRPr="00EE2EC0" w:rsidRDefault="006415F6" w:rsidP="00EE2EC0">
      <w:pPr>
        <w:rPr>
          <w:lang w:val="en-US"/>
        </w:rPr>
      </w:pPr>
      <w:r>
        <w:rPr>
          <w:lang w:val="en-US"/>
        </w:rPr>
        <w:t>The process described in the remainder of this guide</w:t>
      </w:r>
      <w:r w:rsidR="00BD5731">
        <w:rPr>
          <w:lang w:val="en-US"/>
        </w:rPr>
        <w:t xml:space="preserve"> is provided for reference purposes </w:t>
      </w:r>
      <w:r w:rsidR="00E061EC">
        <w:rPr>
          <w:lang w:val="en-US"/>
        </w:rPr>
        <w:t>only and</w:t>
      </w:r>
      <w:r w:rsidR="00BD5731">
        <w:rPr>
          <w:lang w:val="en-US"/>
        </w:rPr>
        <w:t xml:space="preserve"> may be </w:t>
      </w:r>
      <w:r w:rsidR="00E061EC">
        <w:rPr>
          <w:lang w:val="en-US"/>
        </w:rPr>
        <w:t>updated</w:t>
      </w:r>
      <w:r w:rsidR="00BD5731">
        <w:rPr>
          <w:lang w:val="en-US"/>
        </w:rPr>
        <w:t xml:space="preserve"> </w:t>
      </w:r>
      <w:r w:rsidR="009448FD">
        <w:rPr>
          <w:lang w:val="en-US"/>
        </w:rPr>
        <w:t>when the functionality</w:t>
      </w:r>
      <w:r w:rsidR="00D401E0">
        <w:rPr>
          <w:lang w:val="en-US"/>
        </w:rPr>
        <w:t xml:space="preserve"> is re</w:t>
      </w:r>
      <w:r w:rsidR="00843DD7">
        <w:rPr>
          <w:lang w:val="en-US"/>
        </w:rPr>
        <w:t>-enabled</w:t>
      </w:r>
      <w:r w:rsidR="000C126D">
        <w:rPr>
          <w:lang w:val="en-US"/>
        </w:rPr>
        <w:t>.</w:t>
      </w:r>
    </w:p>
    <w:p w14:paraId="27C7683A" w14:textId="77777777" w:rsidR="00055894" w:rsidRPr="00F6658A" w:rsidRDefault="00055894" w:rsidP="00F6658A">
      <w:pPr>
        <w:rPr>
          <w:rFonts w:eastAsia="MS Gothic"/>
        </w:rPr>
      </w:pPr>
      <w:r>
        <w:rPr>
          <w:sz w:val="28"/>
          <w:szCs w:val="28"/>
        </w:rPr>
        <w:br w:type="page"/>
      </w:r>
    </w:p>
    <w:p w14:paraId="0CE626D5" w14:textId="5381708B" w:rsidR="00991D51" w:rsidRPr="00F6658A" w:rsidRDefault="00991D51" w:rsidP="00F6658A">
      <w:pPr>
        <w:rPr>
          <w:rStyle w:val="Strong"/>
        </w:rPr>
      </w:pPr>
      <w:r w:rsidRPr="00F6658A">
        <w:rPr>
          <w:rStyle w:val="Strong"/>
        </w:rPr>
        <w:lastRenderedPageBreak/>
        <w:t>Notes</w:t>
      </w:r>
      <w:bookmarkEnd w:id="5"/>
    </w:p>
    <w:p w14:paraId="78D19A68" w14:textId="62CA187D" w:rsidR="00EB22EB" w:rsidRPr="00EB66A6" w:rsidRDefault="00EB22EB" w:rsidP="00C63F43">
      <w:pPr>
        <w:pStyle w:val="ListBullet"/>
        <w:widowControl w:val="0"/>
        <w:spacing w:line="276" w:lineRule="auto"/>
        <w:ind w:left="397" w:hanging="397"/>
      </w:pPr>
      <w:r w:rsidRPr="00EB66A6">
        <w:t xml:space="preserve">This document relates only to the functions able to be performed by an administrator at the organisation </w:t>
      </w:r>
      <w:r w:rsidR="00507FF9">
        <w:t xml:space="preserve">or outlet </w:t>
      </w:r>
      <w:r w:rsidRPr="00EB66A6">
        <w:t>level</w:t>
      </w:r>
      <w:r w:rsidR="00175B86">
        <w:t>.</w:t>
      </w:r>
    </w:p>
    <w:p w14:paraId="312DC05E" w14:textId="1DFB9C60" w:rsidR="00EB22EB" w:rsidRDefault="00EB22EB" w:rsidP="00C63F43">
      <w:pPr>
        <w:pStyle w:val="ListBullet"/>
        <w:widowControl w:val="0"/>
        <w:spacing w:line="276" w:lineRule="auto"/>
        <w:ind w:left="397" w:hanging="397"/>
      </w:pPr>
      <w:r w:rsidRPr="00007C72">
        <w:t>This functionality does not apply to residential care services, and providers should use the existing process using the</w:t>
      </w:r>
      <w:hyperlink r:id="rId12">
        <w:r w:rsidRPr="361C43A2">
          <w:rPr>
            <w:rStyle w:val="Hyperlink"/>
            <w:color w:val="auto"/>
            <w:u w:val="none"/>
          </w:rPr>
          <w:t xml:space="preserve"> </w:t>
        </w:r>
      </w:hyperlink>
      <w:hyperlink r:id="rId13">
        <w:r w:rsidRPr="6D7C2510">
          <w:rPr>
            <w:rStyle w:val="Hyperlink"/>
            <w:color w:val="0070C0"/>
          </w:rPr>
          <w:t>Application to Vary Conditions of Allocation</w:t>
        </w:r>
      </w:hyperlink>
      <w:r w:rsidRPr="00007C72">
        <w:t xml:space="preserve"> form</w:t>
      </w:r>
      <w:r>
        <w:t>.</w:t>
      </w:r>
    </w:p>
    <w:p w14:paraId="06EC018C" w14:textId="1A8737F4" w:rsidR="00FE6437" w:rsidRPr="00EB66A6" w:rsidRDefault="00FE6437" w:rsidP="00C63F43">
      <w:pPr>
        <w:pStyle w:val="ListBullet"/>
        <w:widowControl w:val="0"/>
        <w:spacing w:line="276" w:lineRule="auto"/>
        <w:ind w:left="397" w:hanging="397"/>
      </w:pPr>
      <w:r>
        <w:t>This functionality does not apply to Home Support services in the Support At Home program.</w:t>
      </w:r>
    </w:p>
    <w:p w14:paraId="160A7B21" w14:textId="231CC657" w:rsidR="00EB22EB" w:rsidRPr="00EB66A6" w:rsidRDefault="00EB22EB" w:rsidP="00C63F43">
      <w:pPr>
        <w:pStyle w:val="ListBullet"/>
        <w:widowControl w:val="0"/>
        <w:spacing w:line="276" w:lineRule="auto"/>
        <w:ind w:left="397" w:hanging="397"/>
      </w:pPr>
      <w:r w:rsidRPr="00EB66A6">
        <w:t xml:space="preserve">If you are required to transfer clients between organisations, for example, as part of a merger or acquisition, contact the My Aged Care Service Provider and Assessor Helpline on 1800 836 799, who will be able to </w:t>
      </w:r>
      <w:r w:rsidR="00C3175B" w:rsidRPr="00EB66A6">
        <w:t>initiate</w:t>
      </w:r>
      <w:r w:rsidRPr="00EB66A6">
        <w:t xml:space="preserve"> the transfer of clients for you.</w:t>
      </w:r>
    </w:p>
    <w:p w14:paraId="399FF508" w14:textId="4156BC7E" w:rsidR="00FF381B" w:rsidRPr="000646CE" w:rsidRDefault="00741235" w:rsidP="00ED1342">
      <w:pPr>
        <w:pStyle w:val="Heading2"/>
        <w:keepNext w:val="0"/>
        <w:keepLines w:val="0"/>
        <w:widowControl w:val="0"/>
        <w:spacing w:before="480" w:line="259" w:lineRule="auto"/>
        <w:rPr>
          <w:sz w:val="28"/>
          <w:szCs w:val="28"/>
        </w:rPr>
      </w:pPr>
      <w:bookmarkStart w:id="6" w:name="_Toc211857058"/>
      <w:r>
        <w:rPr>
          <w:sz w:val="28"/>
          <w:szCs w:val="28"/>
        </w:rPr>
        <w:t>Transferring</w:t>
      </w:r>
      <w:r w:rsidR="00137FCC">
        <w:rPr>
          <w:sz w:val="28"/>
          <w:szCs w:val="28"/>
        </w:rPr>
        <w:t xml:space="preserve"> between outlets</w:t>
      </w:r>
      <w:bookmarkEnd w:id="6"/>
    </w:p>
    <w:p w14:paraId="1FDE02F4" w14:textId="77777777" w:rsidR="002A3A45" w:rsidRDefault="002A3A45" w:rsidP="00ED1342">
      <w:pPr>
        <w:widowControl w:val="0"/>
        <w:spacing w:line="276" w:lineRule="auto"/>
      </w:pPr>
      <w:r>
        <w:t>Organisation administrators may choose one or multiple service items to transfer between outlets of an organisation in the service and support portal. Using this function, administrators can:</w:t>
      </w:r>
    </w:p>
    <w:p w14:paraId="23241738" w14:textId="6606565F" w:rsidR="002A3A45" w:rsidRPr="00EB66A6" w:rsidRDefault="00F17FCD" w:rsidP="00C63F43">
      <w:pPr>
        <w:pStyle w:val="ListBullet"/>
        <w:widowControl w:val="0"/>
        <w:spacing w:line="240" w:lineRule="auto"/>
        <w:ind w:left="397" w:hanging="397"/>
      </w:pPr>
      <w:r w:rsidRPr="00EB66A6">
        <w:t>se</w:t>
      </w:r>
      <w:r w:rsidR="002A3A45" w:rsidRPr="00EB66A6">
        <w:t>lect and list the service item(s) you wish to transfer</w:t>
      </w:r>
    </w:p>
    <w:p w14:paraId="3A9B8B3F" w14:textId="6D3C6063" w:rsidR="002A3A45" w:rsidRPr="00EB66A6" w:rsidRDefault="00F17FCD" w:rsidP="00C63F43">
      <w:pPr>
        <w:pStyle w:val="ListBullet"/>
        <w:widowControl w:val="0"/>
        <w:spacing w:line="240" w:lineRule="auto"/>
        <w:ind w:left="397" w:hanging="397"/>
      </w:pPr>
      <w:r w:rsidRPr="00EB66A6">
        <w:t>s</w:t>
      </w:r>
      <w:r w:rsidR="002A3A45" w:rsidRPr="00EB66A6">
        <w:t>elect an outlet to which you may transfer service item(s)</w:t>
      </w:r>
    </w:p>
    <w:p w14:paraId="575916D3" w14:textId="1834F88A" w:rsidR="007A48AC" w:rsidRPr="007A48AC" w:rsidRDefault="00F17FCD" w:rsidP="00BA6216">
      <w:pPr>
        <w:pStyle w:val="ListBullet"/>
        <w:widowControl w:val="0"/>
        <w:spacing w:line="240" w:lineRule="auto"/>
        <w:ind w:left="397" w:hanging="397"/>
      </w:pPr>
      <w:r w:rsidRPr="00EB66A6">
        <w:t>g</w:t>
      </w:r>
      <w:r w:rsidR="002A3A45" w:rsidRPr="00EB66A6">
        <w:t>enerate and export a report listing service referrals linked to the service item(s)</w:t>
      </w:r>
      <w:r w:rsidR="00F069BA" w:rsidRPr="00EB66A6">
        <w:t>.</w:t>
      </w:r>
    </w:p>
    <w:p w14:paraId="13B34E02" w14:textId="18B96381" w:rsidR="007A48AC" w:rsidRPr="00F6658A" w:rsidRDefault="007A48AC" w:rsidP="00F6658A">
      <w:r w:rsidRPr="00ED1342">
        <w:rPr>
          <w:b/>
          <w:bCs/>
          <w:color w:val="FF0000"/>
          <w:sz w:val="24"/>
        </w:rPr>
        <w:t>!</w:t>
      </w:r>
      <w:r w:rsidRPr="00ED1342">
        <w:rPr>
          <w:b/>
          <w:bCs/>
        </w:rPr>
        <w:t xml:space="preserve"> </w:t>
      </w:r>
      <w:bookmarkStart w:id="7" w:name="_Hlk158656138"/>
      <w:r>
        <w:t xml:space="preserve">Only </w:t>
      </w:r>
      <w:r>
        <w:rPr>
          <w:lang w:val="en-US"/>
        </w:rPr>
        <w:t xml:space="preserve">departmental staff can transfer client records linked to an inactive outlet to an active outlet in the same assessment </w:t>
      </w:r>
      <w:proofErr w:type="spellStart"/>
      <w:r>
        <w:rPr>
          <w:lang w:val="en-US"/>
        </w:rPr>
        <w:t>organisation</w:t>
      </w:r>
      <w:proofErr w:type="spellEnd"/>
      <w:r>
        <w:rPr>
          <w:lang w:val="en-US"/>
        </w:rPr>
        <w:t xml:space="preserve">, or to another assessment </w:t>
      </w:r>
      <w:proofErr w:type="spellStart"/>
      <w:r>
        <w:rPr>
          <w:lang w:val="en-US"/>
        </w:rPr>
        <w:t>organisation</w:t>
      </w:r>
      <w:proofErr w:type="spellEnd"/>
      <w:r>
        <w:rPr>
          <w:lang w:val="en-US"/>
        </w:rPr>
        <w:t>.</w:t>
      </w:r>
      <w:bookmarkEnd w:id="7"/>
    </w:p>
    <w:p w14:paraId="42B748E8" w14:textId="2AC6ABF8" w:rsidR="00B95CB6" w:rsidRDefault="00B95CB6" w:rsidP="00BA6216">
      <w:pPr>
        <w:pStyle w:val="ListNumber"/>
        <w:keepNext w:val="0"/>
        <w:widowControl w:val="0"/>
        <w:spacing w:line="276" w:lineRule="auto"/>
        <w:ind w:left="425" w:hanging="425"/>
      </w:pPr>
      <w:r>
        <w:t xml:space="preserve">Select </w:t>
      </w:r>
      <w:r w:rsidRPr="00BA6216">
        <w:rPr>
          <w:b/>
          <w:bCs/>
        </w:rPr>
        <w:t xml:space="preserve">Outlet </w:t>
      </w:r>
      <w:r w:rsidR="00BA6216" w:rsidRPr="00BA6216">
        <w:rPr>
          <w:b/>
          <w:bCs/>
        </w:rPr>
        <w:t>administration</w:t>
      </w:r>
      <w:r>
        <w:t xml:space="preserve"> from the homepage.</w:t>
      </w:r>
    </w:p>
    <w:p w14:paraId="173B1AD6" w14:textId="6128DB35" w:rsidR="00A11E8C" w:rsidRPr="00F43310" w:rsidRDefault="001C03D1" w:rsidP="00BA6216">
      <w:pPr>
        <w:widowControl w:val="0"/>
        <w:spacing w:before="0" w:after="0" w:line="240" w:lineRule="auto"/>
      </w:pPr>
      <w:r>
        <w:rPr>
          <w:noProof/>
        </w:rPr>
        <w:drawing>
          <wp:inline distT="0" distB="0" distL="0" distR="0" wp14:anchorId="776E682D" wp14:editId="201F0EAC">
            <wp:extent cx="4673046" cy="2883024"/>
            <wp:effectExtent l="19050" t="19050" r="13335" b="12700"/>
            <wp:docPr id="4" name="Picture 4" descr="Service and support portal home page,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rvice and support portal home page, the Outlet Administration Tile is highlighted."/>
                    <pic:cNvPicPr/>
                  </pic:nvPicPr>
                  <pic:blipFill>
                    <a:blip r:embed="rId14"/>
                    <a:stretch>
                      <a:fillRect/>
                    </a:stretch>
                  </pic:blipFill>
                  <pic:spPr>
                    <a:xfrm>
                      <a:off x="0" y="0"/>
                      <a:ext cx="4750735" cy="2930954"/>
                    </a:xfrm>
                    <a:prstGeom prst="rect">
                      <a:avLst/>
                    </a:prstGeom>
                    <a:ln>
                      <a:solidFill>
                        <a:schemeClr val="tx1"/>
                      </a:solidFill>
                    </a:ln>
                  </pic:spPr>
                </pic:pic>
              </a:graphicData>
            </a:graphic>
          </wp:inline>
        </w:drawing>
      </w:r>
    </w:p>
    <w:p w14:paraId="2CD97404" w14:textId="374E890B" w:rsidR="00597988" w:rsidRDefault="00597988" w:rsidP="00A04CBF">
      <w:pPr>
        <w:pStyle w:val="ListNumber"/>
        <w:keepNext w:val="0"/>
        <w:widowControl w:val="0"/>
        <w:spacing w:line="276" w:lineRule="auto"/>
        <w:ind w:left="426" w:hanging="426"/>
      </w:pPr>
      <w:r w:rsidRPr="00597988">
        <w:t>Select the outlet that contains the service items you wish to transfer to a different outlet.</w:t>
      </w:r>
    </w:p>
    <w:p w14:paraId="2F4BC67B" w14:textId="26CF85A2" w:rsidR="00B73419" w:rsidRPr="00F43310" w:rsidRDefault="00B73419" w:rsidP="00ED1342">
      <w:pPr>
        <w:widowControl w:val="0"/>
        <w:spacing w:line="276" w:lineRule="auto"/>
      </w:pPr>
      <w:r>
        <w:rPr>
          <w:noProof/>
          <w:lang w:eastAsia="en-AU"/>
        </w:rPr>
        <w:lastRenderedPageBreak/>
        <w:drawing>
          <wp:inline distT="0" distB="0" distL="0" distR="0" wp14:anchorId="1BED477B" wp14:editId="5D7E982C">
            <wp:extent cx="5709858" cy="2502822"/>
            <wp:effectExtent l="19050" t="19050" r="24765" b="12065"/>
            <wp:docPr id="20" name="Picture 20" descr="Screenshot of a list of outlets. Select the card of a outlet to transfer to a different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a list of outlets. Select the card of a outlet to transfer to a different outl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855" cy="2509834"/>
                    </a:xfrm>
                    <a:prstGeom prst="rect">
                      <a:avLst/>
                    </a:prstGeom>
                    <a:noFill/>
                    <a:ln>
                      <a:solidFill>
                        <a:schemeClr val="tx1"/>
                      </a:solidFill>
                    </a:ln>
                  </pic:spPr>
                </pic:pic>
              </a:graphicData>
            </a:graphic>
          </wp:inline>
        </w:drawing>
      </w:r>
    </w:p>
    <w:p w14:paraId="387AC8E5" w14:textId="31AA0149" w:rsidR="00A11E8C" w:rsidRDefault="00BA6216" w:rsidP="00BA6216">
      <w:pPr>
        <w:pStyle w:val="ListNumber"/>
        <w:keepNext w:val="0"/>
        <w:widowControl w:val="0"/>
        <w:spacing w:line="276" w:lineRule="auto"/>
        <w:ind w:left="425" w:hanging="425"/>
      </w:pPr>
      <w:r>
        <w:t>S</w:t>
      </w:r>
      <w:r w:rsidR="00985829">
        <w:t>elect the</w:t>
      </w:r>
      <w:r w:rsidR="003F4AF0">
        <w:t xml:space="preserve"> </w:t>
      </w:r>
      <w:r w:rsidR="003F4AF0" w:rsidRPr="00BA6216">
        <w:rPr>
          <w:b/>
          <w:bCs/>
        </w:rPr>
        <w:t xml:space="preserve">View service items </w:t>
      </w:r>
      <w:r w:rsidR="003F4AF0">
        <w:t>button</w:t>
      </w:r>
      <w:r>
        <w:t xml:space="preserve"> from the </w:t>
      </w:r>
      <w:r w:rsidRPr="00BA6216">
        <w:rPr>
          <w:b/>
          <w:bCs/>
        </w:rPr>
        <w:t>View outlet</w:t>
      </w:r>
      <w:r>
        <w:t xml:space="preserve"> page.</w:t>
      </w:r>
    </w:p>
    <w:p w14:paraId="442769D7" w14:textId="77777777" w:rsidR="00C24523" w:rsidRDefault="00CD22CF" w:rsidP="00BA6216">
      <w:pPr>
        <w:pStyle w:val="ListNumber"/>
        <w:keepNext w:val="0"/>
        <w:widowControl w:val="0"/>
        <w:numPr>
          <w:ilvl w:val="0"/>
          <w:numId w:val="0"/>
        </w:numPr>
        <w:spacing w:line="276" w:lineRule="auto"/>
      </w:pPr>
      <w:r>
        <w:rPr>
          <w:noProof/>
        </w:rPr>
        <w:drawing>
          <wp:inline distT="0" distB="0" distL="0" distR="0" wp14:anchorId="420F363B" wp14:editId="5B967FCF">
            <wp:extent cx="5755640" cy="3423920"/>
            <wp:effectExtent l="19050" t="19050" r="16510" b="24130"/>
            <wp:docPr id="1794862649" name="Picture 3"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62649" name="Picture 3" descr="Example View Outlet page showing the View Service Items button at the bottom left"/>
                    <pic:cNvPicPr/>
                  </pic:nvPicPr>
                  <pic:blipFill>
                    <a:blip r:embed="rId16"/>
                    <a:stretch>
                      <a:fillRect/>
                    </a:stretch>
                  </pic:blipFill>
                  <pic:spPr>
                    <a:xfrm>
                      <a:off x="0" y="0"/>
                      <a:ext cx="5755640" cy="3423920"/>
                    </a:xfrm>
                    <a:prstGeom prst="rect">
                      <a:avLst/>
                    </a:prstGeom>
                    <a:ln>
                      <a:solidFill>
                        <a:schemeClr val="tx1"/>
                      </a:solidFill>
                    </a:ln>
                  </pic:spPr>
                </pic:pic>
              </a:graphicData>
            </a:graphic>
          </wp:inline>
        </w:drawing>
      </w:r>
    </w:p>
    <w:p w14:paraId="762716A1" w14:textId="3254F58D" w:rsidR="00FC4CF7" w:rsidRDefault="00FC4CF7" w:rsidP="00BA6216">
      <w:pPr>
        <w:pStyle w:val="ListNumber"/>
        <w:keepNext w:val="0"/>
        <w:widowControl w:val="0"/>
        <w:numPr>
          <w:ilvl w:val="0"/>
          <w:numId w:val="0"/>
        </w:numPr>
        <w:spacing w:line="276" w:lineRule="auto"/>
        <w:ind w:left="426"/>
      </w:pPr>
      <w:r>
        <w:t xml:space="preserve">In the </w:t>
      </w:r>
      <w:r w:rsidRPr="00BA6216">
        <w:rPr>
          <w:b/>
          <w:bCs/>
        </w:rPr>
        <w:t>View service items</w:t>
      </w:r>
      <w:r>
        <w:t xml:space="preserve"> page </w:t>
      </w:r>
      <w:r w:rsidR="00C24523">
        <w:t>select</w:t>
      </w:r>
      <w:r>
        <w:t xml:space="preserve"> the </w:t>
      </w:r>
      <w:r w:rsidRPr="00BA6216">
        <w:rPr>
          <w:b/>
          <w:bCs/>
        </w:rPr>
        <w:t>Transfer Service Item</w:t>
      </w:r>
      <w:r>
        <w:t xml:space="preserve"> button.</w:t>
      </w:r>
    </w:p>
    <w:p w14:paraId="2A05AFF7" w14:textId="6103E0BB" w:rsidR="00C24523" w:rsidRPr="00F43310" w:rsidRDefault="00FD4283" w:rsidP="00ED1342">
      <w:pPr>
        <w:widowControl w:val="0"/>
        <w:spacing w:line="276" w:lineRule="auto"/>
      </w:pPr>
      <w:r>
        <w:rPr>
          <w:noProof/>
          <w:lang w:eastAsia="en-AU"/>
        </w:rPr>
        <w:drawing>
          <wp:inline distT="0" distB="0" distL="0" distR="0" wp14:anchorId="0E77EC68" wp14:editId="7B6D8945">
            <wp:extent cx="3299114" cy="467967"/>
            <wp:effectExtent l="19050" t="19050" r="15875" b="27940"/>
            <wp:docPr id="2" name="Picture 2" descr="Three buttons in the View Service Items page. the Transfer Service Item button is highlighted and is between the Add a Service Item button and the Transfer Cli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ree buttons in the View Service Items page. the Transfer Service Item button is highlighted and is between the Add a Service Item button and the Transfer Clients butt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6791" cy="474730"/>
                    </a:xfrm>
                    <a:prstGeom prst="rect">
                      <a:avLst/>
                    </a:prstGeom>
                    <a:noFill/>
                    <a:ln>
                      <a:solidFill>
                        <a:schemeClr val="tx1"/>
                      </a:solidFill>
                    </a:ln>
                  </pic:spPr>
                </pic:pic>
              </a:graphicData>
            </a:graphic>
          </wp:inline>
        </w:drawing>
      </w:r>
    </w:p>
    <w:p w14:paraId="753C8063" w14:textId="356B30CF" w:rsidR="00FD4283" w:rsidRDefault="00FD4283" w:rsidP="00A04CBF">
      <w:pPr>
        <w:pStyle w:val="ListNumber"/>
        <w:keepNext w:val="0"/>
        <w:widowControl w:val="0"/>
        <w:spacing w:line="276" w:lineRule="auto"/>
        <w:ind w:left="426" w:hanging="426"/>
      </w:pPr>
      <w:r w:rsidRPr="00FD4283">
        <w:t>Select the outlet you wish to transfer the service items to</w:t>
      </w:r>
      <w:r w:rsidR="005D061D">
        <w:t>,</w:t>
      </w:r>
      <w:r w:rsidRPr="00FD4283">
        <w:t xml:space="preserve"> using the list </w:t>
      </w:r>
      <w:r w:rsidR="005D061D">
        <w:t>displayed</w:t>
      </w:r>
      <w:r w:rsidRPr="00FD4283">
        <w:t xml:space="preserve">. You can search for a specific outlet using the search function. </w:t>
      </w:r>
      <w:r w:rsidR="005D061D">
        <w:t>Select</w:t>
      </w:r>
      <w:r w:rsidR="005D061D" w:rsidRPr="00FD4283">
        <w:t xml:space="preserve"> </w:t>
      </w:r>
      <w:r w:rsidRPr="00FD4283">
        <w:t>‘Next’ to continue.</w:t>
      </w:r>
    </w:p>
    <w:p w14:paraId="0CE2220D" w14:textId="4609EC50" w:rsidR="0019009B" w:rsidRPr="00F43310" w:rsidRDefault="00171A29" w:rsidP="00ED1342">
      <w:pPr>
        <w:widowControl w:val="0"/>
        <w:spacing w:line="276" w:lineRule="auto"/>
      </w:pPr>
      <w:r>
        <w:rPr>
          <w:noProof/>
          <w:lang w:eastAsia="en-AU"/>
        </w:rPr>
        <w:lastRenderedPageBreak/>
        <w:drawing>
          <wp:inline distT="0" distB="0" distL="0" distR="0" wp14:anchorId="05BB972D" wp14:editId="1A70FE8F">
            <wp:extent cx="5701724" cy="1991546"/>
            <wp:effectExtent l="19050" t="19050" r="13335" b="27940"/>
            <wp:docPr id="5152" name="Picture 5152" descr="the Transfer Service Inventory Items page. A list of outlets is displayed. Select the radio button next to the name of the outlet and select the Nex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 name="Picture 5152" descr="the Transfer Service Inventory Items page. A list of outlets is displayed. Select the radio button next to the name of the outlet and select the Next butt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8431" cy="1997382"/>
                    </a:xfrm>
                    <a:prstGeom prst="rect">
                      <a:avLst/>
                    </a:prstGeom>
                    <a:noFill/>
                    <a:ln>
                      <a:solidFill>
                        <a:schemeClr val="tx1"/>
                      </a:solidFill>
                    </a:ln>
                  </pic:spPr>
                </pic:pic>
              </a:graphicData>
            </a:graphic>
          </wp:inline>
        </w:drawing>
      </w:r>
    </w:p>
    <w:p w14:paraId="0B678F7E" w14:textId="3AA9B7D5" w:rsidR="001D59AD" w:rsidRDefault="001912B2" w:rsidP="00A04CBF">
      <w:pPr>
        <w:pStyle w:val="ListNumber"/>
        <w:keepNext w:val="0"/>
        <w:widowControl w:val="0"/>
        <w:spacing w:line="276" w:lineRule="auto"/>
        <w:ind w:left="425" w:hanging="425"/>
      </w:pPr>
      <w:r w:rsidRPr="001912B2">
        <w:t>Select the service item(s) that you want to transfer to another outlet. You can search for specific service items using the search functionality (by Program or Service type).</w:t>
      </w:r>
    </w:p>
    <w:p w14:paraId="7CDC6C57" w14:textId="06A66895" w:rsidR="0009473B" w:rsidRPr="00F43310" w:rsidRDefault="0009473B" w:rsidP="00612D90">
      <w:pPr>
        <w:widowControl w:val="0"/>
        <w:spacing w:line="276" w:lineRule="auto"/>
        <w:ind w:left="425" w:firstLine="1"/>
      </w:pPr>
      <w:r w:rsidRPr="00F43310">
        <w:t>Each service item contains the service type, NAPS service ID, service item name, funding state and funding region.</w:t>
      </w:r>
      <w:r w:rsidR="00612D90">
        <w:t xml:space="preserve"> </w:t>
      </w:r>
      <w:r w:rsidRPr="00F43310">
        <w:t>You can transfer up to a maximum of 25 service items.</w:t>
      </w:r>
    </w:p>
    <w:p w14:paraId="4E8328B7" w14:textId="63B1475D" w:rsidR="0009473B" w:rsidRPr="00F43310" w:rsidRDefault="00FC2FC2" w:rsidP="00A04CBF">
      <w:pPr>
        <w:widowControl w:val="0"/>
        <w:spacing w:line="276" w:lineRule="auto"/>
        <w:ind w:left="425" w:firstLine="1"/>
      </w:pPr>
      <w:r>
        <w:t xml:space="preserve">Select </w:t>
      </w:r>
      <w:r w:rsidR="00A85C1E" w:rsidRPr="00434567">
        <w:rPr>
          <w:b/>
          <w:bCs/>
        </w:rPr>
        <w:t>Next</w:t>
      </w:r>
      <w:r w:rsidR="00A85C1E" w:rsidRPr="00F43310">
        <w:t xml:space="preserve"> to proceed to the next screen. If you </w:t>
      </w:r>
      <w:r>
        <w:t>select</w:t>
      </w:r>
      <w:r w:rsidR="00A85C1E" w:rsidRPr="00F43310">
        <w:t xml:space="preserve"> </w:t>
      </w:r>
      <w:r w:rsidR="00A85C1E" w:rsidRPr="00434567">
        <w:rPr>
          <w:b/>
          <w:bCs/>
        </w:rPr>
        <w:t>Cancel</w:t>
      </w:r>
      <w:r w:rsidR="00A85C1E" w:rsidRPr="00434567">
        <w:t>,</w:t>
      </w:r>
      <w:r w:rsidR="00A85C1E" w:rsidRPr="00F43310">
        <w:t xml:space="preserve"> you will exit the Transfer process and be re-directed to the </w:t>
      </w:r>
      <w:r w:rsidR="00A85C1E" w:rsidRPr="00434567">
        <w:rPr>
          <w:b/>
          <w:bCs/>
        </w:rPr>
        <w:t xml:space="preserve">View Outlet </w:t>
      </w:r>
      <w:r w:rsidR="00A85C1E" w:rsidRPr="00F43310">
        <w:t>screen.</w:t>
      </w:r>
    </w:p>
    <w:p w14:paraId="6FF92FD0" w14:textId="32CEA12A" w:rsidR="0009473B" w:rsidRDefault="00FB2D1F" w:rsidP="00A04CBF">
      <w:pPr>
        <w:pStyle w:val="ListNumber"/>
        <w:keepNext w:val="0"/>
        <w:widowControl w:val="0"/>
        <w:spacing w:line="276" w:lineRule="auto"/>
        <w:ind w:left="426" w:hanging="426"/>
      </w:pPr>
      <w:r>
        <w:t>Review the information to ensure that it is correct. You may wish to change the Service Item name.</w:t>
      </w:r>
    </w:p>
    <w:p w14:paraId="5D23A03A" w14:textId="5D28DA9C" w:rsidR="00FB2D1F" w:rsidRDefault="006440C5" w:rsidP="00FC2FC2">
      <w:pPr>
        <w:pStyle w:val="ListNumber"/>
        <w:keepNext w:val="0"/>
        <w:widowControl w:val="0"/>
        <w:spacing w:line="276" w:lineRule="auto"/>
        <w:ind w:left="426" w:hanging="426"/>
      </w:pPr>
      <w:r>
        <w:t xml:space="preserve">To remove a service item, </w:t>
      </w:r>
      <w:r w:rsidR="006D150C">
        <w:t xml:space="preserve">select </w:t>
      </w:r>
      <w:r>
        <w:t xml:space="preserve">the red </w:t>
      </w:r>
      <w:r w:rsidRPr="00434567">
        <w:rPr>
          <w:b/>
          <w:bCs/>
        </w:rPr>
        <w:t>bin</w:t>
      </w:r>
      <w:r>
        <w:t xml:space="preserve"> icon. To cancel the transfer, </w:t>
      </w:r>
      <w:r w:rsidR="00FC2FC2">
        <w:t xml:space="preserve">select </w:t>
      </w:r>
      <w:r w:rsidRPr="00434567">
        <w:rPr>
          <w:b/>
          <w:bCs/>
        </w:rPr>
        <w:t>Cance</w:t>
      </w:r>
      <w:r w:rsidR="00434567" w:rsidRPr="00434567">
        <w:rPr>
          <w:b/>
          <w:bCs/>
        </w:rPr>
        <w:t>l</w:t>
      </w:r>
      <w:r w:rsidR="00434567">
        <w:t>.</w:t>
      </w:r>
    </w:p>
    <w:p w14:paraId="6E807526" w14:textId="6163D763" w:rsidR="00411ADF" w:rsidRPr="00F43310" w:rsidRDefault="00411ADF" w:rsidP="00ED1342">
      <w:pPr>
        <w:widowControl w:val="0"/>
        <w:spacing w:line="276" w:lineRule="auto"/>
      </w:pPr>
      <w:r>
        <w:rPr>
          <w:noProof/>
        </w:rPr>
        <w:drawing>
          <wp:inline distT="0" distB="0" distL="0" distR="0" wp14:anchorId="7FC7D240" wp14:editId="3F306173">
            <wp:extent cx="5801300" cy="1709054"/>
            <wp:effectExtent l="0" t="0" r="0" b="5715"/>
            <wp:docPr id="962079352" name="Picture 2" descr="the Transfer Service Inventory Items page. A list of service items is shown with the Remove (bin) icon on its right, and hte Cencel button at the bottom right of the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79352" name="Picture 2" descr="the Transfer Service Inventory Items page. A list of service items is shown with the Remove (bin) icon on its right, and hte Cencel button at the bottom right of the page.&#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5411" cy="1713211"/>
                    </a:xfrm>
                    <a:prstGeom prst="rect">
                      <a:avLst/>
                    </a:prstGeom>
                    <a:noFill/>
                    <a:ln>
                      <a:noFill/>
                    </a:ln>
                  </pic:spPr>
                </pic:pic>
              </a:graphicData>
            </a:graphic>
          </wp:inline>
        </w:drawing>
      </w:r>
    </w:p>
    <w:p w14:paraId="39EF0368" w14:textId="77777777" w:rsidR="00F237E9" w:rsidRDefault="00F237E9" w:rsidP="00D21DD5">
      <w:pPr>
        <w:pStyle w:val="ListNumber"/>
        <w:keepNext w:val="0"/>
        <w:widowControl w:val="0"/>
        <w:spacing w:line="276" w:lineRule="auto"/>
        <w:ind w:left="426" w:hanging="426"/>
      </w:pPr>
      <w:r>
        <w:t xml:space="preserve">To review any clients that may be impacted by the transfer, you can generate an ‘Impact report’ before proceeding with the transfer. </w:t>
      </w:r>
    </w:p>
    <w:p w14:paraId="44C356DA" w14:textId="19184DC1" w:rsidR="00F237E9" w:rsidRPr="00EB66A6" w:rsidRDefault="00F237E9" w:rsidP="00D21DD5">
      <w:pPr>
        <w:widowControl w:val="0"/>
        <w:spacing w:line="276" w:lineRule="auto"/>
        <w:ind w:left="426"/>
      </w:pPr>
      <w:r w:rsidRPr="00EB66A6">
        <w:t xml:space="preserve">To generate the impact report, select the </w:t>
      </w:r>
      <w:r w:rsidRPr="00097F83">
        <w:rPr>
          <w:b/>
          <w:bCs/>
        </w:rPr>
        <w:t>Save Transfer and Generate Impact Repor</w:t>
      </w:r>
      <w:r w:rsidR="00097F83" w:rsidRPr="00097F83">
        <w:rPr>
          <w:b/>
          <w:bCs/>
        </w:rPr>
        <w:t>t</w:t>
      </w:r>
      <w:r w:rsidRPr="00EB66A6">
        <w:t xml:space="preserve"> button.</w:t>
      </w:r>
    </w:p>
    <w:p w14:paraId="19F5DCE0" w14:textId="3E7C0E05" w:rsidR="00F237E9" w:rsidRPr="00EB66A6" w:rsidRDefault="004F7B29" w:rsidP="00D21DD5">
      <w:pPr>
        <w:widowControl w:val="0"/>
        <w:spacing w:line="276" w:lineRule="auto"/>
        <w:ind w:left="426"/>
      </w:pPr>
      <w:r w:rsidRPr="00EB66A6">
        <w:t xml:space="preserve">Once the report has generated, it will appear in the </w:t>
      </w:r>
      <w:r w:rsidRPr="00097F83">
        <w:rPr>
          <w:b/>
          <w:bCs/>
        </w:rPr>
        <w:t>Reports and documents</w:t>
      </w:r>
      <w:r w:rsidRPr="00EB66A6">
        <w:t xml:space="preserve"> tab for five days. You can review the report and resume the transfer at a later stage.</w:t>
      </w:r>
    </w:p>
    <w:p w14:paraId="26B6563F" w14:textId="4105D530" w:rsidR="00BB3440" w:rsidRPr="00F43310" w:rsidRDefault="00BB3440" w:rsidP="00ED1342">
      <w:pPr>
        <w:widowControl w:val="0"/>
        <w:spacing w:line="276" w:lineRule="auto"/>
      </w:pPr>
      <w:r>
        <w:rPr>
          <w:noProof/>
        </w:rPr>
        <w:drawing>
          <wp:inline distT="0" distB="0" distL="0" distR="0" wp14:anchorId="51A175CC" wp14:editId="2AE1B603">
            <wp:extent cx="5748655" cy="1633855"/>
            <wp:effectExtent l="0" t="0" r="4445" b="4445"/>
            <wp:docPr id="472086343" name="Picture 1" descr="the Transfer Service Inventory Items page. the Save Transfer and Generate Impact Report button is at the bottom left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6343" name="Picture 1" descr="the Transfer Service Inventory Items page. the Save Transfer and Generate Impact Report button is at the bottom left of the pag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655" cy="1633855"/>
                    </a:xfrm>
                    <a:prstGeom prst="rect">
                      <a:avLst/>
                    </a:prstGeom>
                    <a:noFill/>
                    <a:ln>
                      <a:noFill/>
                    </a:ln>
                  </pic:spPr>
                </pic:pic>
              </a:graphicData>
            </a:graphic>
          </wp:inline>
        </w:drawing>
      </w:r>
    </w:p>
    <w:p w14:paraId="187755DC" w14:textId="2955FCE1" w:rsidR="00F237E9" w:rsidRPr="00EB66A6" w:rsidRDefault="00B320DA" w:rsidP="00530068">
      <w:pPr>
        <w:widowControl w:val="0"/>
        <w:spacing w:line="276" w:lineRule="auto"/>
        <w:ind w:left="426"/>
      </w:pPr>
      <w:r w:rsidRPr="00EB66A6">
        <w:lastRenderedPageBreak/>
        <w:t>The following banner will display:</w:t>
      </w:r>
    </w:p>
    <w:p w14:paraId="556AE7BC" w14:textId="4733B84E" w:rsidR="00B320DA" w:rsidRPr="00F43310" w:rsidRDefault="00B06853" w:rsidP="00ED1342">
      <w:pPr>
        <w:widowControl w:val="0"/>
        <w:spacing w:line="276" w:lineRule="auto"/>
      </w:pPr>
      <w:r w:rsidRPr="00EB66A6">
        <w:rPr>
          <w:noProof/>
        </w:rPr>
        <w:drawing>
          <wp:inline distT="0" distB="0" distL="0" distR="0" wp14:anchorId="26327210" wp14:editId="72058363">
            <wp:extent cx="5713868" cy="373566"/>
            <wp:effectExtent l="19050" t="19050" r="20320" b="26670"/>
            <wp:docPr id="2075" name="Picture 2075" descr="Please wait for the transfer impact report to complete before transferring services. Depending in the number of services being transferred, this may take some time. You may navigate awayy from this page and continue to transfer service once the impact report has 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138" b="17647"/>
                    <a:stretch/>
                  </pic:blipFill>
                  <pic:spPr bwMode="auto">
                    <a:xfrm>
                      <a:off x="0" y="0"/>
                      <a:ext cx="5753197" cy="3761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5FA502" w14:textId="77777777" w:rsidR="00FA283A" w:rsidRPr="00EB66A6" w:rsidRDefault="00BB3DCB" w:rsidP="00530068">
      <w:pPr>
        <w:widowControl w:val="0"/>
        <w:spacing w:line="276" w:lineRule="auto"/>
        <w:ind w:left="426"/>
      </w:pPr>
      <w:r w:rsidRPr="00EB66A6">
        <w:t xml:space="preserve">The ‘Transfer Impact Report’ may, on occasion, take some time to generate. If this happens, an alert message will prompt on screen. </w:t>
      </w:r>
    </w:p>
    <w:p w14:paraId="7160C1EE" w14:textId="11841F8C" w:rsidR="00FA283A" w:rsidRPr="00EB66A6" w:rsidRDefault="00BB3DCB" w:rsidP="00530068">
      <w:pPr>
        <w:widowControl w:val="0"/>
        <w:spacing w:line="276" w:lineRule="auto"/>
        <w:ind w:left="426"/>
      </w:pPr>
      <w:r w:rsidRPr="00EB66A6">
        <w:t xml:space="preserve">You can navigate away from the </w:t>
      </w:r>
      <w:r w:rsidRPr="008A51E4">
        <w:rPr>
          <w:b/>
          <w:bCs/>
        </w:rPr>
        <w:t>Transfer Service Inventory Items</w:t>
      </w:r>
      <w:r w:rsidRPr="00EB66A6">
        <w:t xml:space="preserve"> </w:t>
      </w:r>
      <w:r w:rsidR="00EB66A6" w:rsidRPr="00EB66A6">
        <w:t>screen and</w:t>
      </w:r>
      <w:r w:rsidRPr="00EB66A6">
        <w:t xml:space="preserve"> be notified when the ‘Transfer Impact Report’ completes. </w:t>
      </w:r>
    </w:p>
    <w:p w14:paraId="52B21944" w14:textId="3549F5A0" w:rsidR="00BB3DCB" w:rsidRPr="00EB66A6" w:rsidRDefault="00BB3DCB" w:rsidP="00530068">
      <w:pPr>
        <w:widowControl w:val="0"/>
        <w:spacing w:line="276" w:lineRule="auto"/>
        <w:ind w:left="426"/>
      </w:pPr>
      <w:r w:rsidRPr="00EB66A6">
        <w:t>Alternatively, you may choose to transfer service inventory items without reviewing the report at any time.</w:t>
      </w:r>
    </w:p>
    <w:p w14:paraId="54DBDDA0" w14:textId="11BD62E7" w:rsidR="00FA283A" w:rsidRPr="00F43310" w:rsidRDefault="00FA283A" w:rsidP="00ED1342">
      <w:pPr>
        <w:widowControl w:val="0"/>
        <w:spacing w:line="276" w:lineRule="auto"/>
      </w:pPr>
      <w:r w:rsidRPr="00D826FF">
        <w:rPr>
          <w:noProof/>
        </w:rPr>
        <w:drawing>
          <wp:inline distT="0" distB="0" distL="0" distR="0" wp14:anchorId="43ADF50D" wp14:editId="1B2CA2DF">
            <wp:extent cx="5686126" cy="361740"/>
            <wp:effectExtent l="19050" t="19050" r="10160" b="19685"/>
            <wp:docPr id="5235" name="Picture 5235" descr="Information banner - 'The transfer impact report is taking longer than expected. If you need to review report before transferring, you can navigate away and be informed when report completes. Alternatively, you can start transfer services at an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 name="Picture 5235" descr="Information banner - 'The transfer impact report is taking longer than expected. If you need to review report before transferring, you can navigate away and be informed when report completes. Alternatively, you can start transfer services at any time.'"/>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721850" cy="3640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BD1875" w14:textId="61EBEBDF" w:rsidR="009D7A4C" w:rsidRDefault="009D7A4C" w:rsidP="00530068">
      <w:pPr>
        <w:pStyle w:val="ListNumber"/>
        <w:keepNext w:val="0"/>
        <w:widowControl w:val="0"/>
        <w:spacing w:line="276" w:lineRule="auto"/>
        <w:ind w:left="426" w:hanging="426"/>
      </w:pPr>
      <w:r w:rsidRPr="00E63BB3">
        <w:t xml:space="preserve">If you have reviewed the impact of the transfer and want to proceed, select </w:t>
      </w:r>
      <w:r w:rsidRPr="008A51E4">
        <w:rPr>
          <w:b/>
          <w:bCs/>
        </w:rPr>
        <w:t>Transfer Services</w:t>
      </w:r>
      <w:r w:rsidRPr="00E63BB3">
        <w:t>.</w:t>
      </w:r>
    </w:p>
    <w:p w14:paraId="210AB0E2" w14:textId="232FCE7C" w:rsidR="00A87D8B" w:rsidRPr="00F43310" w:rsidRDefault="00A87D8B" w:rsidP="00ED1342">
      <w:pPr>
        <w:widowControl w:val="0"/>
        <w:spacing w:line="276" w:lineRule="auto"/>
      </w:pPr>
      <w:r>
        <w:rPr>
          <w:noProof/>
        </w:rPr>
        <w:drawing>
          <wp:inline distT="0" distB="0" distL="0" distR="0" wp14:anchorId="03621A57" wp14:editId="1C3E4012">
            <wp:extent cx="5748655" cy="1693545"/>
            <wp:effectExtent l="0" t="0" r="4445" b="1905"/>
            <wp:docPr id="202246304" name="Picture 3" descr="Transfer service inventory items page. Showing 1) transfer from outlet name to outlet name 2) how many services to transfer 3) service name 4) 3 buttons at the bottom 'Save transfer and generate impact report', 'transfer service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6304" name="Picture 3" descr="Transfer service inventory items page. Showing 1) transfer from outlet name to outlet name 2) how many services to transfer 3) service name 4) 3 buttons at the bottom 'Save transfer and generate impact report', 'transfer services' and 'canc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8655" cy="1693545"/>
                    </a:xfrm>
                    <a:prstGeom prst="rect">
                      <a:avLst/>
                    </a:prstGeom>
                    <a:noFill/>
                    <a:ln>
                      <a:noFill/>
                    </a:ln>
                  </pic:spPr>
                </pic:pic>
              </a:graphicData>
            </a:graphic>
          </wp:inline>
        </w:drawing>
      </w:r>
    </w:p>
    <w:p w14:paraId="25384459" w14:textId="1B088062" w:rsidR="00AD4317" w:rsidRDefault="00AD4317" w:rsidP="00530068">
      <w:pPr>
        <w:pStyle w:val="ListNumber"/>
        <w:keepNext w:val="0"/>
        <w:widowControl w:val="0"/>
        <w:spacing w:line="276" w:lineRule="auto"/>
        <w:ind w:left="426" w:hanging="426"/>
      </w:pPr>
      <w:r>
        <w:t xml:space="preserve">To make any changes, </w:t>
      </w:r>
      <w:r w:rsidR="00FC2FC2">
        <w:t xml:space="preserve">select </w:t>
      </w:r>
      <w:r w:rsidRPr="008A51E4">
        <w:rPr>
          <w:b/>
          <w:bCs/>
        </w:rPr>
        <w:t>Cancel</w:t>
      </w:r>
      <w:r>
        <w:t xml:space="preserve">. To finalise the transfer, </w:t>
      </w:r>
      <w:r w:rsidR="00FC2FC2">
        <w:t xml:space="preserve">select </w:t>
      </w:r>
      <w:r w:rsidRPr="008A51E4">
        <w:rPr>
          <w:b/>
          <w:bCs/>
        </w:rPr>
        <w:t>Confirm Transfer</w:t>
      </w:r>
      <w:r w:rsidR="008A51E4">
        <w:t>.</w:t>
      </w:r>
    </w:p>
    <w:p w14:paraId="168C5083" w14:textId="6D0E054F" w:rsidR="006440C5" w:rsidRPr="00F43310" w:rsidRDefault="00B34BD0" w:rsidP="00ED1342">
      <w:pPr>
        <w:widowControl w:val="0"/>
        <w:spacing w:line="276" w:lineRule="auto"/>
      </w:pPr>
      <w:r>
        <w:rPr>
          <w:noProof/>
          <w:lang w:eastAsia="en-AU"/>
        </w:rPr>
        <w:drawing>
          <wp:inline distT="0" distB="0" distL="0" distR="0" wp14:anchorId="4DEE89EE" wp14:editId="0B1590BD">
            <wp:extent cx="5732944" cy="2728540"/>
            <wp:effectExtent l="19050" t="19050" r="20320" b="15240"/>
            <wp:docPr id="2079" name="Picture 2079" descr="'Transfer service items' pop up confirming how many service items are selected to be transferred. the Confirm Transfer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2079" descr="'Transfer service items' pop up confirming how many service items are selected to be transferred. the Confirm Transfer button is at the bottom right."/>
                    <pic:cNvPicPr/>
                  </pic:nvPicPr>
                  <pic:blipFill>
                    <a:blip r:embed="rId24"/>
                    <a:stretch>
                      <a:fillRect/>
                    </a:stretch>
                  </pic:blipFill>
                  <pic:spPr>
                    <a:xfrm>
                      <a:off x="0" y="0"/>
                      <a:ext cx="5761657" cy="2742206"/>
                    </a:xfrm>
                    <a:prstGeom prst="rect">
                      <a:avLst/>
                    </a:prstGeom>
                    <a:ln w="9525">
                      <a:solidFill>
                        <a:schemeClr val="tx1"/>
                      </a:solidFill>
                    </a:ln>
                  </pic:spPr>
                </pic:pic>
              </a:graphicData>
            </a:graphic>
          </wp:inline>
        </w:drawing>
      </w:r>
    </w:p>
    <w:p w14:paraId="39252CA6" w14:textId="77777777" w:rsidR="00E46ADC" w:rsidRDefault="00E46ADC" w:rsidP="00530068">
      <w:pPr>
        <w:widowControl w:val="0"/>
        <w:spacing w:line="276" w:lineRule="auto"/>
        <w:ind w:left="426"/>
      </w:pPr>
      <w:r>
        <w:t>The transfer may take some time to complete. Review the status of the transfer by reviewing the service transfer log.</w:t>
      </w:r>
    </w:p>
    <w:p w14:paraId="622EB5D8" w14:textId="77777777" w:rsidR="00E46ADC" w:rsidRPr="00F43310" w:rsidRDefault="00E46ADC" w:rsidP="00ED1342">
      <w:pPr>
        <w:widowControl w:val="0"/>
        <w:spacing w:line="276" w:lineRule="auto"/>
      </w:pPr>
      <w:r w:rsidRPr="007041CF">
        <w:rPr>
          <w:noProof/>
        </w:rPr>
        <w:drawing>
          <wp:inline distT="0" distB="0" distL="0" distR="0" wp14:anchorId="0EB17184" wp14:editId="1D052440">
            <wp:extent cx="5650736" cy="438980"/>
            <wp:effectExtent l="19050" t="19050" r="7620" b="18415"/>
            <wp:docPr id="34" name="Picture 34" descr="Information banner - 'The transfer of service from [Outlet name] to [Client name] has started. Please check transfer logs for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nformation banner - 'The transfer of service from [Outlet name] to [Client name] has started. Please check transfer logs for progress.'"/>
                    <pic:cNvPicPr/>
                  </pic:nvPicPr>
                  <pic:blipFill>
                    <a:blip r:embed="rId25"/>
                    <a:stretch>
                      <a:fillRect/>
                    </a:stretch>
                  </pic:blipFill>
                  <pic:spPr>
                    <a:xfrm>
                      <a:off x="0" y="0"/>
                      <a:ext cx="5722648" cy="444566"/>
                    </a:xfrm>
                    <a:prstGeom prst="rect">
                      <a:avLst/>
                    </a:prstGeom>
                    <a:ln w="9525">
                      <a:solidFill>
                        <a:schemeClr val="tx1"/>
                      </a:solidFill>
                    </a:ln>
                  </pic:spPr>
                </pic:pic>
              </a:graphicData>
            </a:graphic>
          </wp:inline>
        </w:drawing>
      </w:r>
    </w:p>
    <w:p w14:paraId="3502FBA2" w14:textId="77777777" w:rsidR="00E46ADC" w:rsidRDefault="00E46ADC" w:rsidP="00530068">
      <w:pPr>
        <w:widowControl w:val="0"/>
        <w:spacing w:line="276" w:lineRule="auto"/>
        <w:ind w:left="426"/>
      </w:pPr>
      <w:r>
        <w:lastRenderedPageBreak/>
        <w:t>When the transfer action has started, the impacted records in the transfer process will be locked – the transfer process will run in the background.</w:t>
      </w:r>
    </w:p>
    <w:p w14:paraId="7E86E7AE" w14:textId="2C653A2B" w:rsidR="00F8739B" w:rsidRDefault="00E46ADC" w:rsidP="00530068">
      <w:pPr>
        <w:widowControl w:val="0"/>
        <w:spacing w:line="276" w:lineRule="auto"/>
        <w:ind w:left="426"/>
      </w:pPr>
      <w:r>
        <w:t>Users will be able to view the records but cannot change the details until the transfer process has successfully completed.</w:t>
      </w:r>
    </w:p>
    <w:p w14:paraId="39B64896" w14:textId="374217C8" w:rsidR="007B5731" w:rsidRPr="00F8739B" w:rsidRDefault="00E6226B" w:rsidP="00530068">
      <w:pPr>
        <w:pStyle w:val="Heading2"/>
        <w:keepNext w:val="0"/>
        <w:keepLines w:val="0"/>
        <w:widowControl w:val="0"/>
        <w:spacing w:before="480" w:line="276" w:lineRule="auto"/>
        <w:rPr>
          <w:sz w:val="28"/>
          <w:szCs w:val="28"/>
        </w:rPr>
      </w:pPr>
      <w:bookmarkStart w:id="8" w:name="_Toc211857059"/>
      <w:r w:rsidRPr="00F8739B">
        <w:rPr>
          <w:sz w:val="28"/>
          <w:szCs w:val="28"/>
        </w:rPr>
        <w:t>Viewing</w:t>
      </w:r>
      <w:r w:rsidR="007B5731" w:rsidRPr="00F8739B">
        <w:rPr>
          <w:sz w:val="28"/>
          <w:szCs w:val="28"/>
        </w:rPr>
        <w:t xml:space="preserve"> the service transfer log</w:t>
      </w:r>
      <w:bookmarkEnd w:id="8"/>
    </w:p>
    <w:p w14:paraId="6DF5FE32" w14:textId="77777777" w:rsidR="006A3BFD" w:rsidRDefault="006A3BFD" w:rsidP="00ED1342">
      <w:pPr>
        <w:widowControl w:val="0"/>
        <w:spacing w:line="276" w:lineRule="auto"/>
      </w:pPr>
      <w:r>
        <w:t>To review the status or details of previous and current service transfers, review the Transfer Log.</w:t>
      </w:r>
    </w:p>
    <w:p w14:paraId="6C4C815B" w14:textId="200CC387" w:rsidR="009A32D6" w:rsidRDefault="009A32D6" w:rsidP="00530068">
      <w:pPr>
        <w:pStyle w:val="ListNumber"/>
        <w:keepNext w:val="0"/>
        <w:widowControl w:val="0"/>
        <w:numPr>
          <w:ilvl w:val="0"/>
          <w:numId w:val="5"/>
        </w:numPr>
        <w:spacing w:line="276" w:lineRule="auto"/>
        <w:ind w:left="426" w:hanging="426"/>
      </w:pPr>
      <w:r>
        <w:t xml:space="preserve">Select </w:t>
      </w:r>
      <w:r w:rsidRPr="00612D90">
        <w:rPr>
          <w:b/>
          <w:bCs/>
        </w:rPr>
        <w:t xml:space="preserve">Outlet administration </w:t>
      </w:r>
      <w:r>
        <w:t>from the homepage.</w:t>
      </w:r>
    </w:p>
    <w:p w14:paraId="2813D53B" w14:textId="5F390B88" w:rsidR="009A32D6" w:rsidRPr="00F43310" w:rsidRDefault="001C03D1" w:rsidP="00ED1342">
      <w:pPr>
        <w:widowControl w:val="0"/>
        <w:spacing w:line="276" w:lineRule="auto"/>
      </w:pPr>
      <w:r>
        <w:rPr>
          <w:noProof/>
        </w:rPr>
        <w:drawing>
          <wp:inline distT="0" distB="0" distL="0" distR="0" wp14:anchorId="2A7C3886" wp14:editId="469FEB04">
            <wp:extent cx="5679698" cy="3504064"/>
            <wp:effectExtent l="19050" t="19050" r="16510" b="20320"/>
            <wp:docPr id="5" name="Picture 5" descr="Service and support portal home page.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rvice and support portal home page. the Outlet Administration tile is highlighted."/>
                    <pic:cNvPicPr/>
                  </pic:nvPicPr>
                  <pic:blipFill>
                    <a:blip r:embed="rId14"/>
                    <a:stretch>
                      <a:fillRect/>
                    </a:stretch>
                  </pic:blipFill>
                  <pic:spPr>
                    <a:xfrm>
                      <a:off x="0" y="0"/>
                      <a:ext cx="5744410" cy="3543988"/>
                    </a:xfrm>
                    <a:prstGeom prst="rect">
                      <a:avLst/>
                    </a:prstGeom>
                    <a:ln>
                      <a:solidFill>
                        <a:schemeClr val="tx1"/>
                      </a:solidFill>
                    </a:ln>
                  </pic:spPr>
                </pic:pic>
              </a:graphicData>
            </a:graphic>
          </wp:inline>
        </w:drawing>
      </w:r>
    </w:p>
    <w:p w14:paraId="69F8BBD4" w14:textId="77777777" w:rsidR="003115AC" w:rsidRDefault="003115AC" w:rsidP="00EE72A9">
      <w:pPr>
        <w:pStyle w:val="ListNumber"/>
        <w:keepNext w:val="0"/>
        <w:widowControl w:val="0"/>
        <w:numPr>
          <w:ilvl w:val="0"/>
          <w:numId w:val="5"/>
        </w:numPr>
        <w:spacing w:line="276" w:lineRule="auto"/>
        <w:ind w:left="426" w:hanging="426"/>
      </w:pPr>
      <w:r>
        <w:t>Select an outlet to access the transfer log.</w:t>
      </w:r>
    </w:p>
    <w:p w14:paraId="77E2BD30" w14:textId="46E36622" w:rsidR="003115AC" w:rsidRPr="00F43310" w:rsidRDefault="00296507" w:rsidP="00ED1342">
      <w:pPr>
        <w:widowControl w:val="0"/>
        <w:spacing w:line="276" w:lineRule="auto"/>
      </w:pPr>
      <w:r>
        <w:rPr>
          <w:noProof/>
          <w:lang w:eastAsia="en-AU"/>
        </w:rPr>
        <w:drawing>
          <wp:inline distT="0" distB="0" distL="0" distR="0" wp14:anchorId="1CD2104D" wp14:editId="247AF60E">
            <wp:extent cx="5719204" cy="1994636"/>
            <wp:effectExtent l="19050" t="19050" r="15240" b="24765"/>
            <wp:docPr id="10" name="Picture 10" descr="List of outlets. Select the outlet's card to access the transfer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st of outlets. Select the outlet's card to access the transfer lo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7785" cy="2004604"/>
                    </a:xfrm>
                    <a:prstGeom prst="rect">
                      <a:avLst/>
                    </a:prstGeom>
                    <a:noFill/>
                    <a:ln>
                      <a:solidFill>
                        <a:schemeClr val="tx1"/>
                      </a:solidFill>
                    </a:ln>
                  </pic:spPr>
                </pic:pic>
              </a:graphicData>
            </a:graphic>
          </wp:inline>
        </w:drawing>
      </w:r>
    </w:p>
    <w:p w14:paraId="23FF3DC1" w14:textId="35CCEC78" w:rsidR="00E834BD" w:rsidRDefault="00612D90" w:rsidP="00EE72A9">
      <w:pPr>
        <w:pStyle w:val="ListNumber"/>
        <w:keepNext w:val="0"/>
        <w:widowControl w:val="0"/>
        <w:numPr>
          <w:ilvl w:val="0"/>
          <w:numId w:val="5"/>
        </w:numPr>
        <w:spacing w:line="276" w:lineRule="auto"/>
        <w:ind w:left="426" w:hanging="426"/>
      </w:pPr>
      <w:r>
        <w:t>S</w:t>
      </w:r>
      <w:r w:rsidR="00FC2FC2">
        <w:t xml:space="preserve">elect </w:t>
      </w:r>
      <w:r w:rsidR="00E834BD" w:rsidRPr="00922AEC">
        <w:t xml:space="preserve">the </w:t>
      </w:r>
      <w:r w:rsidR="00E834BD" w:rsidRPr="00612D90">
        <w:rPr>
          <w:b/>
          <w:bCs/>
        </w:rPr>
        <w:t>View service items</w:t>
      </w:r>
      <w:r w:rsidR="00E834BD" w:rsidRPr="00922AEC">
        <w:t xml:space="preserve"> button</w:t>
      </w:r>
      <w:r>
        <w:t xml:space="preserve"> f</w:t>
      </w:r>
      <w:r w:rsidRPr="00922AEC">
        <w:t xml:space="preserve">rom the </w:t>
      </w:r>
      <w:r w:rsidRPr="00612D90">
        <w:rPr>
          <w:b/>
          <w:bCs/>
        </w:rPr>
        <w:t>View outlet</w:t>
      </w:r>
      <w:r w:rsidRPr="00922AEC">
        <w:t xml:space="preserve"> page</w:t>
      </w:r>
      <w:r>
        <w:t>.</w:t>
      </w:r>
    </w:p>
    <w:p w14:paraId="671F4D52" w14:textId="613EA5BE" w:rsidR="002A4FAB" w:rsidRPr="00F43310" w:rsidRDefault="001C1C93" w:rsidP="00ED1342">
      <w:pPr>
        <w:widowControl w:val="0"/>
        <w:spacing w:line="276" w:lineRule="auto"/>
      </w:pPr>
      <w:r>
        <w:rPr>
          <w:noProof/>
        </w:rPr>
        <w:lastRenderedPageBreak/>
        <w:drawing>
          <wp:inline distT="0" distB="0" distL="0" distR="0" wp14:anchorId="3B69553F" wp14:editId="13DEE884">
            <wp:extent cx="5527374" cy="3288128"/>
            <wp:effectExtent l="19050" t="19050" r="16510" b="26670"/>
            <wp:docPr id="1905586705" name="Picture 4"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86705" name="Picture 4" descr="Example View Outlet page showing the View Service Items button at the bottom left"/>
                    <pic:cNvPicPr/>
                  </pic:nvPicPr>
                  <pic:blipFill>
                    <a:blip r:embed="rId16"/>
                    <a:stretch>
                      <a:fillRect/>
                    </a:stretch>
                  </pic:blipFill>
                  <pic:spPr>
                    <a:xfrm>
                      <a:off x="0" y="0"/>
                      <a:ext cx="5534356" cy="3292282"/>
                    </a:xfrm>
                    <a:prstGeom prst="rect">
                      <a:avLst/>
                    </a:prstGeom>
                    <a:ln>
                      <a:solidFill>
                        <a:schemeClr val="tx1"/>
                      </a:solidFill>
                    </a:ln>
                  </pic:spPr>
                </pic:pic>
              </a:graphicData>
            </a:graphic>
          </wp:inline>
        </w:drawing>
      </w:r>
    </w:p>
    <w:p w14:paraId="00103E1B" w14:textId="249D262C" w:rsidR="00AC66F5" w:rsidRDefault="00AC66F5" w:rsidP="00EE72A9">
      <w:pPr>
        <w:pStyle w:val="ListNumber"/>
        <w:keepNext w:val="0"/>
        <w:widowControl w:val="0"/>
        <w:numPr>
          <w:ilvl w:val="0"/>
          <w:numId w:val="5"/>
        </w:numPr>
        <w:spacing w:line="276" w:lineRule="auto"/>
        <w:ind w:left="426" w:hanging="426"/>
      </w:pPr>
      <w:r>
        <w:t xml:space="preserve">Select the </w:t>
      </w:r>
      <w:r w:rsidRPr="00612D90">
        <w:rPr>
          <w:b/>
          <w:bCs/>
        </w:rPr>
        <w:t>View Transfer Logs</w:t>
      </w:r>
      <w:r>
        <w:t xml:space="preserve"> button.</w:t>
      </w:r>
    </w:p>
    <w:p w14:paraId="3719A9B2" w14:textId="12A3DBAF" w:rsidR="00AC66F5" w:rsidRDefault="00110198" w:rsidP="00ED1342">
      <w:pPr>
        <w:widowControl w:val="0"/>
        <w:spacing w:line="276" w:lineRule="auto"/>
      </w:pPr>
      <w:r>
        <w:rPr>
          <w:noProof/>
          <w:lang w:eastAsia="en-AU"/>
        </w:rPr>
        <w:drawing>
          <wp:inline distT="0" distB="0" distL="0" distR="0" wp14:anchorId="332F7A8D" wp14:editId="7C58C824">
            <wp:extent cx="5554410" cy="303824"/>
            <wp:effectExtent l="19050" t="19050" r="8255" b="20320"/>
            <wp:docPr id="5167" name="Picture 5167" descr="4 buttons from left to right - Add a service item, Transfer service item, Transfer clients, and View transfer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 name="Picture 5167" descr="4 buttons from left to right - Add a service item, Transfer service item, Transfer clients, and View transfer logs"/>
                    <pic:cNvPicPr/>
                  </pic:nvPicPr>
                  <pic:blipFill rotWithShape="1">
                    <a:blip r:embed="rId27"/>
                    <a:srcRect t="49213"/>
                    <a:stretch/>
                  </pic:blipFill>
                  <pic:spPr bwMode="auto">
                    <a:xfrm>
                      <a:off x="0" y="0"/>
                      <a:ext cx="5670940" cy="3101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66450A" w14:textId="435D4F44" w:rsidR="00FC2FC2" w:rsidRPr="00F43310" w:rsidRDefault="00FC2FC2" w:rsidP="00FC2FC2">
      <w:pPr>
        <w:widowControl w:val="0"/>
        <w:spacing w:line="276" w:lineRule="auto"/>
        <w:ind w:left="426"/>
      </w:pPr>
      <w:r>
        <w:t>The Transfer Logs page appears. For each instance of log transfer, the following details are displayed:</w:t>
      </w:r>
    </w:p>
    <w:p w14:paraId="055196FA" w14:textId="77777777" w:rsidR="00AA556D" w:rsidRDefault="00AA556D" w:rsidP="00612D90">
      <w:pPr>
        <w:pStyle w:val="ListBullet"/>
        <w:widowControl w:val="0"/>
        <w:spacing w:line="240" w:lineRule="auto"/>
        <w:ind w:left="851" w:hanging="396"/>
      </w:pPr>
      <w:r>
        <w:t>Transfer type (service or person)</w:t>
      </w:r>
    </w:p>
    <w:p w14:paraId="2619BAE1" w14:textId="77777777" w:rsidR="00AA556D" w:rsidRDefault="00AA556D" w:rsidP="00612D90">
      <w:pPr>
        <w:pStyle w:val="ListBullet"/>
        <w:widowControl w:val="0"/>
        <w:spacing w:line="240" w:lineRule="auto"/>
        <w:ind w:left="851" w:hanging="396"/>
      </w:pPr>
      <w:r>
        <w:t>Transfer date</w:t>
      </w:r>
    </w:p>
    <w:p w14:paraId="44231D35" w14:textId="77777777" w:rsidR="00AA556D" w:rsidRDefault="00AA556D" w:rsidP="00612D90">
      <w:pPr>
        <w:pStyle w:val="ListBullet"/>
        <w:widowControl w:val="0"/>
        <w:spacing w:line="240" w:lineRule="auto"/>
        <w:ind w:left="851" w:hanging="396"/>
      </w:pPr>
      <w:r>
        <w:t>Status (In progress, completed, completed with errors)</w:t>
      </w:r>
    </w:p>
    <w:p w14:paraId="1224616F" w14:textId="609CFF83" w:rsidR="00AA556D" w:rsidRDefault="00AA556D" w:rsidP="00EE72A9">
      <w:pPr>
        <w:widowControl w:val="0"/>
        <w:spacing w:line="276" w:lineRule="auto"/>
        <w:ind w:left="426"/>
      </w:pPr>
      <w:r>
        <w:t xml:space="preserve">For more detailed information about the transfer, </w:t>
      </w:r>
      <w:r w:rsidR="00FC2FC2">
        <w:t xml:space="preserve">select </w:t>
      </w:r>
      <w:r>
        <w:t>the magnifying glass icon.</w:t>
      </w:r>
    </w:p>
    <w:p w14:paraId="15441EEA" w14:textId="5988C9FB" w:rsidR="00110198" w:rsidRPr="00F43310" w:rsidRDefault="005141E0" w:rsidP="00ED1342">
      <w:pPr>
        <w:widowControl w:val="0"/>
        <w:spacing w:line="276" w:lineRule="auto"/>
      </w:pPr>
      <w:r>
        <w:rPr>
          <w:noProof/>
          <w:lang w:eastAsia="en-AU"/>
        </w:rPr>
        <w:drawing>
          <wp:inline distT="0" distB="0" distL="0" distR="0" wp14:anchorId="6FB9896F" wp14:editId="47124F59">
            <wp:extent cx="5533474" cy="868892"/>
            <wp:effectExtent l="19050" t="19050" r="10160" b="26670"/>
            <wp:docPr id="21" name="Picture 21" descr="Transfer logs page, showing Logs transferred, type of transfer, transfer date a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ransfer logs page, showing Logs transferred, type of transfer, transfer date and statu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6966" cy="872581"/>
                    </a:xfrm>
                    <a:prstGeom prst="rect">
                      <a:avLst/>
                    </a:prstGeom>
                    <a:noFill/>
                    <a:ln>
                      <a:solidFill>
                        <a:schemeClr val="tx1"/>
                      </a:solidFill>
                    </a:ln>
                  </pic:spPr>
                </pic:pic>
              </a:graphicData>
            </a:graphic>
          </wp:inline>
        </w:drawing>
      </w:r>
    </w:p>
    <w:p w14:paraId="3B8F544E" w14:textId="6E5742A8" w:rsidR="00B930EE" w:rsidRDefault="00B930EE" w:rsidP="00EE72A9">
      <w:pPr>
        <w:widowControl w:val="0"/>
        <w:spacing w:line="276" w:lineRule="auto"/>
        <w:ind w:left="426"/>
      </w:pPr>
      <w:r>
        <w:t xml:space="preserve">If a transfer has not been completed successfully, you can retry by </w:t>
      </w:r>
      <w:r w:rsidR="00FC2FC2">
        <w:t xml:space="preserve">selecting </w:t>
      </w:r>
      <w:r>
        <w:t xml:space="preserve">the magnifying glass icon, selecting the items you want to retry and </w:t>
      </w:r>
      <w:r w:rsidR="00FC2FC2">
        <w:t xml:space="preserve">then selecting </w:t>
      </w:r>
      <w:r>
        <w:t xml:space="preserve">the </w:t>
      </w:r>
      <w:r w:rsidRPr="00612D90">
        <w:rPr>
          <w:b/>
          <w:bCs/>
        </w:rPr>
        <w:t>Retry Selected</w:t>
      </w:r>
      <w:r>
        <w:t xml:space="preserve"> button.</w:t>
      </w:r>
    </w:p>
    <w:p w14:paraId="45D23C13" w14:textId="61FFF528" w:rsidR="001F275E" w:rsidRDefault="0030756E" w:rsidP="00ED1342">
      <w:pPr>
        <w:widowControl w:val="0"/>
        <w:spacing w:line="276" w:lineRule="auto"/>
      </w:pPr>
      <w:r>
        <w:rPr>
          <w:noProof/>
        </w:rPr>
        <w:drawing>
          <wp:inline distT="0" distB="0" distL="0" distR="0" wp14:anchorId="4871B7A7" wp14:editId="04F8AA15">
            <wp:extent cx="5562120" cy="1703720"/>
            <wp:effectExtent l="0" t="0" r="635" b="0"/>
            <wp:docPr id="1355204110" name="Picture 5" descr="Transfer logs page showing tickboxes next to each error in transfer attempt. the Retry Selected button is highlighted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04110" name="Picture 5" descr="Transfer logs page showing tickboxes next to each error in transfer attempt. the Retry Selected button is highlighted at the bottom lef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8398" cy="1714832"/>
                    </a:xfrm>
                    <a:prstGeom prst="rect">
                      <a:avLst/>
                    </a:prstGeom>
                    <a:noFill/>
                    <a:ln>
                      <a:noFill/>
                    </a:ln>
                  </pic:spPr>
                </pic:pic>
              </a:graphicData>
            </a:graphic>
          </wp:inline>
        </w:drawing>
      </w:r>
    </w:p>
    <w:p w14:paraId="6AEA350E" w14:textId="3F9ED30E" w:rsidR="000F50C9" w:rsidRPr="00F6658A" w:rsidRDefault="000F50C9" w:rsidP="00F6658A">
      <w:r w:rsidRPr="2160B6DF">
        <w:rPr>
          <w:b/>
          <w:bCs/>
          <w:color w:val="FF0000"/>
          <w:sz w:val="24"/>
          <w:lang w:val="en-US"/>
        </w:rPr>
        <w:lastRenderedPageBreak/>
        <w:t>!</w:t>
      </w:r>
      <w:r w:rsidRPr="2160B6DF">
        <w:rPr>
          <w:lang w:val="en-US"/>
        </w:rPr>
        <w:t xml:space="preserve"> </w:t>
      </w:r>
      <w:r w:rsidR="00947922" w:rsidRPr="2160B6DF">
        <w:rPr>
          <w:lang w:val="en-US"/>
        </w:rPr>
        <w:t>If you continue to experience issues with transferring services, please call My Aged Care on 1800 836 799 for assistance.</w:t>
      </w:r>
    </w:p>
    <w:p w14:paraId="2E6634E6" w14:textId="565FCF32" w:rsidR="00727E3B" w:rsidRDefault="00E6226B" w:rsidP="00BA7FA7">
      <w:pPr>
        <w:pStyle w:val="Heading2"/>
        <w:keepNext w:val="0"/>
        <w:keepLines w:val="0"/>
        <w:widowControl w:val="0"/>
        <w:spacing w:before="480" w:line="276" w:lineRule="auto"/>
        <w:rPr>
          <w:sz w:val="28"/>
          <w:szCs w:val="28"/>
        </w:rPr>
      </w:pPr>
      <w:bookmarkStart w:id="9" w:name="_Toc211857060"/>
      <w:r>
        <w:rPr>
          <w:sz w:val="28"/>
          <w:szCs w:val="28"/>
        </w:rPr>
        <w:t>Transferring</w:t>
      </w:r>
      <w:r w:rsidR="00727E3B">
        <w:rPr>
          <w:sz w:val="28"/>
          <w:szCs w:val="28"/>
        </w:rPr>
        <w:t xml:space="preserve"> a clie</w:t>
      </w:r>
      <w:r w:rsidR="00057707">
        <w:rPr>
          <w:sz w:val="28"/>
          <w:szCs w:val="28"/>
        </w:rPr>
        <w:t>nt between services</w:t>
      </w:r>
      <w:bookmarkEnd w:id="9"/>
    </w:p>
    <w:p w14:paraId="6A43D1BE" w14:textId="77777777" w:rsidR="00F24F0F" w:rsidRDefault="008E5490" w:rsidP="00ED1342">
      <w:pPr>
        <w:widowControl w:val="0"/>
        <w:spacing w:line="276" w:lineRule="auto"/>
      </w:pPr>
      <w:r>
        <w:t>Organisation administrators may choose one or multiple clients to transfer between services (of the same service type) within an outlet or to another outlet within their organisation.</w:t>
      </w:r>
      <w:r w:rsidR="00F24F0F">
        <w:t xml:space="preserve"> </w:t>
      </w:r>
    </w:p>
    <w:p w14:paraId="0632BFA7" w14:textId="64053D3F" w:rsidR="008E5490" w:rsidRDefault="008E5490" w:rsidP="00ED1342">
      <w:pPr>
        <w:widowControl w:val="0"/>
        <w:spacing w:line="276" w:lineRule="auto"/>
      </w:pPr>
      <w:r w:rsidRPr="00007C72">
        <w:t xml:space="preserve">This functionality is not available for residential care (permanent and respite). Please follow the </w:t>
      </w:r>
      <w:r>
        <w:t>existing</w:t>
      </w:r>
      <w:r w:rsidRPr="00007C72">
        <w:t xml:space="preserve"> process using the</w:t>
      </w:r>
      <w:r w:rsidRPr="00287ACD">
        <w:t xml:space="preserve"> </w:t>
      </w:r>
      <w:hyperlink r:id="rId30" w:history="1">
        <w:r w:rsidRPr="00287ACD">
          <w:rPr>
            <w:rStyle w:val="Hyperlink"/>
          </w:rPr>
          <w:t xml:space="preserve">Application to </w:t>
        </w:r>
        <w:r w:rsidR="00287ACD" w:rsidRPr="00287ACD">
          <w:rPr>
            <w:rStyle w:val="Hyperlink"/>
          </w:rPr>
          <w:t>V</w:t>
        </w:r>
        <w:r w:rsidRPr="00287ACD">
          <w:rPr>
            <w:rStyle w:val="Hyperlink"/>
          </w:rPr>
          <w:t xml:space="preserve">ary </w:t>
        </w:r>
        <w:r w:rsidR="00287ACD" w:rsidRPr="00287ACD">
          <w:rPr>
            <w:rStyle w:val="Hyperlink"/>
          </w:rPr>
          <w:t>C</w:t>
        </w:r>
        <w:r w:rsidRPr="00287ACD">
          <w:rPr>
            <w:rStyle w:val="Hyperlink"/>
          </w:rPr>
          <w:t xml:space="preserve">onditions of </w:t>
        </w:r>
        <w:r w:rsidR="00287ACD" w:rsidRPr="00287ACD">
          <w:rPr>
            <w:rStyle w:val="Hyperlink"/>
          </w:rPr>
          <w:t>A</w:t>
        </w:r>
        <w:r w:rsidRPr="00287ACD">
          <w:rPr>
            <w:rStyle w:val="Hyperlink"/>
          </w:rPr>
          <w:t>llocation</w:t>
        </w:r>
      </w:hyperlink>
      <w:r w:rsidRPr="00007C72">
        <w:t xml:space="preserve"> form.</w:t>
      </w:r>
    </w:p>
    <w:p w14:paraId="63EF137A" w14:textId="56B6A1C2" w:rsidR="008E5490" w:rsidRPr="00862B3F" w:rsidRDefault="007E621B" w:rsidP="00ED1342">
      <w:pPr>
        <w:widowControl w:val="0"/>
        <w:spacing w:line="276" w:lineRule="auto"/>
      </w:pPr>
      <w:r>
        <w:t xml:space="preserve">Follow these steps to </w:t>
      </w:r>
      <w:r w:rsidR="008E5490">
        <w:t>transfer a client(s) to another service</w:t>
      </w:r>
      <w:r>
        <w:t>:</w:t>
      </w:r>
      <w:r w:rsidR="008E5490">
        <w:t xml:space="preserve"> </w:t>
      </w:r>
    </w:p>
    <w:p w14:paraId="296998F6" w14:textId="3F23B17D" w:rsidR="00D75064" w:rsidRDefault="00D75064" w:rsidP="00BA7FA7">
      <w:pPr>
        <w:pStyle w:val="ListNumber"/>
        <w:keepNext w:val="0"/>
        <w:widowControl w:val="0"/>
        <w:numPr>
          <w:ilvl w:val="0"/>
          <w:numId w:val="7"/>
        </w:numPr>
        <w:spacing w:line="276" w:lineRule="auto"/>
        <w:ind w:left="426" w:hanging="426"/>
      </w:pPr>
      <w:r w:rsidRPr="007E6C28">
        <w:t>From</w:t>
      </w:r>
      <w:r>
        <w:t xml:space="preserve"> </w:t>
      </w:r>
      <w:r w:rsidRPr="007E621B">
        <w:rPr>
          <w:b/>
          <w:bCs/>
        </w:rPr>
        <w:t>Outlet administration</w:t>
      </w:r>
      <w:r>
        <w:t xml:space="preserve"> select the outlet that contains the clients you wish to transfer to another service (the outlet you want to transfer clients ‘from’).</w:t>
      </w:r>
    </w:p>
    <w:p w14:paraId="3E3AD841" w14:textId="0AFEF09B" w:rsidR="00D75064" w:rsidRPr="00F43310" w:rsidRDefault="00E93024" w:rsidP="00ED1342">
      <w:pPr>
        <w:widowControl w:val="0"/>
        <w:spacing w:line="276" w:lineRule="auto"/>
      </w:pPr>
      <w:r>
        <w:rPr>
          <w:noProof/>
          <w:lang w:eastAsia="en-AU"/>
        </w:rPr>
        <w:drawing>
          <wp:inline distT="0" distB="0" distL="0" distR="0" wp14:anchorId="7161322A" wp14:editId="5B117069">
            <wp:extent cx="5171440" cy="1632990"/>
            <wp:effectExtent l="19050" t="19050" r="10160" b="24765"/>
            <wp:docPr id="13" name="Picture 13" descr="Outlets page showing a list of outlets' car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utlets page showing a list of outlets' cards.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0075" cy="1642032"/>
                    </a:xfrm>
                    <a:prstGeom prst="rect">
                      <a:avLst/>
                    </a:prstGeom>
                    <a:noFill/>
                    <a:ln>
                      <a:solidFill>
                        <a:schemeClr val="tx1"/>
                      </a:solidFill>
                    </a:ln>
                  </pic:spPr>
                </pic:pic>
              </a:graphicData>
            </a:graphic>
          </wp:inline>
        </w:drawing>
      </w:r>
    </w:p>
    <w:p w14:paraId="7A7003A9" w14:textId="01D79556" w:rsidR="00487A9E" w:rsidRDefault="007E621B" w:rsidP="00BA7FA7">
      <w:pPr>
        <w:pStyle w:val="ListNumber"/>
        <w:keepNext w:val="0"/>
        <w:widowControl w:val="0"/>
        <w:numPr>
          <w:ilvl w:val="0"/>
          <w:numId w:val="7"/>
        </w:numPr>
        <w:spacing w:line="276" w:lineRule="auto"/>
        <w:ind w:left="426" w:hanging="426"/>
      </w:pPr>
      <w:r>
        <w:t>S</w:t>
      </w:r>
      <w:r w:rsidR="000051F8">
        <w:t>elect</w:t>
      </w:r>
      <w:r w:rsidR="000051F8" w:rsidRPr="00922AEC">
        <w:t xml:space="preserve"> </w:t>
      </w:r>
      <w:r w:rsidR="00487A9E" w:rsidRPr="00922AEC">
        <w:t xml:space="preserve">the </w:t>
      </w:r>
      <w:r w:rsidR="00487A9E" w:rsidRPr="007E621B">
        <w:rPr>
          <w:b/>
          <w:bCs/>
        </w:rPr>
        <w:t>View service items</w:t>
      </w:r>
      <w:r w:rsidR="00487A9E" w:rsidRPr="00922AEC">
        <w:t xml:space="preserve"> button</w:t>
      </w:r>
      <w:r>
        <w:t xml:space="preserve"> f</w:t>
      </w:r>
      <w:r w:rsidRPr="00922AEC">
        <w:t xml:space="preserve">rom the </w:t>
      </w:r>
      <w:r w:rsidRPr="007E621B">
        <w:rPr>
          <w:b/>
          <w:bCs/>
        </w:rPr>
        <w:t>View outlet</w:t>
      </w:r>
      <w:r w:rsidRPr="00922AEC">
        <w:t xml:space="preserve"> page</w:t>
      </w:r>
      <w:r>
        <w:t>.</w:t>
      </w:r>
    </w:p>
    <w:p w14:paraId="19AB9094" w14:textId="0E4EDBD8" w:rsidR="00E0733E" w:rsidRPr="00EB66A6" w:rsidRDefault="000A59AF" w:rsidP="00ED1342">
      <w:pPr>
        <w:widowControl w:val="0"/>
        <w:spacing w:line="276" w:lineRule="auto"/>
      </w:pPr>
      <w:r>
        <w:rPr>
          <w:noProof/>
        </w:rPr>
        <w:drawing>
          <wp:inline distT="0" distB="0" distL="0" distR="0" wp14:anchorId="0254B34E" wp14:editId="2D9FA02E">
            <wp:extent cx="5165424" cy="3072810"/>
            <wp:effectExtent l="19050" t="19050" r="16510" b="13335"/>
            <wp:docPr id="1660104608" name="Picture 7"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04608" name="Picture 7" descr="Example View Outlet page showing the View Service Items button at the bottom left"/>
                    <pic:cNvPicPr/>
                  </pic:nvPicPr>
                  <pic:blipFill>
                    <a:blip r:embed="rId16"/>
                    <a:stretch>
                      <a:fillRect/>
                    </a:stretch>
                  </pic:blipFill>
                  <pic:spPr>
                    <a:xfrm>
                      <a:off x="0" y="0"/>
                      <a:ext cx="5181135" cy="3082156"/>
                    </a:xfrm>
                    <a:prstGeom prst="rect">
                      <a:avLst/>
                    </a:prstGeom>
                    <a:ln>
                      <a:solidFill>
                        <a:schemeClr val="tx1"/>
                      </a:solidFill>
                    </a:ln>
                  </pic:spPr>
                </pic:pic>
              </a:graphicData>
            </a:graphic>
          </wp:inline>
        </w:drawing>
      </w:r>
    </w:p>
    <w:p w14:paraId="7CA1FF2C" w14:textId="185BB238" w:rsidR="00140F61" w:rsidRDefault="000051F8" w:rsidP="00BA7FA7">
      <w:pPr>
        <w:pStyle w:val="ListNumber"/>
        <w:keepNext w:val="0"/>
        <w:widowControl w:val="0"/>
        <w:numPr>
          <w:ilvl w:val="0"/>
          <w:numId w:val="7"/>
        </w:numPr>
        <w:spacing w:line="276" w:lineRule="auto"/>
        <w:ind w:left="426" w:hanging="426"/>
      </w:pPr>
      <w:r>
        <w:t>Select</w:t>
      </w:r>
      <w:r w:rsidR="00140F61">
        <w:t xml:space="preserve"> the </w:t>
      </w:r>
      <w:r w:rsidR="00140F61" w:rsidRPr="007E621B">
        <w:rPr>
          <w:b/>
          <w:bCs/>
        </w:rPr>
        <w:t>Transfer Clients</w:t>
      </w:r>
      <w:r w:rsidR="007E621B" w:rsidRPr="007E621B">
        <w:rPr>
          <w:b/>
          <w:bCs/>
        </w:rPr>
        <w:t xml:space="preserve"> </w:t>
      </w:r>
      <w:r w:rsidR="00140F61">
        <w:t>button to start the process of transferring client(s) to another service.</w:t>
      </w:r>
    </w:p>
    <w:p w14:paraId="602D3149" w14:textId="2CACB3F3" w:rsidR="00E0733E" w:rsidRPr="00F43310" w:rsidRDefault="00C92E02" w:rsidP="00ED1342">
      <w:pPr>
        <w:widowControl w:val="0"/>
        <w:spacing w:line="276" w:lineRule="auto"/>
      </w:pPr>
      <w:r>
        <w:rPr>
          <w:noProof/>
          <w:lang w:eastAsia="en-AU"/>
        </w:rPr>
        <w:drawing>
          <wp:inline distT="0" distB="0" distL="0" distR="0" wp14:anchorId="78802DF7" wp14:editId="0B085E2C">
            <wp:extent cx="4076302" cy="429932"/>
            <wp:effectExtent l="19050" t="19050" r="19685" b="27305"/>
            <wp:docPr id="5159" name="Picture 5159" descr="3 buttons from left to right - Add a service item, Transfer service item, Transfer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Picture 5159" descr="3 buttons from left to right - Add a service item, Transfer service item, Transfer clien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4735" cy="431876"/>
                    </a:xfrm>
                    <a:prstGeom prst="rect">
                      <a:avLst/>
                    </a:prstGeom>
                    <a:noFill/>
                    <a:ln>
                      <a:solidFill>
                        <a:schemeClr val="tx1"/>
                      </a:solidFill>
                    </a:ln>
                  </pic:spPr>
                </pic:pic>
              </a:graphicData>
            </a:graphic>
          </wp:inline>
        </w:drawing>
      </w:r>
    </w:p>
    <w:p w14:paraId="23C54F99" w14:textId="3329ECA7" w:rsidR="007C5B56" w:rsidRDefault="007C5B56" w:rsidP="00BA7FA7">
      <w:pPr>
        <w:pStyle w:val="ListNumber"/>
        <w:keepNext w:val="0"/>
        <w:widowControl w:val="0"/>
        <w:numPr>
          <w:ilvl w:val="0"/>
          <w:numId w:val="7"/>
        </w:numPr>
        <w:spacing w:line="276" w:lineRule="auto"/>
        <w:ind w:left="426" w:hanging="426"/>
      </w:pPr>
      <w:r>
        <w:t xml:space="preserve">Select the service that the client(s) is currently linked to. You can use the search </w:t>
      </w:r>
      <w:r>
        <w:lastRenderedPageBreak/>
        <w:t xml:space="preserve">functionality to find specific service types. </w:t>
      </w:r>
      <w:r w:rsidR="000051F8">
        <w:t xml:space="preserve">Select </w:t>
      </w:r>
      <w:r w:rsidRPr="007E621B">
        <w:rPr>
          <w:b/>
          <w:bCs/>
        </w:rPr>
        <w:t>Next</w:t>
      </w:r>
      <w:r>
        <w:t xml:space="preserve"> to continue.</w:t>
      </w:r>
    </w:p>
    <w:p w14:paraId="09E8F23A" w14:textId="7E978543" w:rsidR="0030756E" w:rsidRPr="00F43310" w:rsidRDefault="00E85D3B" w:rsidP="00ED1342">
      <w:pPr>
        <w:widowControl w:val="0"/>
        <w:spacing w:line="276" w:lineRule="auto"/>
      </w:pPr>
      <w:r>
        <w:rPr>
          <w:noProof/>
        </w:rPr>
        <w:drawing>
          <wp:inline distT="0" distB="0" distL="0" distR="0" wp14:anchorId="666EF888" wp14:editId="3E0A6C58">
            <wp:extent cx="5715914" cy="2896156"/>
            <wp:effectExtent l="0" t="0" r="0" b="0"/>
            <wp:docPr id="773491896" name="Picture 6" descr="Transfer clients  page, showing a list of services with radio buttons next to each. the Next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91896" name="Picture 6" descr="Transfer clients  page, showing a list of services with radio buttons next to each. the Next button is at the bottom lef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7324" cy="2907004"/>
                    </a:xfrm>
                    <a:prstGeom prst="rect">
                      <a:avLst/>
                    </a:prstGeom>
                    <a:noFill/>
                    <a:ln>
                      <a:noFill/>
                    </a:ln>
                  </pic:spPr>
                </pic:pic>
              </a:graphicData>
            </a:graphic>
          </wp:inline>
        </w:drawing>
      </w:r>
    </w:p>
    <w:p w14:paraId="24D3A26D" w14:textId="48A54BC8" w:rsidR="00E0733E" w:rsidRDefault="00617A41" w:rsidP="00BA7FA7">
      <w:pPr>
        <w:pStyle w:val="ListNumber"/>
        <w:keepNext w:val="0"/>
        <w:widowControl w:val="0"/>
        <w:numPr>
          <w:ilvl w:val="0"/>
          <w:numId w:val="7"/>
        </w:numPr>
        <w:spacing w:line="276" w:lineRule="auto"/>
        <w:ind w:left="426" w:hanging="426"/>
      </w:pPr>
      <w:r>
        <w:t xml:space="preserve">You can choose to transfer clients to another service within the same outlet or transfer clients to another service under another outlet. Choose from one of these options and select </w:t>
      </w:r>
      <w:r w:rsidRPr="007E621B">
        <w:rPr>
          <w:b/>
          <w:bCs/>
        </w:rPr>
        <w:t>Next</w:t>
      </w:r>
      <w:r>
        <w:t>.</w:t>
      </w:r>
    </w:p>
    <w:p w14:paraId="2520E71A" w14:textId="6EBEC8DA" w:rsidR="00617A41" w:rsidRPr="00F43310" w:rsidRDefault="00BD7C0C" w:rsidP="00ED1342">
      <w:pPr>
        <w:widowControl w:val="0"/>
        <w:spacing w:line="276" w:lineRule="auto"/>
      </w:pPr>
      <w:r>
        <w:rPr>
          <w:noProof/>
          <w:lang w:eastAsia="en-AU"/>
        </w:rPr>
        <w:drawing>
          <wp:inline distT="0" distB="0" distL="0" distR="0" wp14:anchorId="282C4F94" wp14:editId="7959CB93">
            <wp:extent cx="5667272" cy="1677512"/>
            <wp:effectExtent l="19050" t="19050" r="10160" b="18415"/>
            <wp:docPr id="24" name="Picture 24" descr="Transfer Clients page showing radio buttons next to options and the Next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ransfer Clients page showing radio buttons next to options and the Next button at the bottom lef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4108" cy="1682495"/>
                    </a:xfrm>
                    <a:prstGeom prst="rect">
                      <a:avLst/>
                    </a:prstGeom>
                    <a:noFill/>
                    <a:ln>
                      <a:solidFill>
                        <a:schemeClr val="tx1"/>
                      </a:solidFill>
                    </a:ln>
                  </pic:spPr>
                </pic:pic>
              </a:graphicData>
            </a:graphic>
          </wp:inline>
        </w:drawing>
      </w:r>
    </w:p>
    <w:p w14:paraId="2F1E81B8" w14:textId="5A1E1C89" w:rsidR="00E25603" w:rsidRDefault="00E25603" w:rsidP="00BA7FA7">
      <w:pPr>
        <w:widowControl w:val="0"/>
        <w:spacing w:line="276" w:lineRule="auto"/>
        <w:ind w:left="426"/>
      </w:pPr>
      <w:r>
        <w:t xml:space="preserve">If you select </w:t>
      </w:r>
      <w:r w:rsidRPr="007E621B">
        <w:rPr>
          <w:b/>
          <w:bCs/>
        </w:rPr>
        <w:t>Transfer to another outlet</w:t>
      </w:r>
      <w:r>
        <w:t xml:space="preserve"> (for Organisation Administrators only) you will not be able to proceed unless you select an outlet.</w:t>
      </w:r>
    </w:p>
    <w:p w14:paraId="2C1CD696" w14:textId="39D16234" w:rsidR="0024542B" w:rsidRPr="005D12AB" w:rsidRDefault="0024542B" w:rsidP="000051F8">
      <w:pPr>
        <w:pStyle w:val="ListNumber"/>
        <w:keepNext w:val="0"/>
        <w:widowControl w:val="0"/>
        <w:numPr>
          <w:ilvl w:val="0"/>
          <w:numId w:val="7"/>
        </w:numPr>
        <w:spacing w:line="276" w:lineRule="auto"/>
        <w:ind w:left="426" w:hanging="426"/>
      </w:pPr>
      <w:r w:rsidRPr="005D12AB">
        <w:t xml:space="preserve">Select the service that you want to transfer the clients to, from the list </w:t>
      </w:r>
      <w:r w:rsidR="00850194">
        <w:t>displayed.</w:t>
      </w:r>
    </w:p>
    <w:p w14:paraId="2402468D" w14:textId="4B2E2904" w:rsidR="007C5B56" w:rsidRPr="005D12AB" w:rsidRDefault="000051F8" w:rsidP="000C3E9B">
      <w:pPr>
        <w:widowControl w:val="0"/>
        <w:spacing w:line="276" w:lineRule="auto"/>
        <w:ind w:left="426"/>
      </w:pPr>
      <w:r>
        <w:t>Select</w:t>
      </w:r>
      <w:r w:rsidRPr="005D12AB">
        <w:t xml:space="preserve"> </w:t>
      </w:r>
      <w:r w:rsidR="0024542B" w:rsidRPr="007E621B">
        <w:rPr>
          <w:b/>
          <w:bCs/>
        </w:rPr>
        <w:t xml:space="preserve">Next </w:t>
      </w:r>
      <w:r w:rsidR="0024542B" w:rsidRPr="005D12AB">
        <w:t>to continue.</w:t>
      </w:r>
    </w:p>
    <w:p w14:paraId="738F8ACB" w14:textId="56A05AE0" w:rsidR="00850923" w:rsidRDefault="000E5297" w:rsidP="00ED1342">
      <w:pPr>
        <w:widowControl w:val="0"/>
        <w:spacing w:line="276" w:lineRule="auto"/>
      </w:pPr>
      <w:r>
        <w:rPr>
          <w:noProof/>
          <w:lang w:eastAsia="en-AU"/>
        </w:rPr>
        <w:drawing>
          <wp:inline distT="0" distB="0" distL="0" distR="0" wp14:anchorId="1543827A" wp14:editId="7BF8A887">
            <wp:extent cx="5699126" cy="2120076"/>
            <wp:effectExtent l="19050" t="19050" r="15875" b="13970"/>
            <wp:docPr id="25" name="Picture 25" descr="Transfer Clients page showing outlet/s available to be transferred, and the Next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ransfer Clients page showing outlet/s available to be transferred, and the Next button at the bottom lef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01" cy="2132120"/>
                    </a:xfrm>
                    <a:prstGeom prst="rect">
                      <a:avLst/>
                    </a:prstGeom>
                    <a:noFill/>
                    <a:ln>
                      <a:solidFill>
                        <a:schemeClr val="tx1"/>
                      </a:solidFill>
                    </a:ln>
                  </pic:spPr>
                </pic:pic>
              </a:graphicData>
            </a:graphic>
          </wp:inline>
        </w:drawing>
      </w:r>
    </w:p>
    <w:p w14:paraId="3EC03712" w14:textId="3ABC660D" w:rsidR="007C5B56" w:rsidRPr="00F43310" w:rsidRDefault="00C94E51" w:rsidP="0071587B">
      <w:pPr>
        <w:widowControl w:val="0"/>
        <w:spacing w:line="276" w:lineRule="auto"/>
        <w:ind w:left="426"/>
      </w:pPr>
      <w:r>
        <w:lastRenderedPageBreak/>
        <w:t xml:space="preserve">Select the client(s) that you wish to transfer to the new service. </w:t>
      </w:r>
      <w:r w:rsidR="00850194">
        <w:t xml:space="preserve">Select </w:t>
      </w:r>
      <w:r w:rsidRPr="0071587B">
        <w:rPr>
          <w:b/>
          <w:bCs/>
        </w:rPr>
        <w:t>Transfer clients</w:t>
      </w:r>
      <w:r w:rsidR="0071587B">
        <w:t xml:space="preserve"> </w:t>
      </w:r>
      <w:r>
        <w:t>to continue.</w:t>
      </w:r>
      <w:r w:rsidR="0071587B">
        <w:t xml:space="preserve"> </w:t>
      </w:r>
      <w:r w:rsidRPr="00F43310">
        <w:t>You can also search for client to transfer by their last name, first name, or their Aged Care User ID. You can transfer up to a maximum of 50 clients at one time.</w:t>
      </w:r>
    </w:p>
    <w:p w14:paraId="5138AA00" w14:textId="6EB871F0" w:rsidR="00D76A01" w:rsidRPr="00F43310" w:rsidRDefault="00D76A01" w:rsidP="00ED1342">
      <w:pPr>
        <w:widowControl w:val="0"/>
        <w:spacing w:line="276" w:lineRule="auto"/>
      </w:pPr>
      <w:r>
        <w:rPr>
          <w:noProof/>
          <w:lang w:eastAsia="en-AU"/>
        </w:rPr>
        <w:drawing>
          <wp:inline distT="0" distB="0" distL="0" distR="0" wp14:anchorId="56D56561" wp14:editId="4E51C844">
            <wp:extent cx="5668408" cy="2271144"/>
            <wp:effectExtent l="19050" t="19050" r="27940" b="15240"/>
            <wp:docPr id="26" name="Picture 26" descr="Transfer clients - Input Client's last name, first name or Aged care User ID, and a list of clients are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ransfer clients - Input Client's last name, first name or Aged care User ID, and a list of clients are shown at the bottom of the p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9189" cy="2283477"/>
                    </a:xfrm>
                    <a:prstGeom prst="rect">
                      <a:avLst/>
                    </a:prstGeom>
                    <a:noFill/>
                    <a:ln>
                      <a:solidFill>
                        <a:schemeClr val="tx1"/>
                      </a:solidFill>
                    </a:ln>
                  </pic:spPr>
                </pic:pic>
              </a:graphicData>
            </a:graphic>
          </wp:inline>
        </w:drawing>
      </w:r>
    </w:p>
    <w:p w14:paraId="3E6D509B" w14:textId="7C1C6A94" w:rsidR="002F2D4D" w:rsidRDefault="002F2D4D" w:rsidP="00850194">
      <w:pPr>
        <w:pStyle w:val="ListNumber"/>
        <w:keepNext w:val="0"/>
        <w:widowControl w:val="0"/>
        <w:numPr>
          <w:ilvl w:val="0"/>
          <w:numId w:val="7"/>
        </w:numPr>
        <w:spacing w:line="276" w:lineRule="auto"/>
        <w:ind w:left="426" w:hanging="426"/>
      </w:pPr>
      <w:r>
        <w:t xml:space="preserve">Review the information about the transfer. </w:t>
      </w:r>
      <w:r w:rsidR="00850194">
        <w:t xml:space="preserve">To make any changes, </w:t>
      </w:r>
      <w:r w:rsidR="00792C62">
        <w:t xml:space="preserve">select </w:t>
      </w:r>
      <w:r w:rsidR="00850194" w:rsidRPr="0071587B">
        <w:rPr>
          <w:b/>
          <w:bCs/>
        </w:rPr>
        <w:t>Cancel</w:t>
      </w:r>
      <w:r w:rsidR="00850194">
        <w:t xml:space="preserve">. If correct, select </w:t>
      </w:r>
      <w:r w:rsidR="00850194" w:rsidRPr="0071587B">
        <w:rPr>
          <w:b/>
          <w:bCs/>
        </w:rPr>
        <w:t>Confirm transfer</w:t>
      </w:r>
      <w:r w:rsidR="0071587B">
        <w:t xml:space="preserve"> </w:t>
      </w:r>
      <w:r w:rsidR="00850194">
        <w:t>to complete the process.</w:t>
      </w:r>
    </w:p>
    <w:p w14:paraId="66222576" w14:textId="11D6978B" w:rsidR="00F8739B" w:rsidRDefault="00655AE3" w:rsidP="00850194">
      <w:pPr>
        <w:widowControl w:val="0"/>
        <w:spacing w:line="276" w:lineRule="auto"/>
      </w:pPr>
      <w:r w:rsidRPr="00396390">
        <w:rPr>
          <w:noProof/>
          <w:lang w:eastAsia="en-AU"/>
        </w:rPr>
        <w:drawing>
          <wp:inline distT="0" distB="0" distL="0" distR="0" wp14:anchorId="3267231D" wp14:editId="63569112">
            <wp:extent cx="5707380" cy="2416674"/>
            <wp:effectExtent l="19050" t="19050" r="26670" b="22225"/>
            <wp:docPr id="27" name="Picture 27" descr="Transfer clients pop up, confirming the number of clients to be transferred to a provider/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ransfer clients pop up, confirming the number of clients to be transferred to a provider/outl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194" cy="2419983"/>
                    </a:xfrm>
                    <a:prstGeom prst="rect">
                      <a:avLst/>
                    </a:prstGeom>
                    <a:noFill/>
                    <a:ln>
                      <a:solidFill>
                        <a:schemeClr val="tx1"/>
                      </a:solidFill>
                    </a:ln>
                  </pic:spPr>
                </pic:pic>
              </a:graphicData>
            </a:graphic>
          </wp:inline>
        </w:drawing>
      </w:r>
    </w:p>
    <w:p w14:paraId="373B566D" w14:textId="1B68F2BF" w:rsidR="00610197" w:rsidRPr="007F342F" w:rsidRDefault="00E6226B" w:rsidP="007F342F">
      <w:pPr>
        <w:pStyle w:val="Heading2"/>
        <w:rPr>
          <w:sz w:val="28"/>
          <w:szCs w:val="28"/>
        </w:rPr>
      </w:pPr>
      <w:bookmarkStart w:id="10" w:name="_Toc211857061"/>
      <w:r w:rsidRPr="007F342F">
        <w:rPr>
          <w:sz w:val="28"/>
          <w:szCs w:val="28"/>
        </w:rPr>
        <w:t>Viewing</w:t>
      </w:r>
      <w:r w:rsidR="00610197" w:rsidRPr="007F342F">
        <w:rPr>
          <w:sz w:val="28"/>
          <w:szCs w:val="28"/>
        </w:rPr>
        <w:t xml:space="preserve"> the client transfer log</w:t>
      </w:r>
      <w:bookmarkEnd w:id="10"/>
    </w:p>
    <w:p w14:paraId="5DE008F1" w14:textId="77777777" w:rsidR="00E80091" w:rsidRDefault="00E80091" w:rsidP="00ED1342">
      <w:pPr>
        <w:widowControl w:val="0"/>
        <w:spacing w:line="276" w:lineRule="auto"/>
      </w:pPr>
      <w:r>
        <w:t xml:space="preserve">To review the status or details of previous and current client transfers, review the Transfer Log. </w:t>
      </w:r>
    </w:p>
    <w:p w14:paraId="01EF1FA5" w14:textId="4D4DD556" w:rsidR="0050529D" w:rsidRDefault="0050529D" w:rsidP="007F342F">
      <w:pPr>
        <w:pStyle w:val="ListNumber"/>
        <w:keepNext w:val="0"/>
        <w:widowControl w:val="0"/>
        <w:numPr>
          <w:ilvl w:val="0"/>
          <w:numId w:val="8"/>
        </w:numPr>
        <w:spacing w:line="276" w:lineRule="auto"/>
        <w:ind w:left="426" w:hanging="426"/>
      </w:pPr>
      <w:r w:rsidRPr="0050529D">
        <w:t xml:space="preserve">Select </w:t>
      </w:r>
      <w:r w:rsidRPr="0071587B">
        <w:rPr>
          <w:b/>
          <w:bCs/>
        </w:rPr>
        <w:t>Outlet administration</w:t>
      </w:r>
      <w:r w:rsidR="0071587B" w:rsidRPr="0071587B">
        <w:rPr>
          <w:b/>
          <w:bCs/>
        </w:rPr>
        <w:t xml:space="preserve"> </w:t>
      </w:r>
      <w:r w:rsidRPr="0050529D">
        <w:t>from the homepage.</w:t>
      </w:r>
    </w:p>
    <w:p w14:paraId="66933C5A" w14:textId="535811C1" w:rsidR="0050529D" w:rsidRPr="00F43310" w:rsidRDefault="001C03D1" w:rsidP="00ED1342">
      <w:pPr>
        <w:widowControl w:val="0"/>
        <w:spacing w:line="276" w:lineRule="auto"/>
      </w:pPr>
      <w:r>
        <w:rPr>
          <w:noProof/>
        </w:rPr>
        <w:lastRenderedPageBreak/>
        <w:drawing>
          <wp:inline distT="0" distB="0" distL="0" distR="0" wp14:anchorId="1D2F6065" wp14:editId="4A6CE5D7">
            <wp:extent cx="5002298" cy="3086154"/>
            <wp:effectExtent l="19050" t="19050" r="27305" b="19050"/>
            <wp:docPr id="7" name="Picture 7" descr="Service and support portal home page.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rvice and support portal home page. The Outlet Administration tile is highlighted."/>
                    <pic:cNvPicPr/>
                  </pic:nvPicPr>
                  <pic:blipFill>
                    <a:blip r:embed="rId14"/>
                    <a:stretch>
                      <a:fillRect/>
                    </a:stretch>
                  </pic:blipFill>
                  <pic:spPr>
                    <a:xfrm>
                      <a:off x="0" y="0"/>
                      <a:ext cx="5059897" cy="3121689"/>
                    </a:xfrm>
                    <a:prstGeom prst="rect">
                      <a:avLst/>
                    </a:prstGeom>
                    <a:ln>
                      <a:solidFill>
                        <a:schemeClr val="tx1"/>
                      </a:solidFill>
                    </a:ln>
                  </pic:spPr>
                </pic:pic>
              </a:graphicData>
            </a:graphic>
          </wp:inline>
        </w:drawing>
      </w:r>
    </w:p>
    <w:p w14:paraId="1786C09D" w14:textId="418F69FC" w:rsidR="00234304" w:rsidRDefault="00234304" w:rsidP="007F342F">
      <w:pPr>
        <w:pStyle w:val="ListNumber"/>
        <w:keepNext w:val="0"/>
        <w:widowControl w:val="0"/>
        <w:numPr>
          <w:ilvl w:val="0"/>
          <w:numId w:val="8"/>
        </w:numPr>
        <w:spacing w:line="276" w:lineRule="auto"/>
        <w:ind w:left="426" w:hanging="426"/>
      </w:pPr>
      <w:r w:rsidRPr="00234304">
        <w:t>Select an outlet to access the transfer log.</w:t>
      </w:r>
    </w:p>
    <w:p w14:paraId="318EFA44" w14:textId="1F2BE9EB" w:rsidR="00234304" w:rsidRPr="00F43310" w:rsidRDefault="00D64E8B" w:rsidP="00ED1342">
      <w:pPr>
        <w:widowControl w:val="0"/>
        <w:spacing w:line="276" w:lineRule="auto"/>
      </w:pPr>
      <w:r>
        <w:rPr>
          <w:noProof/>
          <w:lang w:eastAsia="en-AU"/>
        </w:rPr>
        <w:drawing>
          <wp:inline distT="0" distB="0" distL="0" distR="0" wp14:anchorId="72B9A81F" wp14:editId="63D0FBBE">
            <wp:extent cx="2080895" cy="2105025"/>
            <wp:effectExtent l="19050" t="19050" r="14605" b="28575"/>
            <wp:docPr id="5156" name="Picture 5156" descr="View Outlets page showing an example of an out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Picture 5156" descr="View Outlets page showing an example of an outlet car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8946" cy="2113169"/>
                    </a:xfrm>
                    <a:prstGeom prst="rect">
                      <a:avLst/>
                    </a:prstGeom>
                    <a:noFill/>
                    <a:ln>
                      <a:solidFill>
                        <a:schemeClr val="tx1"/>
                      </a:solidFill>
                    </a:ln>
                  </pic:spPr>
                </pic:pic>
              </a:graphicData>
            </a:graphic>
          </wp:inline>
        </w:drawing>
      </w:r>
    </w:p>
    <w:p w14:paraId="3962D1C3" w14:textId="58C8914B" w:rsidR="00A6231B" w:rsidRPr="00F43310" w:rsidRDefault="0071587B" w:rsidP="0071587B">
      <w:pPr>
        <w:pStyle w:val="ListNumber"/>
        <w:keepNext w:val="0"/>
        <w:widowControl w:val="0"/>
        <w:numPr>
          <w:ilvl w:val="0"/>
          <w:numId w:val="8"/>
        </w:numPr>
        <w:spacing w:line="276" w:lineRule="auto"/>
        <w:ind w:left="0" w:firstLine="0"/>
      </w:pPr>
      <w:r>
        <w:t>Select</w:t>
      </w:r>
      <w:r w:rsidRPr="00922AEC">
        <w:t xml:space="preserve"> the </w:t>
      </w:r>
      <w:r w:rsidRPr="0071587B">
        <w:rPr>
          <w:b/>
          <w:bCs/>
        </w:rPr>
        <w:t>View service items</w:t>
      </w:r>
      <w:r w:rsidRPr="00922AEC">
        <w:t xml:space="preserve"> button</w:t>
      </w:r>
      <w:r>
        <w:t xml:space="preserve"> f</w:t>
      </w:r>
      <w:r w:rsidR="00A6231B" w:rsidRPr="00922AEC">
        <w:t xml:space="preserve">rom the </w:t>
      </w:r>
      <w:r w:rsidR="00A6231B" w:rsidRPr="0071587B">
        <w:rPr>
          <w:b/>
          <w:bCs/>
        </w:rPr>
        <w:t>View outlet</w:t>
      </w:r>
      <w:r w:rsidR="00A6231B" w:rsidRPr="00922AEC">
        <w:t xml:space="preserve"> page</w:t>
      </w:r>
      <w:r>
        <w:t>.</w:t>
      </w:r>
      <w:r w:rsidR="003A3D37">
        <w:rPr>
          <w:noProof/>
        </w:rPr>
        <w:drawing>
          <wp:inline distT="0" distB="0" distL="0" distR="0" wp14:anchorId="40EFDE24" wp14:editId="533ACEC9">
            <wp:extent cx="4988560" cy="2967598"/>
            <wp:effectExtent l="19050" t="19050" r="21590" b="23495"/>
            <wp:docPr id="156984309" name="Picture 5"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4309" name="Picture 5" descr="Example View Outlet page showing the View Service Items button at the bottom left"/>
                    <pic:cNvPicPr/>
                  </pic:nvPicPr>
                  <pic:blipFill>
                    <a:blip r:embed="rId16"/>
                    <a:stretch>
                      <a:fillRect/>
                    </a:stretch>
                  </pic:blipFill>
                  <pic:spPr>
                    <a:xfrm>
                      <a:off x="0" y="0"/>
                      <a:ext cx="4996349" cy="2972231"/>
                    </a:xfrm>
                    <a:prstGeom prst="rect">
                      <a:avLst/>
                    </a:prstGeom>
                    <a:ln>
                      <a:solidFill>
                        <a:schemeClr val="tx1"/>
                      </a:solidFill>
                    </a:ln>
                  </pic:spPr>
                </pic:pic>
              </a:graphicData>
            </a:graphic>
          </wp:inline>
        </w:drawing>
      </w:r>
    </w:p>
    <w:p w14:paraId="6B9B8D67" w14:textId="7D7F34A3" w:rsidR="004E752C" w:rsidRDefault="004E752C" w:rsidP="007F342F">
      <w:pPr>
        <w:pStyle w:val="ListNumber"/>
        <w:keepNext w:val="0"/>
        <w:widowControl w:val="0"/>
        <w:numPr>
          <w:ilvl w:val="0"/>
          <w:numId w:val="8"/>
        </w:numPr>
        <w:spacing w:line="276" w:lineRule="auto"/>
        <w:ind w:left="426" w:hanging="426"/>
      </w:pPr>
      <w:r>
        <w:lastRenderedPageBreak/>
        <w:t xml:space="preserve">Select the </w:t>
      </w:r>
      <w:r w:rsidRPr="0071587B">
        <w:rPr>
          <w:b/>
          <w:bCs/>
        </w:rPr>
        <w:t>View Transfer Logs</w:t>
      </w:r>
      <w:r>
        <w:t xml:space="preserve"> button at the top right of the screen.</w:t>
      </w:r>
    </w:p>
    <w:p w14:paraId="47144328" w14:textId="5B30C276" w:rsidR="004E752C" w:rsidRPr="00F43310" w:rsidRDefault="00171050" w:rsidP="00ED1342">
      <w:pPr>
        <w:widowControl w:val="0"/>
        <w:spacing w:line="276" w:lineRule="auto"/>
      </w:pPr>
      <w:r>
        <w:rPr>
          <w:noProof/>
          <w:lang w:eastAsia="en-AU"/>
        </w:rPr>
        <w:drawing>
          <wp:inline distT="0" distB="0" distL="0" distR="0" wp14:anchorId="78A0FD15" wp14:editId="3039E79C">
            <wp:extent cx="5400000" cy="427488"/>
            <wp:effectExtent l="19050" t="19050" r="10795" b="10795"/>
            <wp:docPr id="14" name="Picture 14" descr="The 'View Transfer Lo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View Transfer Logs' button."/>
                    <pic:cNvPicPr/>
                  </pic:nvPicPr>
                  <pic:blipFill rotWithShape="1">
                    <a:blip r:embed="rId27"/>
                    <a:srcRect t="49213"/>
                    <a:stretch/>
                  </pic:blipFill>
                  <pic:spPr bwMode="auto">
                    <a:xfrm>
                      <a:off x="0" y="0"/>
                      <a:ext cx="5400000" cy="4274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32D65F" w14:textId="77777777" w:rsidR="004E12E0" w:rsidRPr="00EB66A6" w:rsidRDefault="004E12E0" w:rsidP="007F342F">
      <w:pPr>
        <w:widowControl w:val="0"/>
        <w:spacing w:line="276" w:lineRule="auto"/>
        <w:ind w:left="426"/>
      </w:pPr>
      <w:r>
        <w:t>The transfer log will display information about past and current service and client transfers, including:</w:t>
      </w:r>
    </w:p>
    <w:p w14:paraId="1156CD29" w14:textId="77777777" w:rsidR="004E12E0" w:rsidRPr="00EB66A6" w:rsidRDefault="004E12E0" w:rsidP="007F342F">
      <w:pPr>
        <w:pStyle w:val="ListBullet"/>
        <w:widowControl w:val="0"/>
        <w:spacing w:line="276" w:lineRule="auto"/>
        <w:ind w:left="851" w:hanging="425"/>
      </w:pPr>
      <w:r w:rsidRPr="00EB66A6">
        <w:t>Transfer type (service or person)</w:t>
      </w:r>
    </w:p>
    <w:p w14:paraId="4A095EC8" w14:textId="77777777" w:rsidR="004E12E0" w:rsidRPr="00EB66A6" w:rsidRDefault="004E12E0" w:rsidP="007F342F">
      <w:pPr>
        <w:pStyle w:val="ListBullet"/>
        <w:widowControl w:val="0"/>
        <w:spacing w:line="276" w:lineRule="auto"/>
        <w:ind w:left="851" w:hanging="425"/>
      </w:pPr>
      <w:r w:rsidRPr="00EB66A6">
        <w:t>Transfer date</w:t>
      </w:r>
    </w:p>
    <w:p w14:paraId="64860408" w14:textId="77777777" w:rsidR="004E12E0" w:rsidRPr="00EB66A6" w:rsidRDefault="004E12E0" w:rsidP="007F342F">
      <w:pPr>
        <w:pStyle w:val="ListBullet"/>
        <w:widowControl w:val="0"/>
        <w:spacing w:line="276" w:lineRule="auto"/>
        <w:ind w:left="851" w:hanging="425"/>
      </w:pPr>
      <w:r w:rsidRPr="00EB66A6">
        <w:t>Status (In progress, completed, completed with errors)</w:t>
      </w:r>
    </w:p>
    <w:p w14:paraId="04559DE5" w14:textId="73659FF8" w:rsidR="004E12E0" w:rsidRDefault="004E12E0" w:rsidP="007F342F">
      <w:pPr>
        <w:widowControl w:val="0"/>
        <w:spacing w:line="276" w:lineRule="auto"/>
        <w:ind w:left="426"/>
      </w:pPr>
      <w:r>
        <w:t xml:space="preserve">For more detailed information about the transfer, </w:t>
      </w:r>
      <w:r w:rsidR="00792C62">
        <w:t xml:space="preserve">select </w:t>
      </w:r>
      <w:r>
        <w:t xml:space="preserve">the </w:t>
      </w:r>
      <w:r w:rsidRPr="0071587B">
        <w:rPr>
          <w:b/>
          <w:bCs/>
        </w:rPr>
        <w:t>magnifying glass</w:t>
      </w:r>
      <w:r>
        <w:t xml:space="preserve"> icon.</w:t>
      </w:r>
    </w:p>
    <w:p w14:paraId="0505524C" w14:textId="662A1A0D" w:rsidR="004E12E0" w:rsidRPr="00F43310" w:rsidRDefault="00E26453" w:rsidP="00ED1342">
      <w:pPr>
        <w:widowControl w:val="0"/>
        <w:spacing w:line="276" w:lineRule="auto"/>
      </w:pPr>
      <w:r>
        <w:rPr>
          <w:noProof/>
          <w:lang w:eastAsia="en-AU"/>
        </w:rPr>
        <w:drawing>
          <wp:inline distT="0" distB="0" distL="0" distR="0" wp14:anchorId="78365DF4" wp14:editId="771E178D">
            <wp:extent cx="5708654" cy="1094718"/>
            <wp:effectExtent l="19050" t="19050" r="6350" b="10795"/>
            <wp:docPr id="30" name="Picture 30" descr="Transfer logs page, showing a magnifying glass icon next to a transfer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ransfer logs page, showing a magnifying glass icon next to a transfer list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8716" cy="1098565"/>
                    </a:xfrm>
                    <a:prstGeom prst="rect">
                      <a:avLst/>
                    </a:prstGeom>
                    <a:noFill/>
                    <a:ln>
                      <a:solidFill>
                        <a:schemeClr val="tx1"/>
                      </a:solidFill>
                    </a:ln>
                  </pic:spPr>
                </pic:pic>
              </a:graphicData>
            </a:graphic>
          </wp:inline>
        </w:drawing>
      </w:r>
    </w:p>
    <w:p w14:paraId="71BF9183" w14:textId="3C54764E" w:rsidR="00AE7FDF" w:rsidRDefault="00AE7FDF" w:rsidP="007F342F">
      <w:pPr>
        <w:widowControl w:val="0"/>
        <w:spacing w:line="276" w:lineRule="auto"/>
        <w:ind w:left="426"/>
      </w:pPr>
      <w:r>
        <w:t xml:space="preserve">If a transfer has not been completed successfully, you can retry by </w:t>
      </w:r>
      <w:r w:rsidR="006D150C">
        <w:t xml:space="preserve">selecting </w:t>
      </w:r>
      <w:r>
        <w:t xml:space="preserve">the magnifying glass icon, selecting the items you want to retry and </w:t>
      </w:r>
      <w:r w:rsidR="006D150C">
        <w:t xml:space="preserve">selecting </w:t>
      </w:r>
      <w:r>
        <w:t>the</w:t>
      </w:r>
      <w:r w:rsidR="0071587B">
        <w:t xml:space="preserve"> </w:t>
      </w:r>
      <w:r w:rsidRPr="0071587B">
        <w:rPr>
          <w:b/>
          <w:bCs/>
        </w:rPr>
        <w:t>Retry Selected</w:t>
      </w:r>
      <w:r>
        <w:t xml:space="preserve"> button.</w:t>
      </w:r>
    </w:p>
    <w:p w14:paraId="17CA4EA7" w14:textId="47380F8B" w:rsidR="00F82419" w:rsidRPr="00F43310" w:rsidRDefault="00F82419" w:rsidP="00ED1342">
      <w:pPr>
        <w:widowControl w:val="0"/>
        <w:spacing w:line="276" w:lineRule="auto"/>
      </w:pPr>
      <w:r>
        <w:rPr>
          <w:noProof/>
          <w:lang w:eastAsia="en-AU"/>
        </w:rPr>
        <w:drawing>
          <wp:inline distT="0" distB="0" distL="0" distR="0" wp14:anchorId="4CB92E26" wp14:editId="7160A6FA">
            <wp:extent cx="5725796" cy="1523062"/>
            <wp:effectExtent l="19050" t="19050" r="27305" b="20320"/>
            <wp:docPr id="29" name="Picture 29" descr="Transfer logs page, showing details of a transfer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ransfer logs page, showing details of a transfer list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7088" cy="1526066"/>
                    </a:xfrm>
                    <a:prstGeom prst="rect">
                      <a:avLst/>
                    </a:prstGeom>
                    <a:noFill/>
                    <a:ln>
                      <a:solidFill>
                        <a:schemeClr val="tx1"/>
                      </a:solidFill>
                    </a:ln>
                  </pic:spPr>
                </pic:pic>
              </a:graphicData>
            </a:graphic>
          </wp:inline>
        </w:drawing>
      </w:r>
    </w:p>
    <w:p w14:paraId="00A0A699" w14:textId="16A1F34D" w:rsidR="004522C1" w:rsidRDefault="0040141B" w:rsidP="00ED1342">
      <w:pPr>
        <w:pStyle w:val="Heading2"/>
        <w:keepNext w:val="0"/>
        <w:keepLines w:val="0"/>
        <w:widowControl w:val="0"/>
        <w:spacing w:line="259" w:lineRule="auto"/>
        <w:rPr>
          <w:sz w:val="28"/>
          <w:szCs w:val="28"/>
        </w:rPr>
      </w:pPr>
      <w:bookmarkStart w:id="11" w:name="_Toc211857062"/>
      <w:r>
        <w:rPr>
          <w:sz w:val="28"/>
          <w:szCs w:val="28"/>
        </w:rPr>
        <w:t>For more information or suppor</w:t>
      </w:r>
      <w:r w:rsidR="00CC4231">
        <w:rPr>
          <w:sz w:val="28"/>
          <w:szCs w:val="28"/>
        </w:rPr>
        <w:t>t</w:t>
      </w:r>
      <w:bookmarkEnd w:id="11"/>
    </w:p>
    <w:p w14:paraId="312CD3D0" w14:textId="0500F800" w:rsidR="0040141B" w:rsidRDefault="0040141B" w:rsidP="00ED1342">
      <w:pPr>
        <w:widowControl w:val="0"/>
        <w:spacing w:line="276" w:lineRule="auto"/>
        <w:rPr>
          <w:rFonts w:eastAsia="Calibri"/>
        </w:rPr>
      </w:pPr>
      <w:r w:rsidRPr="00006FEF">
        <w:rPr>
          <w:rFonts w:eastAsia="Calibri"/>
        </w:rPr>
        <w:t xml:space="preserve">Further information is available </w:t>
      </w:r>
      <w:r>
        <w:rPr>
          <w:rFonts w:eastAsia="Calibri"/>
        </w:rPr>
        <w:t>in</w:t>
      </w:r>
      <w:r w:rsidRPr="00006FEF">
        <w:rPr>
          <w:rFonts w:eastAsia="Calibri"/>
        </w:rPr>
        <w:t xml:space="preserve"> the </w:t>
      </w:r>
      <w:r w:rsidRPr="00EB66A6">
        <w:rPr>
          <w:rFonts w:eastAsia="Calibri"/>
        </w:rPr>
        <w:t xml:space="preserve">My Aged Care </w:t>
      </w:r>
      <w:r w:rsidR="0039616B" w:rsidRPr="00EB66A6">
        <w:rPr>
          <w:rFonts w:eastAsia="Calibri"/>
        </w:rPr>
        <w:t xml:space="preserve">- </w:t>
      </w:r>
      <w:r w:rsidRPr="00EB66A6">
        <w:rPr>
          <w:rFonts w:eastAsia="Calibri"/>
        </w:rPr>
        <w:t xml:space="preserve">Service and Support Portal Resources </w:t>
      </w:r>
      <w:r>
        <w:rPr>
          <w:rFonts w:eastAsia="Calibri"/>
        </w:rPr>
        <w:t xml:space="preserve">available on the department’s </w:t>
      </w:r>
      <w:hyperlink r:id="rId41" w:history="1">
        <w:r w:rsidRPr="007D41FD">
          <w:rPr>
            <w:rStyle w:val="Hyperlink"/>
            <w:rFonts w:eastAsia="Calibri"/>
          </w:rPr>
          <w:t>website</w:t>
        </w:r>
      </w:hyperlink>
      <w:r w:rsidR="00EB66A6">
        <w:rPr>
          <w:rFonts w:eastAsia="Calibri"/>
        </w:rPr>
        <w:t>.</w:t>
      </w:r>
    </w:p>
    <w:p w14:paraId="4EB314EF" w14:textId="6CA3BD85" w:rsidR="00C03B77" w:rsidRPr="00F43310" w:rsidRDefault="0040141B" w:rsidP="00ED1342">
      <w:pPr>
        <w:widowControl w:val="0"/>
        <w:spacing w:line="276" w:lineRule="auto"/>
        <w:rPr>
          <w:rFonts w:eastAsia="Calibri"/>
        </w:rPr>
      </w:pPr>
      <w:r w:rsidRPr="00006FEF">
        <w:rPr>
          <w:rFonts w:eastAsia="Calibri"/>
        </w:rPr>
        <w:t xml:space="preserve">The My Aged Care </w:t>
      </w:r>
      <w:r>
        <w:rPr>
          <w:rFonts w:eastAsia="Calibri"/>
        </w:rPr>
        <w:t>S</w:t>
      </w:r>
      <w:r w:rsidRPr="00006FEF">
        <w:rPr>
          <w:rFonts w:eastAsia="Calibri"/>
        </w:rPr>
        <w:t xml:space="preserve">ervice </w:t>
      </w:r>
      <w:r>
        <w:rPr>
          <w:rFonts w:eastAsia="Calibri"/>
        </w:rPr>
        <w:t>P</w:t>
      </w:r>
      <w:r w:rsidRPr="00006FEF">
        <w:rPr>
          <w:rFonts w:eastAsia="Calibri"/>
        </w:rPr>
        <w:t xml:space="preserve">rovider and </w:t>
      </w:r>
      <w:r>
        <w:rPr>
          <w:rFonts w:eastAsia="Calibri"/>
        </w:rPr>
        <w:t>A</w:t>
      </w:r>
      <w:r w:rsidRPr="00006FEF">
        <w:rPr>
          <w:rFonts w:eastAsia="Calibri"/>
        </w:rPr>
        <w:t xml:space="preserve">ssessor helpline is available </w:t>
      </w:r>
      <w:r>
        <w:rPr>
          <w:rFonts w:eastAsia="Calibri"/>
        </w:rPr>
        <w:t>on</w:t>
      </w:r>
      <w:r w:rsidRPr="00006FEF">
        <w:rPr>
          <w:rFonts w:eastAsia="Calibri"/>
        </w:rPr>
        <w:t xml:space="preserve"> 1800</w:t>
      </w:r>
      <w:r>
        <w:rPr>
          <w:rFonts w:eastAsia="Calibri"/>
        </w:rPr>
        <w:t> </w:t>
      </w:r>
      <w:r w:rsidRPr="00006FEF">
        <w:rPr>
          <w:rFonts w:eastAsia="Calibri"/>
        </w:rPr>
        <w:t>836</w:t>
      </w:r>
      <w:r>
        <w:rPr>
          <w:rFonts w:eastAsia="Calibri"/>
        </w:rPr>
        <w:t> </w:t>
      </w:r>
      <w:r w:rsidRPr="00006FEF">
        <w:rPr>
          <w:rFonts w:eastAsia="Calibri"/>
        </w:rPr>
        <w:t>799</w:t>
      </w:r>
      <w:r w:rsidRPr="00F43310">
        <w:rPr>
          <w:rFonts w:eastAsia="Calibri"/>
        </w:rPr>
        <w:t>.</w:t>
      </w:r>
    </w:p>
    <w:sectPr w:rsidR="00C03B77" w:rsidRPr="00F43310" w:rsidSect="00BA6216">
      <w:headerReference w:type="even" r:id="rId42"/>
      <w:headerReference w:type="default" r:id="rId43"/>
      <w:footerReference w:type="even" r:id="rId44"/>
      <w:footerReference w:type="default" r:id="rId45"/>
      <w:headerReference w:type="first" r:id="rId46"/>
      <w:footerReference w:type="first" r:id="rId47"/>
      <w:pgSz w:w="11900" w:h="16840"/>
      <w:pgMar w:top="1418" w:right="1418" w:bottom="1134"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1DC7C" w14:textId="77777777" w:rsidR="00C2565D" w:rsidRDefault="00C2565D" w:rsidP="00F15E50">
      <w:pPr>
        <w:spacing w:before="0" w:line="240" w:lineRule="auto"/>
      </w:pPr>
      <w:r>
        <w:separator/>
      </w:r>
    </w:p>
  </w:endnote>
  <w:endnote w:type="continuationSeparator" w:id="0">
    <w:p w14:paraId="21F2C96F" w14:textId="77777777" w:rsidR="00C2565D" w:rsidRDefault="00C2565D" w:rsidP="00F15E5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DDF30" w14:textId="2C7B13BC" w:rsidR="0065338A" w:rsidRDefault="00F4011D">
    <w:pPr>
      <w:pStyle w:val="Footer"/>
    </w:pPr>
    <w:r>
      <w:rPr>
        <w:noProof/>
      </w:rPr>
      <mc:AlternateContent>
        <mc:Choice Requires="wps">
          <w:drawing>
            <wp:anchor distT="0" distB="0" distL="0" distR="0" simplePos="0" relativeHeight="251658247" behindDoc="0" locked="0" layoutInCell="1" allowOverlap="1" wp14:anchorId="08B0E858" wp14:editId="5EBD9FB5">
              <wp:simplePos x="635" y="635"/>
              <wp:positionH relativeFrom="page">
                <wp:align>center</wp:align>
              </wp:positionH>
              <wp:positionV relativeFrom="page">
                <wp:align>bottom</wp:align>
              </wp:positionV>
              <wp:extent cx="551815" cy="467360"/>
              <wp:effectExtent l="0" t="0" r="635" b="0"/>
              <wp:wrapNone/>
              <wp:docPr id="79243608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52541B5A" w14:textId="7FAA284E" w:rsidR="00F4011D" w:rsidRPr="00F4011D" w:rsidRDefault="00F4011D" w:rsidP="00F4011D">
                          <w:pPr>
                            <w:spacing w:after="0"/>
                            <w:rPr>
                              <w:rFonts w:ascii="Calibri" w:eastAsia="Calibri" w:hAnsi="Calibri" w:cs="Calibri"/>
                              <w:noProof/>
                              <w:color w:val="FF0000"/>
                              <w:sz w:val="24"/>
                            </w:rPr>
                          </w:pPr>
                          <w:r w:rsidRPr="00F4011D">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8B0E858">
              <v:stroke joinstyle="miter"/>
              <v:path gradientshapeok="t" o:connecttype="rect"/>
            </v:shapetype>
            <v:shape id="Text Box 5" style="position:absolute;margin-left:0;margin-top:0;width:43.45pt;height:36.8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">
              <v:textbox style="mso-fit-shape-to-text:t" inset="0,0,0,15pt">
                <w:txbxContent>
                  <w:p w:rsidRPr="00F4011D" w:rsidR="00F4011D" w:rsidP="00F4011D" w:rsidRDefault="00F4011D" w14:paraId="52541B5A" w14:textId="7FAA284E">
                    <w:pPr>
                      <w:spacing w:after="0"/>
                      <w:rPr>
                        <w:rFonts w:ascii="Calibri" w:hAnsi="Calibri" w:eastAsia="Calibri" w:cs="Calibri"/>
                        <w:noProof/>
                        <w:color w:val="FF0000"/>
                        <w:sz w:val="24"/>
                      </w:rPr>
                    </w:pPr>
                    <w:r w:rsidRPr="00F4011D">
                      <w:rPr>
                        <w:rFonts w:ascii="Calibri" w:hAnsi="Calibri"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5EDA3697"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EA6A87">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148F565"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85EB9" w14:textId="77777777" w:rsidR="00C2565D" w:rsidRDefault="00C2565D" w:rsidP="00F15E50">
      <w:pPr>
        <w:spacing w:before="0" w:line="240" w:lineRule="auto"/>
      </w:pPr>
      <w:r>
        <w:separator/>
      </w:r>
    </w:p>
  </w:footnote>
  <w:footnote w:type="continuationSeparator" w:id="0">
    <w:p w14:paraId="184990B5" w14:textId="77777777" w:rsidR="00C2565D" w:rsidRDefault="00C2565D" w:rsidP="00F15E5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C869D" w14:textId="7B7B4D04" w:rsidR="0065338A" w:rsidRDefault="00F4011D">
    <w:pPr>
      <w:pStyle w:val="Header"/>
    </w:pPr>
    <w:r>
      <w:rPr>
        <w:noProof/>
      </w:rPr>
      <mc:AlternateContent>
        <mc:Choice Requires="wps">
          <w:drawing>
            <wp:anchor distT="0" distB="0" distL="0" distR="0" simplePos="0" relativeHeight="251658244" behindDoc="0" locked="0" layoutInCell="1" allowOverlap="1" wp14:anchorId="44468ED6" wp14:editId="7A15F476">
              <wp:simplePos x="635" y="635"/>
              <wp:positionH relativeFrom="page">
                <wp:align>center</wp:align>
              </wp:positionH>
              <wp:positionV relativeFrom="page">
                <wp:align>top</wp:align>
              </wp:positionV>
              <wp:extent cx="551815" cy="467360"/>
              <wp:effectExtent l="0" t="0" r="635" b="8890"/>
              <wp:wrapNone/>
              <wp:docPr id="31866640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46D4A25B" w14:textId="66655E8A" w:rsidR="00F4011D" w:rsidRPr="00F4011D" w:rsidRDefault="00F4011D" w:rsidP="00F4011D">
                          <w:pPr>
                            <w:spacing w:after="0"/>
                            <w:rPr>
                              <w:rFonts w:ascii="Calibri" w:eastAsia="Calibri" w:hAnsi="Calibri" w:cs="Calibri"/>
                              <w:noProof/>
                              <w:color w:val="FF0000"/>
                              <w:sz w:val="24"/>
                            </w:rPr>
                          </w:pPr>
                          <w:r w:rsidRPr="00F4011D">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44468ED6">
              <v:stroke joinstyle="miter"/>
              <v:path gradientshapeok="t" o:connecttype="rect"/>
            </v:shapetype>
            <v:shape id="Text Box 2" style="position:absolute;margin-left:0;margin-top:0;width:43.45pt;height:36.8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">
              <v:textbox style="mso-fit-shape-to-text:t" inset="0,15pt,0,0">
                <w:txbxContent>
                  <w:p w:rsidRPr="00F4011D" w:rsidR="00F4011D" w:rsidP="00F4011D" w:rsidRDefault="00F4011D" w14:paraId="46D4A25B" w14:textId="66655E8A">
                    <w:pPr>
                      <w:spacing w:after="0"/>
                      <w:rPr>
                        <w:rFonts w:ascii="Calibri" w:hAnsi="Calibri" w:eastAsia="Calibri" w:cs="Calibri"/>
                        <w:noProof/>
                        <w:color w:val="FF0000"/>
                        <w:sz w:val="24"/>
                      </w:rPr>
                    </w:pPr>
                    <w:r w:rsidRPr="00F4011D">
                      <w:rPr>
                        <w:rFonts w:ascii="Calibri" w:hAnsi="Calibri"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66FAE746" w:rsidR="007E5B2E" w:rsidRDefault="007E5B2E">
    <w:pPr>
      <w:pStyle w:val="Header"/>
    </w:pPr>
    <w:r>
      <w:rPr>
        <w:noProof/>
        <w:lang w:eastAsia="en-AU"/>
      </w:rPr>
      <w:drawing>
        <wp:anchor distT="0" distB="0" distL="114300" distR="114300" simplePos="0" relativeHeight="251658241" behindDoc="1" locked="0" layoutInCell="1" allowOverlap="1" wp14:anchorId="5EE03827" wp14:editId="4287627D">
          <wp:simplePos x="0" y="0"/>
          <wp:positionH relativeFrom="page">
            <wp:posOffset>0</wp:posOffset>
          </wp:positionH>
          <wp:positionV relativeFrom="page">
            <wp:posOffset>10781665</wp:posOffset>
          </wp:positionV>
          <wp:extent cx="7573645" cy="10713085"/>
          <wp:effectExtent l="0" t="0" r="8255" b="0"/>
          <wp:wrapNone/>
          <wp:docPr id="1352809927" name="Picture 1352809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26F96FEA">
          <wp:simplePos x="0" y="0"/>
          <wp:positionH relativeFrom="page">
            <wp:align>left</wp:align>
          </wp:positionH>
          <wp:positionV relativeFrom="page">
            <wp:align>top</wp:align>
          </wp:positionV>
          <wp:extent cx="7574400" cy="10713600"/>
          <wp:effectExtent l="0" t="0" r="7620" b="0"/>
          <wp:wrapNone/>
          <wp:docPr id="743185542" name="Picture 743185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53A98B47"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2A510566">
          <wp:simplePos x="0" y="0"/>
          <wp:positionH relativeFrom="page">
            <wp:align>left</wp:align>
          </wp:positionH>
          <wp:positionV relativeFrom="page">
            <wp:align>top</wp:align>
          </wp:positionV>
          <wp:extent cx="7574400" cy="10713600"/>
          <wp:effectExtent l="0" t="0" r="7620" b="0"/>
          <wp:wrapNone/>
          <wp:docPr id="1384069443" name="Picture 1384069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76794"/>
    <w:multiLevelType w:val="hybridMultilevel"/>
    <w:tmpl w:val="48928EB0"/>
    <w:lvl w:ilvl="0" w:tplc="8CB0A066">
      <w:start w:val="1"/>
      <w:numFmt w:val="decimal"/>
      <w:pStyle w:val="ListNumber"/>
      <w:lvlText w:val="%1."/>
      <w:lvlJc w:val="left"/>
      <w:pPr>
        <w:ind w:left="720" w:hanging="360"/>
      </w:pPr>
      <w:rPr>
        <w:rFonts w:hint="default"/>
        <w:b/>
        <w:i w:val="0"/>
        <w:color w:val="4472C4" w:themeColor="accen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746F5F"/>
    <w:multiLevelType w:val="hybridMultilevel"/>
    <w:tmpl w:val="80665372"/>
    <w:lvl w:ilvl="0" w:tplc="604A5E28">
      <w:start w:val="1"/>
      <w:numFmt w:val="bullet"/>
      <w:pStyle w:val="List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F16023B"/>
    <w:multiLevelType w:val="hybridMultilevel"/>
    <w:tmpl w:val="A2562C8E"/>
    <w:lvl w:ilvl="0" w:tplc="4A4815E6">
      <w:start w:val="1"/>
      <w:numFmt w:val="bullet"/>
      <w:pStyle w:val="Introparagraphlistbullet"/>
      <w:lvlText w:val=""/>
      <w:lvlJc w:val="left"/>
      <w:pPr>
        <w:ind w:left="720" w:hanging="360"/>
      </w:pPr>
      <w:rPr>
        <w:rFonts w:ascii="Symbol" w:hAnsi="Symbol" w:hint="default"/>
        <w:color w:val="44546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3870AA"/>
    <w:multiLevelType w:val="hybridMultilevel"/>
    <w:tmpl w:val="ABA8FC8E"/>
    <w:lvl w:ilvl="0" w:tplc="6E00798E">
      <w:start w:val="1"/>
      <w:numFmt w:val="bullet"/>
      <w:pStyle w:val="IntenseQuot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5155894"/>
    <w:multiLevelType w:val="hybridMultilevel"/>
    <w:tmpl w:val="C3681592"/>
    <w:lvl w:ilvl="0" w:tplc="5148BBEA">
      <w:start w:val="1"/>
      <w:numFmt w:val="decimal"/>
      <w:lvlText w:val="%1."/>
      <w:lvlJc w:val="left"/>
      <w:pPr>
        <w:ind w:left="720" w:hanging="360"/>
      </w:pPr>
      <w:rPr>
        <w:rFonts w:hint="default"/>
        <w:b/>
        <w:i w:val="0"/>
        <w:color w:val="4472C4" w:themeColor="accen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0115602">
    <w:abstractNumId w:val="5"/>
  </w:num>
  <w:num w:numId="2" w16cid:durableId="1284119891">
    <w:abstractNumId w:val="3"/>
  </w:num>
  <w:num w:numId="3" w16cid:durableId="1890721031">
    <w:abstractNumId w:val="2"/>
  </w:num>
  <w:num w:numId="4" w16cid:durableId="628975777">
    <w:abstractNumId w:val="1"/>
  </w:num>
  <w:num w:numId="5" w16cid:durableId="680086912">
    <w:abstractNumId w:val="4"/>
    <w:lvlOverride w:ilvl="0">
      <w:startOverride w:val="1"/>
    </w:lvlOverride>
  </w:num>
  <w:num w:numId="6" w16cid:durableId="1657220987">
    <w:abstractNumId w:val="0"/>
  </w:num>
  <w:num w:numId="7" w16cid:durableId="872158166">
    <w:abstractNumId w:val="0"/>
    <w:lvlOverride w:ilvl="0">
      <w:startOverride w:val="1"/>
    </w:lvlOverride>
  </w:num>
  <w:num w:numId="8" w16cid:durableId="2112243456">
    <w:abstractNumId w:val="0"/>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51F8"/>
    <w:rsid w:val="00007BBF"/>
    <w:rsid w:val="00031F31"/>
    <w:rsid w:val="00032160"/>
    <w:rsid w:val="00032238"/>
    <w:rsid w:val="0004768F"/>
    <w:rsid w:val="00050B21"/>
    <w:rsid w:val="000520F4"/>
    <w:rsid w:val="00055894"/>
    <w:rsid w:val="000572BF"/>
    <w:rsid w:val="00057707"/>
    <w:rsid w:val="00060C34"/>
    <w:rsid w:val="00063110"/>
    <w:rsid w:val="000646CE"/>
    <w:rsid w:val="000770A9"/>
    <w:rsid w:val="00080CF9"/>
    <w:rsid w:val="00082569"/>
    <w:rsid w:val="0008333A"/>
    <w:rsid w:val="00083CB9"/>
    <w:rsid w:val="00093E61"/>
    <w:rsid w:val="0009473B"/>
    <w:rsid w:val="0009562A"/>
    <w:rsid w:val="00097F83"/>
    <w:rsid w:val="000A59AF"/>
    <w:rsid w:val="000C126D"/>
    <w:rsid w:val="000C3E9B"/>
    <w:rsid w:val="000C7C99"/>
    <w:rsid w:val="000D1D6A"/>
    <w:rsid w:val="000D2A14"/>
    <w:rsid w:val="000E5297"/>
    <w:rsid w:val="000E6E6C"/>
    <w:rsid w:val="000F02D6"/>
    <w:rsid w:val="000F50C9"/>
    <w:rsid w:val="000F714E"/>
    <w:rsid w:val="0010427F"/>
    <w:rsid w:val="00106B02"/>
    <w:rsid w:val="00110198"/>
    <w:rsid w:val="001108B0"/>
    <w:rsid w:val="001229F6"/>
    <w:rsid w:val="001311C8"/>
    <w:rsid w:val="00133B48"/>
    <w:rsid w:val="001363BC"/>
    <w:rsid w:val="00137FCC"/>
    <w:rsid w:val="00140F61"/>
    <w:rsid w:val="001521BF"/>
    <w:rsid w:val="00153203"/>
    <w:rsid w:val="001611D8"/>
    <w:rsid w:val="00170575"/>
    <w:rsid w:val="00171050"/>
    <w:rsid w:val="00171A29"/>
    <w:rsid w:val="00173A6E"/>
    <w:rsid w:val="00175B86"/>
    <w:rsid w:val="00176010"/>
    <w:rsid w:val="00184D75"/>
    <w:rsid w:val="001874A2"/>
    <w:rsid w:val="00187F06"/>
    <w:rsid w:val="0019009B"/>
    <w:rsid w:val="001912B2"/>
    <w:rsid w:val="001C03D1"/>
    <w:rsid w:val="001C1C93"/>
    <w:rsid w:val="001D3B66"/>
    <w:rsid w:val="001D59AD"/>
    <w:rsid w:val="001D617F"/>
    <w:rsid w:val="001F15DE"/>
    <w:rsid w:val="001F275E"/>
    <w:rsid w:val="001F37A3"/>
    <w:rsid w:val="0021516C"/>
    <w:rsid w:val="00220628"/>
    <w:rsid w:val="002216A1"/>
    <w:rsid w:val="002237CD"/>
    <w:rsid w:val="002249A7"/>
    <w:rsid w:val="00234304"/>
    <w:rsid w:val="00235430"/>
    <w:rsid w:val="0024542B"/>
    <w:rsid w:val="00255B62"/>
    <w:rsid w:val="002733B8"/>
    <w:rsid w:val="00280458"/>
    <w:rsid w:val="0028138A"/>
    <w:rsid w:val="00287ACD"/>
    <w:rsid w:val="002963FF"/>
    <w:rsid w:val="00296507"/>
    <w:rsid w:val="002A1C58"/>
    <w:rsid w:val="002A312D"/>
    <w:rsid w:val="002A3A45"/>
    <w:rsid w:val="002A4FAB"/>
    <w:rsid w:val="002A71B0"/>
    <w:rsid w:val="002B2143"/>
    <w:rsid w:val="002B629F"/>
    <w:rsid w:val="002C09FA"/>
    <w:rsid w:val="002C5EFE"/>
    <w:rsid w:val="002C6107"/>
    <w:rsid w:val="002C7C3E"/>
    <w:rsid w:val="002D1F43"/>
    <w:rsid w:val="002E28C3"/>
    <w:rsid w:val="002E3163"/>
    <w:rsid w:val="002E57BB"/>
    <w:rsid w:val="002E5EA1"/>
    <w:rsid w:val="002F2D4D"/>
    <w:rsid w:val="0030756E"/>
    <w:rsid w:val="003115AC"/>
    <w:rsid w:val="00312DDD"/>
    <w:rsid w:val="0032462C"/>
    <w:rsid w:val="00326CE3"/>
    <w:rsid w:val="0033298B"/>
    <w:rsid w:val="00332C9E"/>
    <w:rsid w:val="00335153"/>
    <w:rsid w:val="0033600D"/>
    <w:rsid w:val="00340D8E"/>
    <w:rsid w:val="00344BBC"/>
    <w:rsid w:val="00352F69"/>
    <w:rsid w:val="003570D0"/>
    <w:rsid w:val="003571BE"/>
    <w:rsid w:val="00361A9E"/>
    <w:rsid w:val="003751E9"/>
    <w:rsid w:val="00396108"/>
    <w:rsid w:val="0039616B"/>
    <w:rsid w:val="003A3D37"/>
    <w:rsid w:val="003B0C74"/>
    <w:rsid w:val="003B1E80"/>
    <w:rsid w:val="003B6A3E"/>
    <w:rsid w:val="003D0FD3"/>
    <w:rsid w:val="003D7561"/>
    <w:rsid w:val="003F0EDE"/>
    <w:rsid w:val="003F4AF0"/>
    <w:rsid w:val="00400F32"/>
    <w:rsid w:val="0040141B"/>
    <w:rsid w:val="00411ADF"/>
    <w:rsid w:val="0041384D"/>
    <w:rsid w:val="004158D8"/>
    <w:rsid w:val="00434567"/>
    <w:rsid w:val="004346C4"/>
    <w:rsid w:val="00441C2B"/>
    <w:rsid w:val="004522C1"/>
    <w:rsid w:val="0045797B"/>
    <w:rsid w:val="00461E3E"/>
    <w:rsid w:val="00463EAA"/>
    <w:rsid w:val="00474194"/>
    <w:rsid w:val="00474D71"/>
    <w:rsid w:val="004758A2"/>
    <w:rsid w:val="00477442"/>
    <w:rsid w:val="00480CD9"/>
    <w:rsid w:val="0048373F"/>
    <w:rsid w:val="00487A9E"/>
    <w:rsid w:val="00490588"/>
    <w:rsid w:val="004976ED"/>
    <w:rsid w:val="004A55CC"/>
    <w:rsid w:val="004A7FB6"/>
    <w:rsid w:val="004B402B"/>
    <w:rsid w:val="004B4E46"/>
    <w:rsid w:val="004C5196"/>
    <w:rsid w:val="004D1E6E"/>
    <w:rsid w:val="004D7B26"/>
    <w:rsid w:val="004E12E0"/>
    <w:rsid w:val="004E2F15"/>
    <w:rsid w:val="004E4208"/>
    <w:rsid w:val="004E752C"/>
    <w:rsid w:val="004F7B29"/>
    <w:rsid w:val="0050046A"/>
    <w:rsid w:val="00501938"/>
    <w:rsid w:val="005048F5"/>
    <w:rsid w:val="0050529D"/>
    <w:rsid w:val="00507FF9"/>
    <w:rsid w:val="005141E0"/>
    <w:rsid w:val="005248FD"/>
    <w:rsid w:val="00530068"/>
    <w:rsid w:val="005305AD"/>
    <w:rsid w:val="0054092B"/>
    <w:rsid w:val="00557B05"/>
    <w:rsid w:val="0056770A"/>
    <w:rsid w:val="00581287"/>
    <w:rsid w:val="00597988"/>
    <w:rsid w:val="005A4441"/>
    <w:rsid w:val="005B74DD"/>
    <w:rsid w:val="005D061D"/>
    <w:rsid w:val="005D12AB"/>
    <w:rsid w:val="005D591C"/>
    <w:rsid w:val="005D60B0"/>
    <w:rsid w:val="005E6A99"/>
    <w:rsid w:val="005F2B6C"/>
    <w:rsid w:val="00610197"/>
    <w:rsid w:val="00612D90"/>
    <w:rsid w:val="00616171"/>
    <w:rsid w:val="00617A41"/>
    <w:rsid w:val="00625BFA"/>
    <w:rsid w:val="006415F6"/>
    <w:rsid w:val="00643318"/>
    <w:rsid w:val="006440C5"/>
    <w:rsid w:val="0065338A"/>
    <w:rsid w:val="00655AE3"/>
    <w:rsid w:val="0067063F"/>
    <w:rsid w:val="00671A5D"/>
    <w:rsid w:val="006743DA"/>
    <w:rsid w:val="006805D3"/>
    <w:rsid w:val="006906DA"/>
    <w:rsid w:val="00694C95"/>
    <w:rsid w:val="00696641"/>
    <w:rsid w:val="006A3BFD"/>
    <w:rsid w:val="006B352B"/>
    <w:rsid w:val="006C70E7"/>
    <w:rsid w:val="006D150C"/>
    <w:rsid w:val="006D184E"/>
    <w:rsid w:val="006D1A93"/>
    <w:rsid w:val="006D241E"/>
    <w:rsid w:val="006D3D1F"/>
    <w:rsid w:val="006E4E6D"/>
    <w:rsid w:val="006F1FCB"/>
    <w:rsid w:val="0070280D"/>
    <w:rsid w:val="007041CF"/>
    <w:rsid w:val="00704D02"/>
    <w:rsid w:val="00710FA3"/>
    <w:rsid w:val="0071587B"/>
    <w:rsid w:val="00727E3B"/>
    <w:rsid w:val="00730EF1"/>
    <w:rsid w:val="0073453D"/>
    <w:rsid w:val="00741235"/>
    <w:rsid w:val="0075034E"/>
    <w:rsid w:val="00755AF3"/>
    <w:rsid w:val="007704CB"/>
    <w:rsid w:val="0078217F"/>
    <w:rsid w:val="007922AC"/>
    <w:rsid w:val="007924C5"/>
    <w:rsid w:val="00792C62"/>
    <w:rsid w:val="007A48AC"/>
    <w:rsid w:val="007A5526"/>
    <w:rsid w:val="007B0029"/>
    <w:rsid w:val="007B5731"/>
    <w:rsid w:val="007C2DB4"/>
    <w:rsid w:val="007C5B56"/>
    <w:rsid w:val="007D435A"/>
    <w:rsid w:val="007D4899"/>
    <w:rsid w:val="007D63BE"/>
    <w:rsid w:val="007D6EDD"/>
    <w:rsid w:val="007E5B2E"/>
    <w:rsid w:val="007E621B"/>
    <w:rsid w:val="007F136F"/>
    <w:rsid w:val="007F342F"/>
    <w:rsid w:val="008074D9"/>
    <w:rsid w:val="00813555"/>
    <w:rsid w:val="00820CEB"/>
    <w:rsid w:val="008261B0"/>
    <w:rsid w:val="00827693"/>
    <w:rsid w:val="00830113"/>
    <w:rsid w:val="00832920"/>
    <w:rsid w:val="008361BB"/>
    <w:rsid w:val="00843974"/>
    <w:rsid w:val="00843DD7"/>
    <w:rsid w:val="00850194"/>
    <w:rsid w:val="00850923"/>
    <w:rsid w:val="00853954"/>
    <w:rsid w:val="008603CF"/>
    <w:rsid w:val="00860F2D"/>
    <w:rsid w:val="00864DC4"/>
    <w:rsid w:val="00867DA8"/>
    <w:rsid w:val="00874077"/>
    <w:rsid w:val="00882168"/>
    <w:rsid w:val="008A1989"/>
    <w:rsid w:val="008A51E4"/>
    <w:rsid w:val="008C0C13"/>
    <w:rsid w:val="008C2CF7"/>
    <w:rsid w:val="008E20B6"/>
    <w:rsid w:val="008E5490"/>
    <w:rsid w:val="008F5768"/>
    <w:rsid w:val="00912BD4"/>
    <w:rsid w:val="00936032"/>
    <w:rsid w:val="0094077E"/>
    <w:rsid w:val="009415F7"/>
    <w:rsid w:val="00941BAB"/>
    <w:rsid w:val="009448FD"/>
    <w:rsid w:val="00947922"/>
    <w:rsid w:val="00952FE7"/>
    <w:rsid w:val="0095327E"/>
    <w:rsid w:val="00962685"/>
    <w:rsid w:val="0096509D"/>
    <w:rsid w:val="009823BB"/>
    <w:rsid w:val="00983D09"/>
    <w:rsid w:val="00985829"/>
    <w:rsid w:val="00991D51"/>
    <w:rsid w:val="009A32D6"/>
    <w:rsid w:val="009A7737"/>
    <w:rsid w:val="009C4D1D"/>
    <w:rsid w:val="009D7A4C"/>
    <w:rsid w:val="009F57F5"/>
    <w:rsid w:val="00A04CBF"/>
    <w:rsid w:val="00A063D8"/>
    <w:rsid w:val="00A11E8C"/>
    <w:rsid w:val="00A40D76"/>
    <w:rsid w:val="00A41839"/>
    <w:rsid w:val="00A476EC"/>
    <w:rsid w:val="00A514AC"/>
    <w:rsid w:val="00A6231B"/>
    <w:rsid w:val="00A85C1E"/>
    <w:rsid w:val="00A86FD5"/>
    <w:rsid w:val="00A87D8B"/>
    <w:rsid w:val="00A904FA"/>
    <w:rsid w:val="00A90839"/>
    <w:rsid w:val="00A978B1"/>
    <w:rsid w:val="00AA1362"/>
    <w:rsid w:val="00AA29B3"/>
    <w:rsid w:val="00AA326E"/>
    <w:rsid w:val="00AA556D"/>
    <w:rsid w:val="00AC06E7"/>
    <w:rsid w:val="00AC48E2"/>
    <w:rsid w:val="00AC66F5"/>
    <w:rsid w:val="00AC7FAE"/>
    <w:rsid w:val="00AD4317"/>
    <w:rsid w:val="00AD7D4A"/>
    <w:rsid w:val="00AE00D9"/>
    <w:rsid w:val="00AE7FDF"/>
    <w:rsid w:val="00AF2CA6"/>
    <w:rsid w:val="00AF4007"/>
    <w:rsid w:val="00B06853"/>
    <w:rsid w:val="00B13901"/>
    <w:rsid w:val="00B152CF"/>
    <w:rsid w:val="00B20547"/>
    <w:rsid w:val="00B21269"/>
    <w:rsid w:val="00B31E43"/>
    <w:rsid w:val="00B320DA"/>
    <w:rsid w:val="00B34BD0"/>
    <w:rsid w:val="00B53650"/>
    <w:rsid w:val="00B73419"/>
    <w:rsid w:val="00B77C64"/>
    <w:rsid w:val="00B90A13"/>
    <w:rsid w:val="00B930EE"/>
    <w:rsid w:val="00B95CB6"/>
    <w:rsid w:val="00BA6216"/>
    <w:rsid w:val="00BA7FA7"/>
    <w:rsid w:val="00BB3440"/>
    <w:rsid w:val="00BB3DCB"/>
    <w:rsid w:val="00BD5731"/>
    <w:rsid w:val="00BD7630"/>
    <w:rsid w:val="00BD7C0C"/>
    <w:rsid w:val="00BE17AD"/>
    <w:rsid w:val="00BE47BF"/>
    <w:rsid w:val="00BF16AB"/>
    <w:rsid w:val="00BF6F6B"/>
    <w:rsid w:val="00BF7BA0"/>
    <w:rsid w:val="00C03B77"/>
    <w:rsid w:val="00C13383"/>
    <w:rsid w:val="00C24523"/>
    <w:rsid w:val="00C2565D"/>
    <w:rsid w:val="00C30257"/>
    <w:rsid w:val="00C3175B"/>
    <w:rsid w:val="00C37D06"/>
    <w:rsid w:val="00C63338"/>
    <w:rsid w:val="00C63F43"/>
    <w:rsid w:val="00C7021C"/>
    <w:rsid w:val="00C72EDD"/>
    <w:rsid w:val="00C74007"/>
    <w:rsid w:val="00C7440B"/>
    <w:rsid w:val="00C7747E"/>
    <w:rsid w:val="00C845B2"/>
    <w:rsid w:val="00C909BE"/>
    <w:rsid w:val="00C92E02"/>
    <w:rsid w:val="00C94E51"/>
    <w:rsid w:val="00CA31CA"/>
    <w:rsid w:val="00CA6699"/>
    <w:rsid w:val="00CB7F3F"/>
    <w:rsid w:val="00CC1951"/>
    <w:rsid w:val="00CC4231"/>
    <w:rsid w:val="00CD0B1A"/>
    <w:rsid w:val="00CD22CF"/>
    <w:rsid w:val="00CE7105"/>
    <w:rsid w:val="00CE7C33"/>
    <w:rsid w:val="00CF6DA1"/>
    <w:rsid w:val="00D07F84"/>
    <w:rsid w:val="00D21DD5"/>
    <w:rsid w:val="00D265AF"/>
    <w:rsid w:val="00D30E75"/>
    <w:rsid w:val="00D401E0"/>
    <w:rsid w:val="00D41115"/>
    <w:rsid w:val="00D5410F"/>
    <w:rsid w:val="00D62661"/>
    <w:rsid w:val="00D64E8B"/>
    <w:rsid w:val="00D65974"/>
    <w:rsid w:val="00D72992"/>
    <w:rsid w:val="00D7461A"/>
    <w:rsid w:val="00D75064"/>
    <w:rsid w:val="00D75349"/>
    <w:rsid w:val="00D76A01"/>
    <w:rsid w:val="00D83B61"/>
    <w:rsid w:val="00D96E3A"/>
    <w:rsid w:val="00D971F5"/>
    <w:rsid w:val="00D97D65"/>
    <w:rsid w:val="00DA429F"/>
    <w:rsid w:val="00DA47D0"/>
    <w:rsid w:val="00DA765C"/>
    <w:rsid w:val="00DC0EFD"/>
    <w:rsid w:val="00DD1915"/>
    <w:rsid w:val="00DD5440"/>
    <w:rsid w:val="00DE65FD"/>
    <w:rsid w:val="00DE7C03"/>
    <w:rsid w:val="00E000A7"/>
    <w:rsid w:val="00E04571"/>
    <w:rsid w:val="00E061EC"/>
    <w:rsid w:val="00E06A0A"/>
    <w:rsid w:val="00E0733E"/>
    <w:rsid w:val="00E1165E"/>
    <w:rsid w:val="00E17AA8"/>
    <w:rsid w:val="00E2043B"/>
    <w:rsid w:val="00E25603"/>
    <w:rsid w:val="00E26453"/>
    <w:rsid w:val="00E318DA"/>
    <w:rsid w:val="00E42147"/>
    <w:rsid w:val="00E42732"/>
    <w:rsid w:val="00E46ADC"/>
    <w:rsid w:val="00E542CB"/>
    <w:rsid w:val="00E6226B"/>
    <w:rsid w:val="00E63F2E"/>
    <w:rsid w:val="00E80091"/>
    <w:rsid w:val="00E834BD"/>
    <w:rsid w:val="00E84837"/>
    <w:rsid w:val="00E85D3B"/>
    <w:rsid w:val="00E93024"/>
    <w:rsid w:val="00E9565D"/>
    <w:rsid w:val="00EA15EE"/>
    <w:rsid w:val="00EA1AE2"/>
    <w:rsid w:val="00EA4CDC"/>
    <w:rsid w:val="00EA6A87"/>
    <w:rsid w:val="00EB0E4F"/>
    <w:rsid w:val="00EB22EB"/>
    <w:rsid w:val="00EB66A6"/>
    <w:rsid w:val="00EC34BE"/>
    <w:rsid w:val="00ED1342"/>
    <w:rsid w:val="00ED136A"/>
    <w:rsid w:val="00ED42EB"/>
    <w:rsid w:val="00ED46E2"/>
    <w:rsid w:val="00EE2EC0"/>
    <w:rsid w:val="00EE59B7"/>
    <w:rsid w:val="00EE72A9"/>
    <w:rsid w:val="00EF2873"/>
    <w:rsid w:val="00F046F8"/>
    <w:rsid w:val="00F069BA"/>
    <w:rsid w:val="00F15E50"/>
    <w:rsid w:val="00F17FCD"/>
    <w:rsid w:val="00F222A1"/>
    <w:rsid w:val="00F237E9"/>
    <w:rsid w:val="00F24F0F"/>
    <w:rsid w:val="00F25D46"/>
    <w:rsid w:val="00F30F32"/>
    <w:rsid w:val="00F33CEE"/>
    <w:rsid w:val="00F4011D"/>
    <w:rsid w:val="00F43310"/>
    <w:rsid w:val="00F601B2"/>
    <w:rsid w:val="00F62103"/>
    <w:rsid w:val="00F623F9"/>
    <w:rsid w:val="00F62ED4"/>
    <w:rsid w:val="00F6658A"/>
    <w:rsid w:val="00F71068"/>
    <w:rsid w:val="00F74AAE"/>
    <w:rsid w:val="00F81571"/>
    <w:rsid w:val="00F82419"/>
    <w:rsid w:val="00F8739B"/>
    <w:rsid w:val="00F90A7E"/>
    <w:rsid w:val="00F973B3"/>
    <w:rsid w:val="00FA283A"/>
    <w:rsid w:val="00FA62E3"/>
    <w:rsid w:val="00FB09BE"/>
    <w:rsid w:val="00FB2D1F"/>
    <w:rsid w:val="00FB791D"/>
    <w:rsid w:val="00FC2FC2"/>
    <w:rsid w:val="00FC4CF7"/>
    <w:rsid w:val="00FC6E53"/>
    <w:rsid w:val="00FC7737"/>
    <w:rsid w:val="00FD39D5"/>
    <w:rsid w:val="00FD4283"/>
    <w:rsid w:val="00FD5BAA"/>
    <w:rsid w:val="00FD737F"/>
    <w:rsid w:val="00FE2CE0"/>
    <w:rsid w:val="00FE6437"/>
    <w:rsid w:val="00FF381B"/>
    <w:rsid w:val="00FF6058"/>
    <w:rsid w:val="0FAD25C2"/>
    <w:rsid w:val="2160B6DF"/>
    <w:rsid w:val="2A28BF1E"/>
    <w:rsid w:val="2B0FB347"/>
    <w:rsid w:val="397728F4"/>
    <w:rsid w:val="3F6F966F"/>
    <w:rsid w:val="4058F1AB"/>
    <w:rsid w:val="520B881D"/>
    <w:rsid w:val="64D9C21F"/>
    <w:rsid w:val="66D49FF8"/>
    <w:rsid w:val="7512BE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B81FD982-AB27-4A27-BA48-54D1BD8D9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2AB"/>
    <w:pPr>
      <w:spacing w:before="120" w:after="120" w:line="259" w:lineRule="auto"/>
    </w:pPr>
    <w:rPr>
      <w:rFonts w:ascii="Arial" w:eastAsia="Times New Roman" w:hAnsi="Arial" w:cs="Times New Roman"/>
      <w:sz w:val="22"/>
      <w:lang w:val="en-AU"/>
    </w:rPr>
  </w:style>
  <w:style w:type="paragraph" w:styleId="Heading1">
    <w:name w:val="heading 1"/>
    <w:next w:val="Normal"/>
    <w:link w:val="Heading1Char"/>
    <w:qFormat/>
    <w:rsid w:val="00F43310"/>
    <w:pPr>
      <w:keepNext/>
      <w:keepLines/>
      <w:spacing w:before="1320" w:after="120" w:line="259" w:lineRule="auto"/>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3310"/>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link w:val="IntroParaChar"/>
    <w:qFormat/>
    <w:rsid w:val="00F43310"/>
    <w:pPr>
      <w:spacing w:line="320" w:lineRule="auto"/>
    </w:pPr>
    <w:rPr>
      <w:rFonts w:cs="Times New Roman (Body CS)"/>
      <w:color w:val="1D4F91"/>
      <w:sz w:val="26"/>
    </w:rPr>
  </w:style>
  <w:style w:type="paragraph" w:styleId="ListBullet">
    <w:name w:val="List Bullet"/>
    <w:basedOn w:val="Normal"/>
    <w:uiPriority w:val="99"/>
    <w:unhideWhenUsed/>
    <w:qFormat/>
    <w:rsid w:val="00EB66A6"/>
    <w:pPr>
      <w:numPr>
        <w:numId w:val="4"/>
      </w:numPr>
      <w:ind w:left="470" w:hanging="357"/>
    </w:pPr>
    <w:rPr>
      <w:szCs w:val="21"/>
    </w:rPr>
  </w:style>
  <w:style w:type="paragraph" w:styleId="ListNumber">
    <w:name w:val="List Number"/>
    <w:uiPriority w:val="99"/>
    <w:unhideWhenUsed/>
    <w:qFormat/>
    <w:rsid w:val="005D12AB"/>
    <w:pPr>
      <w:keepNext/>
      <w:numPr>
        <w:numId w:val="6"/>
      </w:numPr>
      <w:spacing w:before="120" w:after="120" w:line="259" w:lineRule="auto"/>
    </w:pPr>
    <w:rPr>
      <w:rFonts w:ascii="Arial" w:eastAsia="Times New Roman" w:hAnsi="Arial" w:cs="Times New Roman"/>
      <w:sz w:val="22"/>
      <w:lang w:val="en-AU"/>
    </w:r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853954"/>
    <w:pPr>
      <w:numPr>
        <w:numId w:val="2"/>
      </w:numPr>
    </w:pPr>
    <w:rPr>
      <w:iCs/>
      <w:color w:val="1D4F91"/>
      <w:sz w:val="28"/>
    </w:rPr>
  </w:style>
  <w:style w:type="character" w:customStyle="1" w:styleId="IntenseQuoteChar">
    <w:name w:val="Intense Quote Char"/>
    <w:basedOn w:val="DefaultParagraphFont"/>
    <w:link w:val="IntenseQuote"/>
    <w:uiPriority w:val="30"/>
    <w:rsid w:val="00853954"/>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AC48E2"/>
    <w:pPr>
      <w:widowControl w:val="0"/>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before="120" w:after="120" w:line="259" w:lineRule="auto"/>
    </w:pPr>
    <w:rPr>
      <w:rFonts w:ascii="Arial" w:eastAsia="Times New Roman" w:hAnsi="Arial" w:cs="Arial"/>
      <w:color w:val="000000" w:themeColor="text1"/>
      <w:sz w:val="21"/>
      <w:lang w:val="en"/>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F90A7E"/>
    <w:rPr>
      <w:rFonts w:ascii="Arial" w:eastAsia="Times New Roman" w:hAnsi="Arial" w:cs="Times New Roman"/>
      <w:sz w:val="21"/>
      <w:lang w:val="en-AU"/>
    </w:rPr>
  </w:style>
  <w:style w:type="paragraph" w:styleId="TOCHeading">
    <w:name w:val="TOC Heading"/>
    <w:basedOn w:val="Heading1"/>
    <w:next w:val="Normal"/>
    <w:uiPriority w:val="39"/>
    <w:unhideWhenUsed/>
    <w:qFormat/>
    <w:rsid w:val="00063110"/>
    <w:pPr>
      <w:keepNext w:val="0"/>
      <w:keepLines w:val="0"/>
      <w:spacing w:before="120"/>
      <w:outlineLvl w:val="9"/>
    </w:pPr>
    <w:rPr>
      <w:rFonts w:ascii="Arial" w:eastAsia="Calibri" w:hAnsi="Arial" w:cstheme="minorBidi"/>
      <w:color w:val="538135" w:themeColor="accent6" w:themeShade="BF"/>
      <w:szCs w:val="40"/>
      <w:lang w:val="en-AU" w:eastAsia="en-US" w:bidi="en-US"/>
    </w:rPr>
  </w:style>
  <w:style w:type="paragraph" w:styleId="TOC1">
    <w:name w:val="toc 1"/>
    <w:basedOn w:val="Normal"/>
    <w:next w:val="Normal"/>
    <w:autoRedefine/>
    <w:uiPriority w:val="39"/>
    <w:unhideWhenUsed/>
    <w:rsid w:val="00832920"/>
    <w:pPr>
      <w:tabs>
        <w:tab w:val="right" w:pos="9054"/>
      </w:tabs>
      <w:spacing w:after="100" w:line="240" w:lineRule="auto"/>
    </w:pPr>
    <w:rPr>
      <w:rFonts w:eastAsiaTheme="minorHAnsi" w:cstheme="minorBidi"/>
      <w:sz w:val="24"/>
      <w:szCs w:val="22"/>
    </w:rPr>
  </w:style>
  <w:style w:type="paragraph" w:styleId="TOC2">
    <w:name w:val="toc 2"/>
    <w:basedOn w:val="Normal"/>
    <w:next w:val="Normal"/>
    <w:autoRedefine/>
    <w:uiPriority w:val="39"/>
    <w:unhideWhenUsed/>
    <w:rsid w:val="00730EF1"/>
    <w:pPr>
      <w:tabs>
        <w:tab w:val="right" w:leader="dot" w:pos="9054"/>
      </w:tabs>
      <w:spacing w:line="240" w:lineRule="auto"/>
    </w:pPr>
    <w:rPr>
      <w:rFonts w:eastAsiaTheme="minorHAnsi" w:cstheme="minorBidi"/>
      <w:sz w:val="24"/>
      <w:szCs w:val="22"/>
    </w:rPr>
  </w:style>
  <w:style w:type="paragraph" w:styleId="TOC3">
    <w:name w:val="toc 3"/>
    <w:basedOn w:val="Normal"/>
    <w:next w:val="Normal"/>
    <w:autoRedefine/>
    <w:uiPriority w:val="39"/>
    <w:unhideWhenUsed/>
    <w:rsid w:val="00882168"/>
    <w:pPr>
      <w:spacing w:after="100"/>
      <w:ind w:left="420"/>
    </w:pPr>
  </w:style>
  <w:style w:type="character" w:styleId="FollowedHyperlink">
    <w:name w:val="FollowedHyperlink"/>
    <w:basedOn w:val="DefaultParagraphFont"/>
    <w:uiPriority w:val="99"/>
    <w:semiHidden/>
    <w:unhideWhenUsed/>
    <w:rsid w:val="00EB22EB"/>
    <w:rPr>
      <w:color w:val="954F72" w:themeColor="followedHyperlink"/>
      <w:u w:val="single"/>
    </w:rPr>
  </w:style>
  <w:style w:type="character" w:styleId="BookTitle">
    <w:name w:val="Book Title"/>
    <w:uiPriority w:val="33"/>
    <w:qFormat/>
    <w:rsid w:val="0040141B"/>
    <w:rPr>
      <w:i/>
      <w:iCs/>
      <w:smallCaps/>
      <w:spacing w:val="5"/>
    </w:rPr>
  </w:style>
  <w:style w:type="character" w:styleId="CommentReference">
    <w:name w:val="annotation reference"/>
    <w:basedOn w:val="DefaultParagraphFont"/>
    <w:uiPriority w:val="99"/>
    <w:semiHidden/>
    <w:unhideWhenUsed/>
    <w:rsid w:val="0040141B"/>
    <w:rPr>
      <w:sz w:val="16"/>
      <w:szCs w:val="16"/>
    </w:rPr>
  </w:style>
  <w:style w:type="paragraph" w:styleId="CommentText">
    <w:name w:val="annotation text"/>
    <w:basedOn w:val="Normal"/>
    <w:link w:val="CommentTextChar"/>
    <w:uiPriority w:val="99"/>
    <w:unhideWhenUsed/>
    <w:rsid w:val="0040141B"/>
    <w:pPr>
      <w:spacing w:after="24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40141B"/>
    <w:rPr>
      <w:rFonts w:ascii="Arial" w:hAnsi="Arial"/>
      <w:sz w:val="20"/>
      <w:szCs w:val="20"/>
      <w:lang w:val="en-AU"/>
    </w:rPr>
  </w:style>
  <w:style w:type="character" w:styleId="IntenseEmphasis">
    <w:name w:val="Intense Emphasis"/>
    <w:basedOn w:val="DefaultParagraphFont"/>
    <w:uiPriority w:val="21"/>
    <w:qFormat/>
    <w:rsid w:val="004758A2"/>
    <w:rPr>
      <w:i/>
      <w:iCs/>
      <w:color w:val="4472C4" w:themeColor="accent1"/>
    </w:rPr>
  </w:style>
  <w:style w:type="paragraph" w:customStyle="1" w:styleId="Introparagraphlistbullet">
    <w:name w:val="Intro paragraph (list bullet)"/>
    <w:basedOn w:val="IntroPara"/>
    <w:link w:val="IntroparagraphlistbulletChar"/>
    <w:qFormat/>
    <w:rsid w:val="00F43310"/>
    <w:pPr>
      <w:numPr>
        <w:numId w:val="3"/>
      </w:numPr>
      <w:spacing w:line="319" w:lineRule="auto"/>
      <w:ind w:left="714" w:hanging="357"/>
    </w:pPr>
  </w:style>
  <w:style w:type="character" w:customStyle="1" w:styleId="IntroParaChar">
    <w:name w:val="Intro Para Char"/>
    <w:basedOn w:val="DefaultParagraphFont"/>
    <w:link w:val="IntroPara"/>
    <w:rsid w:val="00F43310"/>
    <w:rPr>
      <w:rFonts w:ascii="Arial" w:eastAsia="Times New Roman" w:hAnsi="Arial" w:cs="Times New Roman (Body CS)"/>
      <w:color w:val="1D4F91"/>
      <w:sz w:val="26"/>
      <w:lang w:val="en-AU"/>
    </w:rPr>
  </w:style>
  <w:style w:type="character" w:customStyle="1" w:styleId="IntroparagraphlistbulletChar">
    <w:name w:val="Intro paragraph (list bullet) Char"/>
    <w:basedOn w:val="IntroParaChar"/>
    <w:link w:val="Introparagraphlistbullet"/>
    <w:rsid w:val="00F43310"/>
    <w:rPr>
      <w:rFonts w:ascii="Arial" w:eastAsia="Times New Roman" w:hAnsi="Arial" w:cs="Times New Roman (Body CS)"/>
      <w:color w:val="1D4F91"/>
      <w:sz w:val="26"/>
      <w:lang w:val="en-AU"/>
    </w:rPr>
  </w:style>
  <w:style w:type="paragraph" w:styleId="CommentSubject">
    <w:name w:val="annotation subject"/>
    <w:basedOn w:val="CommentText"/>
    <w:next w:val="CommentText"/>
    <w:link w:val="CommentSubjectChar"/>
    <w:uiPriority w:val="99"/>
    <w:semiHidden/>
    <w:unhideWhenUsed/>
    <w:rsid w:val="007A48AC"/>
    <w:pPr>
      <w:spacing w:after="120"/>
    </w:pPr>
    <w:rPr>
      <w:rFonts w:eastAsia="Times New Roman" w:cs="Times New Roman"/>
      <w:b/>
      <w:bCs/>
    </w:rPr>
  </w:style>
  <w:style w:type="character" w:customStyle="1" w:styleId="CommentSubjectChar">
    <w:name w:val="Comment Subject Char"/>
    <w:basedOn w:val="CommentTextChar"/>
    <w:link w:val="CommentSubject"/>
    <w:uiPriority w:val="99"/>
    <w:semiHidden/>
    <w:rsid w:val="007A48AC"/>
    <w:rPr>
      <w:rFonts w:ascii="Arial" w:eastAsia="Times New Roman" w:hAnsi="Arial" w:cs="Times New Roman"/>
      <w:b/>
      <w:bCs/>
      <w:sz w:val="20"/>
      <w:szCs w:val="20"/>
      <w:lang w:val="en-AU"/>
    </w:rPr>
  </w:style>
  <w:style w:type="paragraph" w:styleId="Revision">
    <w:name w:val="Revision"/>
    <w:hidden/>
    <w:uiPriority w:val="99"/>
    <w:semiHidden/>
    <w:rsid w:val="00B31E43"/>
    <w:rPr>
      <w:rFonts w:ascii="Arial" w:eastAsia="Times New Roman" w:hAnsi="Arial" w:cs="Times New Roman"/>
      <w:sz w:val="22"/>
      <w:lang w:val="en-AU"/>
    </w:rPr>
  </w:style>
  <w:style w:type="character" w:styleId="Mention">
    <w:name w:val="Mention"/>
    <w:basedOn w:val="DefaultParagraphFont"/>
    <w:uiPriority w:val="99"/>
    <w:unhideWhenUsed/>
    <w:rsid w:val="00C72ED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application-to-vary-conditions-of-allocation?language=e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health.gov.au/resources/publications/application-to-vary-conditions-of-allocatio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www.health.gov.au/resources/apps-and-tools/my-aged-care-service-and-support-port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gedcaretransfers@health.gov.au"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health.gov.au/resources/publications/application-to-vary-conditions-of-allocation?language=en" TargetMode="External"/><Relationship Id="rId35" Type="http://schemas.openxmlformats.org/officeDocument/2006/relationships/image" Target="media/image21.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Added alt text</Notes>
    <lcf76f155ced4ddcb4097134ff3c332f xmlns="b353f763-10e1-493f-8335-1108962fa474">
      <Terms xmlns="http://schemas.microsoft.com/office/infopath/2007/PartnerControls"/>
    </lcf76f155ced4ddcb4097134ff3c332f>
    <TaxCatchAll xmlns="d0c05866-aea6-438d-aba6-5c3128dda2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7" ma:contentTypeDescription="Create a new document." ma:contentTypeScope="" ma:versionID="4fd4a39586d34133097de1ea92ee4928">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aa9ad440baa73ca099453bf4476533c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A3AE83-1EB9-4011-A559-DAA57D97D09C}">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2.xml><?xml version="1.0" encoding="utf-8"?>
<ds:datastoreItem xmlns:ds="http://schemas.openxmlformats.org/officeDocument/2006/customXml" ds:itemID="{DEDF809C-6424-4275-A009-38CF546E0D63}">
  <ds:schemaRefs>
    <ds:schemaRef ds:uri="http://schemas.openxmlformats.org/officeDocument/2006/bibliography"/>
  </ds:schemaRefs>
</ds:datastoreItem>
</file>

<file path=customXml/itemProps3.xml><?xml version="1.0" encoding="utf-8"?>
<ds:datastoreItem xmlns:ds="http://schemas.openxmlformats.org/officeDocument/2006/customXml" ds:itemID="{2C0AD15E-E976-4724-9F7E-168EF472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8BF5E6-72D4-4F0D-812B-981A34580C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1465</Words>
  <Characters>7718</Characters>
  <Application>Microsoft Office Word</Application>
  <DocSecurity>0</DocSecurity>
  <Lines>182</Lines>
  <Paragraphs>92</Paragraphs>
  <ScaleCrop>false</ScaleCrop>
  <HeadingPairs>
    <vt:vector size="2" baseType="variant">
      <vt:variant>
        <vt:lpstr>Title</vt:lpstr>
      </vt:variant>
      <vt:variant>
        <vt:i4>1</vt:i4>
      </vt:variant>
    </vt:vector>
  </HeadingPairs>
  <TitlesOfParts>
    <vt:vector size="1" baseType="lpstr">
      <vt:lpstr>My Aged Care Service and Support Portal User Guide - Advanced Outlet and Service Management - transferring clients and services</vt:lpstr>
    </vt:vector>
  </TitlesOfParts>
  <Company>Department of Health, Disability and Ageing</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Service and Support Portal User Guide - Advanced Outlet and Service Management – transferring clients and services</dc:title>
  <dc:subject>My Aged Care</dc:subject>
  <dc:creator>Australian Government Department of Health, Disability and Ageing</dc:creator>
  <cp:keywords>My Aged Care, Service and Support Portal, transferring clients and services</cp:keywords>
  <cp:lastModifiedBy>MASCHKE, Elvia</cp:lastModifiedBy>
  <cp:revision>3</cp:revision>
  <cp:lastPrinted>2025-11-03T02:19:00Z</cp:lastPrinted>
  <dcterms:created xsi:type="dcterms:W3CDTF">2025-11-03T02:18:00Z</dcterms:created>
  <dcterms:modified xsi:type="dcterms:W3CDTF">2025-11-03T02:19:00Z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SiteId">
    <vt:lpwstr>34a3929c-73cf-4954-abfe-147dc3517892</vt:lpwstr>
  </property>
  <property fmtid="{D5CDD505-2E9C-101B-9397-08002B2CF9AE}" pid="3" name="ClassificationContentMarkingFooterText">
    <vt:lpwstr>OFFICIAL</vt:lpwstr>
  </property>
  <property fmtid="{D5CDD505-2E9C-101B-9397-08002B2CF9AE}" pid="4" name="MSIP_Label_7cd3e8b9-ffed-43a8-b7f4-cc2fa0382d36_Tag">
    <vt:lpwstr>10, 0, 1, 2</vt:lpwstr>
  </property>
  <property fmtid="{D5CDD505-2E9C-101B-9397-08002B2CF9AE}" pid="5" name="MSIP_Label_7cd3e8b9-ffed-43a8-b7f4-cc2fa0382d36_Method">
    <vt:lpwstr>Privileged</vt:lpwstr>
  </property>
  <property fmtid="{D5CDD505-2E9C-101B-9397-08002B2CF9AE}" pid="6" name="ClassificationContentMarkingHeaderText">
    <vt:lpwstr>OFFICIAL</vt:lpwstr>
  </property>
  <property fmtid="{D5CDD505-2E9C-101B-9397-08002B2CF9AE}" pid="7" name="MSIP_Label_7cd3e8b9-ffed-43a8-b7f4-cc2fa0382d36_ActionId">
    <vt:lpwstr>4dd681ab-4fce-41e4-ac31-47060cc3a9e8</vt:lpwstr>
  </property>
  <property fmtid="{D5CDD505-2E9C-101B-9397-08002B2CF9AE}" pid="8" name="MediaServiceImageTags">
    <vt:lpwstr/>
  </property>
  <property fmtid="{D5CDD505-2E9C-101B-9397-08002B2CF9AE}" pid="9" name="ContentTypeId">
    <vt:lpwstr>0x010100E32F9F2BA77BA247839DC816F7705A93</vt:lpwstr>
  </property>
  <property fmtid="{D5CDD505-2E9C-101B-9397-08002B2CF9AE}" pid="10" name="ClassificationContentMarkingHeaderFontProps">
    <vt:lpwstr>#ff0000,12,Aptos</vt:lpwstr>
  </property>
  <property fmtid="{D5CDD505-2E9C-101B-9397-08002B2CF9AE}" pid="11" name="MSIP_Label_7cd3e8b9-ffed-43a8-b7f4-cc2fa0382d36_ContentBits">
    <vt:lpwstr>3</vt:lpwstr>
  </property>
  <property fmtid="{D5CDD505-2E9C-101B-9397-08002B2CF9AE}" pid="12" name="docLang">
    <vt:lpwstr>en</vt:lpwstr>
  </property>
  <property fmtid="{D5CDD505-2E9C-101B-9397-08002B2CF9AE}" pid="13" name="MSIP_Label_7cd3e8b9-ffed-43a8-b7f4-cc2fa0382d36_Name">
    <vt:lpwstr>O</vt:lpwstr>
  </property>
  <property fmtid="{D5CDD505-2E9C-101B-9397-08002B2CF9AE}" pid="14" name="MSIP_Label_7cd3e8b9-ffed-43a8-b7f4-cc2fa0382d36_Enabled">
    <vt:lpwstr>true</vt:lpwstr>
  </property>
  <property fmtid="{D5CDD505-2E9C-101B-9397-08002B2CF9AE}" pid="15" name="ClassificationContentMarkingFooterShapeIds">
    <vt:lpwstr>79811c6b,2193838f,2818e02</vt:lpwstr>
  </property>
  <property fmtid="{D5CDD505-2E9C-101B-9397-08002B2CF9AE}" pid="16" name="ClassificationContentMarkingHeaderShapeIds">
    <vt:lpwstr>2c914a22,411686d3,eaca660</vt:lpwstr>
  </property>
  <property fmtid="{D5CDD505-2E9C-101B-9397-08002B2CF9AE}" pid="17" name="ClassificationContentMarkingFooterFontProps">
    <vt:lpwstr>#ff0000,12,Aptos</vt:lpwstr>
  </property>
  <property fmtid="{D5CDD505-2E9C-101B-9397-08002B2CF9AE}" pid="18" name="MSIP_Label_7cd3e8b9-ffed-43a8-b7f4-cc2fa0382d36_SetDate">
    <vt:lpwstr>2025-09-08T00:19:20Z</vt:lpwstr>
  </property>
</Properties>
</file>