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4DE" w14:textId="37A5DEB0" w:rsidR="00BA2732" w:rsidRPr="00061A6D" w:rsidRDefault="00125F49" w:rsidP="00061A6D">
      <w:pPr>
        <w:pStyle w:val="Title"/>
      </w:pPr>
      <w:r>
        <w:t xml:space="preserve">Integrated Team Care – </w:t>
      </w:r>
      <w:r w:rsidR="00930947">
        <w:t>T</w:t>
      </w:r>
      <w:r>
        <w:t xml:space="preserve">ransition to First Nations </w:t>
      </w:r>
      <w:r w:rsidR="00AE5925">
        <w:t>c</w:t>
      </w:r>
      <w:r>
        <w:t xml:space="preserve">ommunity </w:t>
      </w:r>
      <w:r w:rsidR="00AE5925">
        <w:t>c</w:t>
      </w:r>
      <w:r>
        <w:t>ontrol</w:t>
      </w:r>
    </w:p>
    <w:p w14:paraId="6E6FF669" w14:textId="248D26F1" w:rsidR="00B53987" w:rsidRPr="00061A6D" w:rsidRDefault="0091281C" w:rsidP="00061A6D">
      <w:r w:rsidRPr="0091281C">
        <w:t xml:space="preserve">This fact sheet provides an overview of the strategy for transitioning the Integrated Team Care (ITC) program </w:t>
      </w:r>
      <w:r>
        <w:t xml:space="preserve">to </w:t>
      </w:r>
      <w:r w:rsidR="00D12980">
        <w:t xml:space="preserve">First Nations </w:t>
      </w:r>
      <w:r>
        <w:t>community control</w:t>
      </w:r>
      <w:r w:rsidR="00AE5925">
        <w:t>,</w:t>
      </w:r>
      <w:r w:rsidR="00AE5925" w:rsidRPr="00AE5925">
        <w:t xml:space="preserve"> progress to date, and upcoming milestones.</w:t>
      </w:r>
    </w:p>
    <w:p w14:paraId="39D3F0A3" w14:textId="202C50C6" w:rsidR="007E0FB8" w:rsidRPr="00061A6D" w:rsidRDefault="00125F49" w:rsidP="00061A6D">
      <w:pPr>
        <w:pStyle w:val="Heading1"/>
      </w:pPr>
      <w:bookmarkStart w:id="0" w:name="_Hlk85795649"/>
      <w:r w:rsidRPr="003010D2">
        <w:t>What is happening?</w:t>
      </w:r>
    </w:p>
    <w:p w14:paraId="23F3FB33" w14:textId="2B574F75" w:rsidR="0091281C" w:rsidRPr="00CB1709" w:rsidRDefault="00062CCE" w:rsidP="00061A6D">
      <w:pPr>
        <w:pStyle w:val="ListBullet"/>
      </w:pPr>
      <w:r w:rsidRPr="00CB1709">
        <w:t>ITC</w:t>
      </w:r>
      <w:r w:rsidR="0091281C" w:rsidRPr="00CB1709">
        <w:t xml:space="preserve"> will begin a staged transition </w:t>
      </w:r>
      <w:r w:rsidR="009608C0">
        <w:t xml:space="preserve">of funding and delivery arrangements </w:t>
      </w:r>
      <w:r w:rsidR="0091281C" w:rsidRPr="00CB1709">
        <w:t>to</w:t>
      </w:r>
      <w:r w:rsidR="00D12980" w:rsidRPr="00CB1709">
        <w:t xml:space="preserve"> First Nations</w:t>
      </w:r>
      <w:r w:rsidR="0091281C" w:rsidRPr="00CB1709">
        <w:t xml:space="preserve"> community control through a</w:t>
      </w:r>
      <w:r w:rsidRPr="00CB1709">
        <w:t>n</w:t>
      </w:r>
      <w:r w:rsidR="0091281C" w:rsidRPr="00CB1709">
        <w:t xml:space="preserve"> </w:t>
      </w:r>
      <w:r w:rsidRPr="00CB1709">
        <w:t>e</w:t>
      </w:r>
      <w:r w:rsidR="0091281C" w:rsidRPr="00CB1709">
        <w:t xml:space="preserve">xpression of interest </w:t>
      </w:r>
      <w:r w:rsidR="009E3177" w:rsidRPr="00CB1709">
        <w:t xml:space="preserve">(EOI) </w:t>
      </w:r>
      <w:r w:rsidR="0091281C" w:rsidRPr="00CB1709">
        <w:t>process.</w:t>
      </w:r>
    </w:p>
    <w:p w14:paraId="2CE80CE7" w14:textId="6C2C93E5" w:rsidR="002271FD" w:rsidRPr="00061A6D" w:rsidRDefault="0091281C" w:rsidP="00061A6D">
      <w:pPr>
        <w:pStyle w:val="ListBullet"/>
      </w:pPr>
      <w:r w:rsidRPr="00CB1709">
        <w:t xml:space="preserve">First Nations stakeholders </w:t>
      </w:r>
      <w:r w:rsidR="00062CCE" w:rsidRPr="00CB1709">
        <w:t>can elect</w:t>
      </w:r>
      <w:r w:rsidRPr="00CB1709">
        <w:t xml:space="preserve"> to keep, improve or redesign the program </w:t>
      </w:r>
      <w:r w:rsidRPr="00061A6D">
        <w:t xml:space="preserve">model </w:t>
      </w:r>
      <w:r w:rsidR="003254DB" w:rsidRPr="00061A6D">
        <w:t>in their Primary Health Network (PHN)</w:t>
      </w:r>
      <w:r w:rsidRPr="00061A6D">
        <w:t xml:space="preserve"> region</w:t>
      </w:r>
      <w:r w:rsidR="003254DB" w:rsidRPr="00061A6D">
        <w:t>(s)</w:t>
      </w:r>
      <w:r w:rsidRPr="00061A6D">
        <w:t xml:space="preserve">. </w:t>
      </w:r>
    </w:p>
    <w:p w14:paraId="0EC7B1DE" w14:textId="112E419E" w:rsidR="0091281C" w:rsidRPr="00061A6D" w:rsidRDefault="00062CCE" w:rsidP="00061A6D">
      <w:pPr>
        <w:pStyle w:val="ListBullet"/>
      </w:pPr>
      <w:r w:rsidRPr="00061A6D">
        <w:t>ITC</w:t>
      </w:r>
      <w:r w:rsidR="0091281C" w:rsidRPr="00061A6D">
        <w:t xml:space="preserve">, guided by its </w:t>
      </w:r>
      <w:hyperlink r:id="rId11" w:tooltip="Link to the Integrated Team Care Program Implementation Guidelines" w:history="1">
        <w:r w:rsidR="0091281C" w:rsidRPr="003923D0">
          <w:rPr>
            <w:rStyle w:val="Hyperlink"/>
          </w:rPr>
          <w:t>Implementation Guidelines</w:t>
        </w:r>
      </w:hyperlink>
      <w:r w:rsidR="0091281C" w:rsidRPr="00061A6D">
        <w:t>, will retain its core features</w:t>
      </w:r>
      <w:r w:rsidR="002271FD" w:rsidRPr="00061A6D">
        <w:t xml:space="preserve"> including </w:t>
      </w:r>
      <w:r w:rsidR="0091281C" w:rsidRPr="00061A6D">
        <w:t xml:space="preserve">care coordination, supplementary </w:t>
      </w:r>
      <w:r w:rsidR="0091281C" w:rsidRPr="00CB1709">
        <w:t>services, workforce roles</w:t>
      </w:r>
      <w:r w:rsidR="002271FD" w:rsidRPr="00CB1709">
        <w:t xml:space="preserve"> (care coordinators, outreach workers, project officers)</w:t>
      </w:r>
      <w:r w:rsidR="0091281C" w:rsidRPr="00CB1709">
        <w:t xml:space="preserve">, and </w:t>
      </w:r>
      <w:r w:rsidR="002271FD" w:rsidRPr="00CB1709">
        <w:t>activities to enhance</w:t>
      </w:r>
      <w:r w:rsidR="0091281C" w:rsidRPr="00CB1709">
        <w:t xml:space="preserve"> cultural safety </w:t>
      </w:r>
      <w:r w:rsidR="002271FD" w:rsidRPr="00CB1709">
        <w:t>in mainstream primary health care</w:t>
      </w:r>
      <w:r w:rsidR="0091281C" w:rsidRPr="00CB1709">
        <w:t xml:space="preserve"> </w:t>
      </w:r>
      <w:r w:rsidR="002271FD" w:rsidRPr="00CB1709">
        <w:t>during and post</w:t>
      </w:r>
      <w:r w:rsidR="0091281C" w:rsidRPr="00CB1709">
        <w:t xml:space="preserve"> transition.</w:t>
      </w:r>
    </w:p>
    <w:p w14:paraId="0B738192" w14:textId="2AD81B4F" w:rsidR="00062CCE" w:rsidRPr="00061A6D" w:rsidRDefault="00AE4BDB" w:rsidP="00061A6D">
      <w:pPr>
        <w:pStyle w:val="ListBullet"/>
      </w:pPr>
      <w:r>
        <w:t xml:space="preserve">The </w:t>
      </w:r>
      <w:r w:rsidRPr="00AE4BDB">
        <w:t>Department of Health, Disability and Ageing</w:t>
      </w:r>
      <w:r>
        <w:t xml:space="preserve"> (the department) will continue its</w:t>
      </w:r>
      <w:r w:rsidR="00062CCE" w:rsidRPr="00CB1709">
        <w:t xml:space="preserve"> engagement with ITC stakeholders</w:t>
      </w:r>
      <w:r>
        <w:t xml:space="preserve"> throughout transition</w:t>
      </w:r>
      <w:r w:rsidR="00062CCE" w:rsidRPr="00CB1709">
        <w:t>.</w:t>
      </w:r>
    </w:p>
    <w:p w14:paraId="5EEB1ED3" w14:textId="77777777" w:rsidR="00125F49" w:rsidRPr="00061A6D" w:rsidRDefault="00125F49" w:rsidP="00061A6D">
      <w:pPr>
        <w:pStyle w:val="Heading1"/>
      </w:pPr>
      <w:r w:rsidRPr="00061A6D">
        <w:t>What does successful transition look like?</w:t>
      </w:r>
    </w:p>
    <w:p w14:paraId="156665D7" w14:textId="77777777" w:rsidR="000025D0" w:rsidRPr="00061A6D" w:rsidRDefault="000025D0" w:rsidP="00E40023">
      <w:pPr>
        <w:pStyle w:val="Heading2"/>
      </w:pPr>
      <w:r w:rsidRPr="00061A6D">
        <w:t>Transition Mission</w:t>
      </w:r>
    </w:p>
    <w:p w14:paraId="2DCA1074" w14:textId="78B3663F" w:rsidR="0089305D" w:rsidRPr="00061A6D" w:rsidRDefault="0091281C" w:rsidP="00061A6D">
      <w:r w:rsidRPr="00061A6D">
        <w:t xml:space="preserve">Embed First Nations leadership in ITC program design and delivery, ensuring communities are empowered to determine how ITC is delivered in </w:t>
      </w:r>
      <w:r w:rsidR="003254DB" w:rsidRPr="00061A6D">
        <w:t>PHN</w:t>
      </w:r>
      <w:r w:rsidRPr="00061A6D">
        <w:t xml:space="preserve"> regions, while maintaining continuity, cultural safety, and equity in outcomes for all ITC clients and staff.</w:t>
      </w:r>
    </w:p>
    <w:p w14:paraId="02E36956" w14:textId="5E0D77E4" w:rsidR="0089305D" w:rsidRDefault="000C63DF" w:rsidP="00061A6D">
      <w:r w:rsidRPr="000C63DF">
        <w:t xml:space="preserve">The following pillars will form the foundation for successful transition:  </w:t>
      </w:r>
    </w:p>
    <w:tbl>
      <w:tblPr>
        <w:tblStyle w:val="DepartmentofHealthtable"/>
        <w:tblW w:w="0" w:type="auto"/>
        <w:tblLook w:val="04A0" w:firstRow="1" w:lastRow="0" w:firstColumn="1" w:lastColumn="0" w:noHBand="0" w:noVBand="1"/>
      </w:tblPr>
      <w:tblGrid>
        <w:gridCol w:w="2977"/>
        <w:gridCol w:w="6083"/>
      </w:tblGrid>
      <w:tr w:rsidR="0089305D" w14:paraId="560FE65C" w14:textId="77777777" w:rsidTr="00061A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3E779638" w14:textId="4FACFE73" w:rsidR="0089305D" w:rsidRPr="0089305D" w:rsidRDefault="0089305D" w:rsidP="00061A6D">
            <w:pPr>
              <w:pStyle w:val="TableHeaderWhite"/>
            </w:pPr>
            <w:r w:rsidRPr="0089305D">
              <w:t>Pillars</w:t>
            </w:r>
          </w:p>
        </w:tc>
        <w:tc>
          <w:tcPr>
            <w:tcW w:w="6083" w:type="dxa"/>
          </w:tcPr>
          <w:p w14:paraId="0CCAAB07" w14:textId="7E64ADE2" w:rsidR="0089305D" w:rsidRPr="0089305D" w:rsidRDefault="0089305D" w:rsidP="00061A6D">
            <w:pPr>
              <w:pStyle w:val="TableHeaderWhite"/>
              <w:cnfStyle w:val="100000000000" w:firstRow="1" w:lastRow="0" w:firstColumn="0" w:lastColumn="0" w:oddVBand="0" w:evenVBand="0" w:oddHBand="0" w:evenHBand="0" w:firstRowFirstColumn="0" w:firstRowLastColumn="0" w:lastRowFirstColumn="0" w:lastRowLastColumn="0"/>
            </w:pPr>
            <w:r>
              <w:t>Description</w:t>
            </w:r>
          </w:p>
        </w:tc>
      </w:tr>
      <w:tr w:rsidR="0089305D" w14:paraId="3B0E3292" w14:textId="77777777" w:rsidTr="0006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B0547D1" w14:textId="51919ABF" w:rsidR="0089305D" w:rsidRPr="003923D0" w:rsidRDefault="0089305D" w:rsidP="003923D0">
            <w:pPr>
              <w:pStyle w:val="ListNumber"/>
            </w:pPr>
            <w:r w:rsidRPr="003923D0">
              <w:t>Client centred outcomes and continuity of service</w:t>
            </w:r>
          </w:p>
        </w:tc>
        <w:tc>
          <w:tcPr>
            <w:tcW w:w="6083" w:type="dxa"/>
          </w:tcPr>
          <w:p w14:paraId="54A0E215" w14:textId="46535C3C" w:rsidR="0089305D" w:rsidRPr="0089305D" w:rsidRDefault="0089305D" w:rsidP="00061A6D">
            <w:pPr>
              <w:cnfStyle w:val="000000100000" w:firstRow="0" w:lastRow="0" w:firstColumn="0" w:lastColumn="0" w:oddVBand="0" w:evenVBand="0" w:oddHBand="1" w:evenHBand="0" w:firstRowFirstColumn="0" w:firstRowLastColumn="0" w:lastRowFirstColumn="0" w:lastRowLastColumn="0"/>
            </w:pPr>
            <w:r w:rsidRPr="0089305D">
              <w:t>ITC clients</w:t>
            </w:r>
            <w:r>
              <w:t xml:space="preserve"> </w:t>
            </w:r>
            <w:r w:rsidRPr="0089305D">
              <w:t>must be at the heart of all decisions. Vulnerable individuals with complex chronic conditions must experience high quality care, regardless of their chosen health service.</w:t>
            </w:r>
          </w:p>
        </w:tc>
      </w:tr>
      <w:tr w:rsidR="0089305D" w14:paraId="701E6EDE" w14:textId="77777777" w:rsidTr="00061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AB6D6F1" w14:textId="128A1C2A" w:rsidR="0089305D" w:rsidRPr="003923D0" w:rsidRDefault="0089305D" w:rsidP="003923D0">
            <w:pPr>
              <w:pStyle w:val="ListNumber"/>
            </w:pPr>
            <w:r w:rsidRPr="003923D0">
              <w:t>National coverage</w:t>
            </w:r>
          </w:p>
        </w:tc>
        <w:tc>
          <w:tcPr>
            <w:tcW w:w="6083" w:type="dxa"/>
          </w:tcPr>
          <w:p w14:paraId="4360B577" w14:textId="427270A5" w:rsidR="0089305D" w:rsidRPr="0089305D" w:rsidRDefault="00203ADA" w:rsidP="00061A6D">
            <w:pPr>
              <w:cnfStyle w:val="000000010000" w:firstRow="0" w:lastRow="0" w:firstColumn="0" w:lastColumn="0" w:oddVBand="0" w:evenVBand="0" w:oddHBand="0" w:evenHBand="1" w:firstRowFirstColumn="0" w:firstRowLastColumn="0" w:lastRowFirstColumn="0" w:lastRowLastColumn="0"/>
            </w:pPr>
            <w:r w:rsidRPr="00203ADA">
              <w:t xml:space="preserve">National coverage and geographical accessibility of services </w:t>
            </w:r>
            <w:proofErr w:type="gramStart"/>
            <w:r w:rsidRPr="00203ADA">
              <w:t>enables</w:t>
            </w:r>
            <w:proofErr w:type="gramEnd"/>
            <w:r w:rsidRPr="00203ADA">
              <w:t xml:space="preserve"> access for all Aboriginal and Torres Strait Islander people.</w:t>
            </w:r>
          </w:p>
        </w:tc>
      </w:tr>
      <w:tr w:rsidR="0089305D" w14:paraId="506A3873" w14:textId="77777777" w:rsidTr="0006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A903647" w14:textId="79D7A648" w:rsidR="0089305D" w:rsidRPr="003923D0" w:rsidRDefault="0089305D" w:rsidP="003923D0">
            <w:pPr>
              <w:pStyle w:val="ListNumber"/>
            </w:pPr>
            <w:r w:rsidRPr="003923D0">
              <w:lastRenderedPageBreak/>
              <w:t>Workforce sustainability</w:t>
            </w:r>
          </w:p>
        </w:tc>
        <w:tc>
          <w:tcPr>
            <w:tcW w:w="6083" w:type="dxa"/>
          </w:tcPr>
          <w:p w14:paraId="697F36E7" w14:textId="7CCF7AEE" w:rsidR="0089305D" w:rsidRPr="0089305D" w:rsidRDefault="00203ADA" w:rsidP="00061A6D">
            <w:pPr>
              <w:cnfStyle w:val="000000100000" w:firstRow="0" w:lastRow="0" w:firstColumn="0" w:lastColumn="0" w:oddVBand="0" w:evenVBand="0" w:oddHBand="1" w:evenHBand="0" w:firstRowFirstColumn="0" w:firstRowLastColumn="0" w:lastRowFirstColumn="0" w:lastRowLastColumn="0"/>
            </w:pPr>
            <w:r w:rsidRPr="00203ADA">
              <w:t>A stable, trusted, and culturally safe workforce is essential to improved health outcomes, particularly in the case of ITC.</w:t>
            </w:r>
          </w:p>
        </w:tc>
      </w:tr>
      <w:tr w:rsidR="0089305D" w14:paraId="472A4645" w14:textId="77777777" w:rsidTr="00061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6046946" w14:textId="7311CA26" w:rsidR="0089305D" w:rsidRPr="003923D0" w:rsidRDefault="0089305D" w:rsidP="003923D0">
            <w:pPr>
              <w:pStyle w:val="ListNumber"/>
            </w:pPr>
            <w:r w:rsidRPr="003923D0">
              <w:t>Place-based and flexible approaches</w:t>
            </w:r>
          </w:p>
        </w:tc>
        <w:tc>
          <w:tcPr>
            <w:tcW w:w="6083" w:type="dxa"/>
          </w:tcPr>
          <w:p w14:paraId="42475F92" w14:textId="49EFB5C7" w:rsidR="0089305D" w:rsidRPr="0089305D" w:rsidRDefault="00203ADA" w:rsidP="00061A6D">
            <w:pPr>
              <w:cnfStyle w:val="000000010000" w:firstRow="0" w:lastRow="0" w:firstColumn="0" w:lastColumn="0" w:oddVBand="0" w:evenVBand="0" w:oddHBand="0" w:evenHBand="1" w:firstRowFirstColumn="0" w:firstRowLastColumn="0" w:lastRowFirstColumn="0" w:lastRowLastColumn="0"/>
            </w:pPr>
            <w:r w:rsidRPr="00203ADA">
              <w:t>Each PHN region must have the flexibility to design and deliver services that reflect local relationships, service availability, needs and capacities.</w:t>
            </w:r>
          </w:p>
        </w:tc>
      </w:tr>
      <w:tr w:rsidR="0089305D" w14:paraId="382E4FB5" w14:textId="77777777" w:rsidTr="0006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BD6A3ED" w14:textId="42DA8E0D" w:rsidR="0089305D" w:rsidRPr="003923D0" w:rsidRDefault="0089305D" w:rsidP="003923D0">
            <w:pPr>
              <w:pStyle w:val="ListNumber"/>
            </w:pPr>
            <w:r w:rsidRPr="003923D0">
              <w:t xml:space="preserve">Sustainable resourcing and operational efficiency </w:t>
            </w:r>
          </w:p>
        </w:tc>
        <w:tc>
          <w:tcPr>
            <w:tcW w:w="6083" w:type="dxa"/>
          </w:tcPr>
          <w:p w14:paraId="345B934A" w14:textId="282F0003" w:rsidR="0089305D" w:rsidRPr="0089305D" w:rsidRDefault="00203ADA" w:rsidP="00061A6D">
            <w:pPr>
              <w:cnfStyle w:val="000000100000" w:firstRow="0" w:lastRow="0" w:firstColumn="0" w:lastColumn="0" w:oddVBand="0" w:evenVBand="0" w:oddHBand="1" w:evenHBand="0" w:firstRowFirstColumn="0" w:firstRowLastColumn="0" w:lastRowFirstColumn="0" w:lastRowLastColumn="0"/>
            </w:pPr>
            <w:r w:rsidRPr="00203ADA">
              <w:t>Transition must build upon existing operational strengths while addressing gaps in access and equity.​</w:t>
            </w:r>
          </w:p>
        </w:tc>
      </w:tr>
      <w:tr w:rsidR="0089305D" w14:paraId="4E88A35D" w14:textId="77777777" w:rsidTr="00061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49A2775" w14:textId="5C9A03EA" w:rsidR="0089305D" w:rsidRPr="003923D0" w:rsidRDefault="0089305D" w:rsidP="003923D0">
            <w:pPr>
              <w:pStyle w:val="ListNumber"/>
            </w:pPr>
            <w:r w:rsidRPr="003923D0">
              <w:t>Capacity building for new commissioners</w:t>
            </w:r>
          </w:p>
        </w:tc>
        <w:tc>
          <w:tcPr>
            <w:tcW w:w="6083" w:type="dxa"/>
          </w:tcPr>
          <w:p w14:paraId="38E89AD5" w14:textId="5F19F534" w:rsidR="0089305D" w:rsidRPr="0089305D" w:rsidRDefault="00D12980" w:rsidP="00061A6D">
            <w:pPr>
              <w:cnfStyle w:val="000000010000" w:firstRow="0" w:lastRow="0" w:firstColumn="0" w:lastColumn="0" w:oddVBand="0" w:evenVBand="0" w:oddHBand="0" w:evenHBand="1" w:firstRowFirstColumn="0" w:firstRowLastColumn="0" w:lastRowFirstColumn="0" w:lastRowLastColumn="0"/>
            </w:pPr>
            <w:r w:rsidRPr="00D12980">
              <w:t>First Nations led organisations stepping into ITC commissioning roles must be supported, funded and equipped for long-term success.</w:t>
            </w:r>
          </w:p>
        </w:tc>
      </w:tr>
      <w:tr w:rsidR="0089305D" w14:paraId="349FAAF1" w14:textId="77777777" w:rsidTr="0006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700D373" w14:textId="1C673640" w:rsidR="0089305D" w:rsidRPr="003923D0" w:rsidRDefault="0089305D" w:rsidP="003923D0">
            <w:pPr>
              <w:pStyle w:val="ListNumber"/>
            </w:pPr>
            <w:r w:rsidRPr="003923D0">
              <w:t>Cultural safety and mainstream system reform</w:t>
            </w:r>
          </w:p>
        </w:tc>
        <w:tc>
          <w:tcPr>
            <w:tcW w:w="6083" w:type="dxa"/>
          </w:tcPr>
          <w:p w14:paraId="5824E2B1" w14:textId="24049F31" w:rsidR="00D12980" w:rsidRPr="003923D0" w:rsidRDefault="00D12980" w:rsidP="003923D0">
            <w:pPr>
              <w:cnfStyle w:val="000000100000" w:firstRow="0" w:lastRow="0" w:firstColumn="0" w:lastColumn="0" w:oddVBand="0" w:evenVBand="0" w:oddHBand="1" w:evenHBand="0" w:firstRowFirstColumn="0" w:firstRowLastColumn="0" w:lastRowFirstColumn="0" w:lastRowLastColumn="0"/>
            </w:pPr>
            <w:r w:rsidRPr="003923D0">
              <w:t>Closing the Gap requires transformation across the whole health system, not just in Aboriginal and Torres Strait Islander health service (ACCHS) settings.</w:t>
            </w:r>
          </w:p>
          <w:p w14:paraId="05BCBCB2" w14:textId="00757C01" w:rsidR="0089305D" w:rsidRPr="003923D0" w:rsidRDefault="00D12980" w:rsidP="003923D0">
            <w:pPr>
              <w:cnfStyle w:val="000000100000" w:firstRow="0" w:lastRow="0" w:firstColumn="0" w:lastColumn="0" w:oddVBand="0" w:evenVBand="0" w:oddHBand="1" w:evenHBand="0" w:firstRowFirstColumn="0" w:firstRowLastColumn="0" w:lastRowFirstColumn="0" w:lastRowLastColumn="0"/>
            </w:pPr>
            <w:r w:rsidRPr="003923D0">
              <w:t>Client autonomy must be respected, and the First Nations workforce must be supported to thrive in any setting they choose to work in.</w:t>
            </w:r>
          </w:p>
        </w:tc>
      </w:tr>
      <w:tr w:rsidR="0089305D" w14:paraId="54549EEF" w14:textId="77777777" w:rsidTr="00061A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04F7977" w14:textId="6551F8CD" w:rsidR="0089305D" w:rsidRPr="003923D0" w:rsidRDefault="0089305D" w:rsidP="003923D0">
            <w:pPr>
              <w:pStyle w:val="ListNumber"/>
            </w:pPr>
            <w:r w:rsidRPr="003923D0">
              <w:t>Partnerships and collaborative engagement</w:t>
            </w:r>
          </w:p>
        </w:tc>
        <w:tc>
          <w:tcPr>
            <w:tcW w:w="6083" w:type="dxa"/>
          </w:tcPr>
          <w:p w14:paraId="13507ED4" w14:textId="77777777" w:rsidR="00D12980" w:rsidRPr="00D12980" w:rsidRDefault="00D12980" w:rsidP="00061A6D">
            <w:pPr>
              <w:cnfStyle w:val="000000010000" w:firstRow="0" w:lastRow="0" w:firstColumn="0" w:lastColumn="0" w:oddVBand="0" w:evenVBand="0" w:oddHBand="0" w:evenHBand="1" w:firstRowFirstColumn="0" w:firstRowLastColumn="0" w:lastRowFirstColumn="0" w:lastRowLastColumn="0"/>
            </w:pPr>
            <w:r w:rsidRPr="00D12980">
              <w:t>Relationships and partnerships respect and support each other’s viability, they are equitable, stable, and grounded in trust, mutual accountability and alignment on shared goals. ​</w:t>
            </w:r>
          </w:p>
          <w:p w14:paraId="23F3A02D" w14:textId="2E922AF6" w:rsidR="0089305D" w:rsidRPr="0089305D" w:rsidRDefault="00D12980" w:rsidP="00061A6D">
            <w:pPr>
              <w:cnfStyle w:val="000000010000" w:firstRow="0" w:lastRow="0" w:firstColumn="0" w:lastColumn="0" w:oddVBand="0" w:evenVBand="0" w:oddHBand="0" w:evenHBand="1" w:firstRowFirstColumn="0" w:firstRowLastColumn="0" w:lastRowFirstColumn="0" w:lastRowLastColumn="0"/>
            </w:pPr>
            <w:r w:rsidRPr="00D12980">
              <w:t>Bottom-up co-designed approach to engagement and commissioning processes.</w:t>
            </w:r>
          </w:p>
        </w:tc>
      </w:tr>
    </w:tbl>
    <w:p w14:paraId="710AB132" w14:textId="45000B9B" w:rsidR="00125F49" w:rsidRPr="00061A6D" w:rsidRDefault="00125F49" w:rsidP="00061A6D">
      <w:pPr>
        <w:pStyle w:val="Heading1"/>
      </w:pPr>
      <w:r w:rsidRPr="00061A6D">
        <w:t>Why is this change needed?</w:t>
      </w:r>
    </w:p>
    <w:p w14:paraId="2718255F" w14:textId="70A41397" w:rsidR="00F91729" w:rsidRDefault="00F91729" w:rsidP="00061A6D">
      <w:r w:rsidRPr="001F00BD">
        <w:t xml:space="preserve">Aboriginal and Torres Strait Islander Community Controlled </w:t>
      </w:r>
      <w:r w:rsidR="000C63DF">
        <w:t xml:space="preserve">Health Services </w:t>
      </w:r>
      <w:r w:rsidRPr="001F00BD">
        <w:t>(ACCH</w:t>
      </w:r>
      <w:r w:rsidR="000C63DF">
        <w:t>S</w:t>
      </w:r>
      <w:r w:rsidRPr="001F00BD">
        <w:t>s) provide culturally safe, community-led care that addresses clinical needs and social determinants of health, leading to better engagement and health equity</w:t>
      </w:r>
      <w:r>
        <w:t xml:space="preserve"> for First Nation people</w:t>
      </w:r>
      <w:r w:rsidRPr="001F00BD">
        <w:t>.</w:t>
      </w:r>
      <w:r>
        <w:rPr>
          <w:rStyle w:val="EndnoteReference"/>
        </w:rPr>
        <w:endnoteReference w:id="2"/>
      </w:r>
      <w:r>
        <w:t xml:space="preserve"> </w:t>
      </w:r>
      <w:r w:rsidR="00E679C7" w:rsidRPr="00E679C7">
        <w:t xml:space="preserve">Aboriginal and Torres Strait Islander primary health care professionals </w:t>
      </w:r>
      <w:r w:rsidRPr="001F00BD">
        <w:t>are essential for bridging cultural gaps and supporting prevention and early intervention.</w:t>
      </w:r>
      <w:r>
        <w:rPr>
          <w:rStyle w:val="EndnoteReference"/>
        </w:rPr>
        <w:endnoteReference w:id="3"/>
      </w:r>
      <w:r>
        <w:t xml:space="preserve"> </w:t>
      </w:r>
      <w:r w:rsidRPr="009E3177">
        <w:t>In line with Priority 2 of the National Agreement on Closing the Gap</w:t>
      </w:r>
      <w:r>
        <w:t xml:space="preserve"> to support and strengthen the community controlled sector</w:t>
      </w:r>
      <w:r w:rsidRPr="009E3177">
        <w:t xml:space="preserve">, we are committed to supporting First Nations </w:t>
      </w:r>
      <w:r>
        <w:t xml:space="preserve">leadership at the forefront of program planning and decision-making. </w:t>
      </w:r>
    </w:p>
    <w:p w14:paraId="7BB9C7E0" w14:textId="77777777" w:rsidR="00F91729" w:rsidRPr="00972D97" w:rsidRDefault="00F91729" w:rsidP="00061A6D">
      <w:r w:rsidRPr="00972D97">
        <w:lastRenderedPageBreak/>
        <w:t xml:space="preserve">In the context of ITC, transition refers primarily to program management, commissioning, contracting, and regional planning for ITC delivery across a region, </w:t>
      </w:r>
      <w:r>
        <w:t>not strictly</w:t>
      </w:r>
      <w:r w:rsidRPr="00972D97">
        <w:t xml:space="preserve"> service delivery.</w:t>
      </w:r>
    </w:p>
    <w:p w14:paraId="0E86F312" w14:textId="09DE26E2" w:rsidR="001F00BD" w:rsidRDefault="009E3177" w:rsidP="00061A6D">
      <w:r w:rsidRPr="009E3177">
        <w:t xml:space="preserve">Chronic </w:t>
      </w:r>
      <w:r w:rsidR="001F00BD">
        <w:t>conditions</w:t>
      </w:r>
      <w:r w:rsidRPr="009E3177">
        <w:t xml:space="preserve"> </w:t>
      </w:r>
      <w:r w:rsidR="001F00BD" w:rsidRPr="009E3177">
        <w:t>drive</w:t>
      </w:r>
      <w:r w:rsidRPr="009E3177">
        <w:t xml:space="preserve"> </w:t>
      </w:r>
      <w:r w:rsidR="001F00BD">
        <w:t>more than two-thirds (70%)</w:t>
      </w:r>
      <w:r w:rsidRPr="009E3177">
        <w:t xml:space="preserve"> of the </w:t>
      </w:r>
      <w:r w:rsidR="001F00BD">
        <w:t>gap in disease burden for First Nations people</w:t>
      </w:r>
      <w:r w:rsidRPr="009E3177">
        <w:t>.</w:t>
      </w:r>
      <w:r w:rsidR="009768C7">
        <w:rPr>
          <w:rStyle w:val="EndnoteReference"/>
        </w:rPr>
        <w:endnoteReference w:id="4"/>
      </w:r>
      <w:r w:rsidRPr="009E3177">
        <w:t xml:space="preserve"> </w:t>
      </w:r>
      <w:r w:rsidR="001F00BD">
        <w:t>I</w:t>
      </w:r>
      <w:r w:rsidRPr="009E3177">
        <w:t>mproved outcomes</w:t>
      </w:r>
      <w:r w:rsidR="001F00BD">
        <w:t xml:space="preserve"> for First Nations people</w:t>
      </w:r>
      <w:r w:rsidRPr="009E3177">
        <w:t xml:space="preserve"> rely on genuine community ownership of health decisions, cultural safety, and self-determination.</w:t>
      </w:r>
      <w:r w:rsidR="009768C7">
        <w:rPr>
          <w:rStyle w:val="EndnoteReference"/>
        </w:rPr>
        <w:endnoteReference w:id="5"/>
      </w:r>
    </w:p>
    <w:p w14:paraId="643740B0" w14:textId="22E614A6" w:rsidR="00125F49" w:rsidRPr="00061A6D" w:rsidRDefault="00125F49" w:rsidP="00061A6D">
      <w:pPr>
        <w:pStyle w:val="Heading1"/>
      </w:pPr>
      <w:r w:rsidRPr="00061A6D">
        <w:t>Who decides?</w:t>
      </w:r>
    </w:p>
    <w:p w14:paraId="524128EF" w14:textId="2881FA98" w:rsidR="002F7CF3" w:rsidRDefault="002F7CF3" w:rsidP="00061A6D">
      <w:pPr>
        <w:pStyle w:val="ListBullet"/>
      </w:pPr>
      <w:r>
        <w:t xml:space="preserve">An EOI process will invite First Nations led organisations to lead ITC program delivery </w:t>
      </w:r>
      <w:r w:rsidR="001206C7">
        <w:t>and propose regionally tailored models.</w:t>
      </w:r>
    </w:p>
    <w:p w14:paraId="0B9173BA" w14:textId="2539F7CB" w:rsidR="00AB3998" w:rsidRDefault="008B3B74" w:rsidP="00061A6D">
      <w:pPr>
        <w:pStyle w:val="ListBullet"/>
      </w:pPr>
      <w:r>
        <w:t xml:space="preserve">Early Adopters </w:t>
      </w:r>
      <w:r w:rsidR="00D06AB6">
        <w:t xml:space="preserve">refers to the first group of </w:t>
      </w:r>
      <w:r w:rsidR="00AB3998">
        <w:t>First Nations-led organisations selected for ITC program funding and ownership following the EOI process. These organisations will collaborate with the predecessor ITC grantees during a designated handover period to implement transition plans for clients and staff where required, providing an opportunity to pilot, review,</w:t>
      </w:r>
      <w:r>
        <w:t xml:space="preserve"> test and adjust approach</w:t>
      </w:r>
      <w:r w:rsidR="00AB3998">
        <w:t>es.</w:t>
      </w:r>
    </w:p>
    <w:p w14:paraId="03AD40E3" w14:textId="7C550DF6" w:rsidR="001206C7" w:rsidRDefault="001206C7" w:rsidP="00061A6D">
      <w:pPr>
        <w:pStyle w:val="ListBullet"/>
      </w:pPr>
      <w:r>
        <w:t xml:space="preserve">A representative </w:t>
      </w:r>
      <w:r w:rsidR="00830F73">
        <w:t>Transition Advisory Group</w:t>
      </w:r>
      <w:r>
        <w:t xml:space="preserve"> will be established to </w:t>
      </w:r>
      <w:r w:rsidR="008B3B74">
        <w:t xml:space="preserve">develop selection criteria and </w:t>
      </w:r>
      <w:r>
        <w:t>assess EOIs to select</w:t>
      </w:r>
      <w:r w:rsidR="003B46C2">
        <w:t xml:space="preserve"> the</w:t>
      </w:r>
      <w:r>
        <w:t xml:space="preserve"> Early Adopters.</w:t>
      </w:r>
    </w:p>
    <w:p w14:paraId="7088F308" w14:textId="4E181A5D" w:rsidR="00EE418C" w:rsidRDefault="008B3B74" w:rsidP="00061A6D">
      <w:pPr>
        <w:pStyle w:val="ListBullet"/>
      </w:pPr>
      <w:r>
        <w:t xml:space="preserve">It is </w:t>
      </w:r>
      <w:r w:rsidR="00EE418C">
        <w:t>expected</w:t>
      </w:r>
      <w:r>
        <w:t xml:space="preserve"> that EOI respondents will </w:t>
      </w:r>
      <w:r w:rsidR="00EE418C">
        <w:t>clearly articulate their strategies for ITC program planning and delivery within their respective</w:t>
      </w:r>
      <w:r w:rsidR="003B46C2">
        <w:t xml:space="preserve"> </w:t>
      </w:r>
      <w:r>
        <w:t>region</w:t>
      </w:r>
      <w:r w:rsidR="003B46C2">
        <w:t>/</w:t>
      </w:r>
      <w:r>
        <w:t>s</w:t>
      </w:r>
      <w:r w:rsidR="00EE418C">
        <w:t>.</w:t>
      </w:r>
      <w:r w:rsidR="003B46C2">
        <w:t xml:space="preserve"> </w:t>
      </w:r>
      <w:r w:rsidR="00EE418C">
        <w:t xml:space="preserve">This would include details on how service continuity for geographically dispersed ITC clients will </w:t>
      </w:r>
      <w:r w:rsidR="009845B0">
        <w:t>be maintained</w:t>
      </w:r>
      <w:r w:rsidR="00EE418C">
        <w:t>,</w:t>
      </w:r>
      <w:r w:rsidR="009845B0">
        <w:t xml:space="preserve"> mainstream health referral pathways expanded or sustained, and partnerships strengthened with local healthcare infrastructure (e.g., GP clinics, local hospital networks, medical goods</w:t>
      </w:r>
      <w:r w:rsidR="005F1FDA">
        <w:t>’</w:t>
      </w:r>
      <w:r w:rsidR="009845B0">
        <w:t xml:space="preserve"> suppliers)</w:t>
      </w:r>
      <w:r w:rsidR="00EE418C">
        <w:t xml:space="preserve"> </w:t>
      </w:r>
    </w:p>
    <w:p w14:paraId="11CC59F7" w14:textId="776C5F51" w:rsidR="00125F49" w:rsidRPr="00061A6D" w:rsidRDefault="00125F49" w:rsidP="00061A6D">
      <w:pPr>
        <w:pStyle w:val="Heading1"/>
      </w:pPr>
      <w:r w:rsidRPr="00061A6D">
        <w:t>How will transition be managed?</w:t>
      </w:r>
    </w:p>
    <w:p w14:paraId="4E7F55D8" w14:textId="139FE2CA" w:rsidR="00DD35B8" w:rsidRDefault="00DD35B8" w:rsidP="00061A6D">
      <w:pPr>
        <w:pStyle w:val="ListBullet"/>
      </w:pPr>
      <w:r w:rsidRPr="00DD35B8">
        <w:t xml:space="preserve">Mechanisms will be </w:t>
      </w:r>
      <w:r w:rsidR="009845B0">
        <w:t>established</w:t>
      </w:r>
      <w:r w:rsidRPr="00DD35B8">
        <w:t xml:space="preserve"> to ensure smooth, well-coordinated transition</w:t>
      </w:r>
      <w:r w:rsidR="004235B1">
        <w:t>s</w:t>
      </w:r>
      <w:r w:rsidRPr="00DD35B8">
        <w:t xml:space="preserve"> for </w:t>
      </w:r>
      <w:r>
        <w:t xml:space="preserve">PHN regions </w:t>
      </w:r>
      <w:r w:rsidR="00E22911">
        <w:t xml:space="preserve">considering </w:t>
      </w:r>
      <w:r>
        <w:t xml:space="preserve">ITC-supported clients and staff. </w:t>
      </w:r>
      <w:r w:rsidR="005F1FDA">
        <w:t>Planned elements</w:t>
      </w:r>
      <w:r w:rsidR="004235B1">
        <w:t xml:space="preserve"> include:</w:t>
      </w:r>
    </w:p>
    <w:p w14:paraId="42C002A2" w14:textId="0F9EF377" w:rsidR="00D22BB7" w:rsidRDefault="00D22BB7" w:rsidP="00061A6D">
      <w:pPr>
        <w:pStyle w:val="ListBullet2"/>
      </w:pPr>
      <w:r>
        <w:t xml:space="preserve">A </w:t>
      </w:r>
      <w:r w:rsidR="00E22911">
        <w:t xml:space="preserve">flexible </w:t>
      </w:r>
      <w:r>
        <w:t xml:space="preserve">handover period with </w:t>
      </w:r>
      <w:r w:rsidR="004235B1">
        <w:t xml:space="preserve">dual funding </w:t>
      </w:r>
      <w:r w:rsidR="00E22911">
        <w:t>for</w:t>
      </w:r>
      <w:r w:rsidR="004235B1">
        <w:t xml:space="preserve"> predecessor and </w:t>
      </w:r>
      <w:r w:rsidR="00E22911">
        <w:t xml:space="preserve">successor grant </w:t>
      </w:r>
      <w:proofErr w:type="gramStart"/>
      <w:r w:rsidR="00E22911">
        <w:t>holders;</w:t>
      </w:r>
      <w:proofErr w:type="gramEnd"/>
    </w:p>
    <w:p w14:paraId="678C2575" w14:textId="7BA80C79" w:rsidR="00E22911" w:rsidRDefault="00E22911" w:rsidP="00061A6D">
      <w:pPr>
        <w:pStyle w:val="ListBullet2"/>
      </w:pPr>
      <w:r>
        <w:t>Region-specific transition plans; and</w:t>
      </w:r>
    </w:p>
    <w:p w14:paraId="771E28C5" w14:textId="3A48B535" w:rsidR="00E22911" w:rsidRDefault="00E22911" w:rsidP="00061A6D">
      <w:pPr>
        <w:pStyle w:val="ListBullet2"/>
      </w:pPr>
      <w:r>
        <w:t>Communication of changes to stakeholders</w:t>
      </w:r>
      <w:r w:rsidR="00644DEA">
        <w:t xml:space="preserve"> (local providers, staff and clients)</w:t>
      </w:r>
      <w:r>
        <w:t>.</w:t>
      </w:r>
    </w:p>
    <w:p w14:paraId="31556FF8" w14:textId="0AF24806" w:rsidR="00E22911" w:rsidRDefault="00E22911" w:rsidP="00061A6D">
      <w:pPr>
        <w:pStyle w:val="ListBullet"/>
      </w:pPr>
      <w:r>
        <w:t>Capacity building and additional funding will be considered as required.</w:t>
      </w:r>
    </w:p>
    <w:p w14:paraId="68DC5295" w14:textId="0D07539D" w:rsidR="00DD35B8" w:rsidRPr="00DD35B8" w:rsidRDefault="00DD35B8" w:rsidP="00061A6D">
      <w:pPr>
        <w:pStyle w:val="ListBullet"/>
      </w:pPr>
      <w:r w:rsidRPr="00DD35B8">
        <w:t xml:space="preserve">Organisations </w:t>
      </w:r>
      <w:r w:rsidR="00972D97">
        <w:t xml:space="preserve">considered not ready </w:t>
      </w:r>
      <w:r w:rsidR="00830F73">
        <w:t>in the EOI process</w:t>
      </w:r>
      <w:r w:rsidRPr="00DD35B8">
        <w:t xml:space="preserve"> may be considered for later </w:t>
      </w:r>
      <w:r w:rsidR="005F1FDA">
        <w:t>transition</w:t>
      </w:r>
      <w:r w:rsidRPr="00DD35B8">
        <w:t>.</w:t>
      </w:r>
    </w:p>
    <w:p w14:paraId="558A020B" w14:textId="5E8C60BB" w:rsidR="00125F49" w:rsidRPr="00061A6D" w:rsidRDefault="00125F49" w:rsidP="00061A6D">
      <w:pPr>
        <w:pStyle w:val="Heading1"/>
      </w:pPr>
      <w:r w:rsidRPr="00061A6D">
        <w:t>Timeline</w:t>
      </w:r>
    </w:p>
    <w:p w14:paraId="42D04B5F" w14:textId="26695669" w:rsidR="00D72E3C" w:rsidRPr="00061A6D" w:rsidRDefault="00125F49" w:rsidP="00061A6D">
      <w:r w:rsidRPr="00061A6D">
        <w:t xml:space="preserve">Since the release of the </w:t>
      </w:r>
      <w:hyperlink r:id="rId12" w:tooltip="Link to the Review of First Nations mental health and suicide prevention services and the Integrated Team Care program – Final report" w:history="1">
        <w:r w:rsidRPr="00061A6D">
          <w:rPr>
            <w:rStyle w:val="Hyperlink"/>
          </w:rPr>
          <w:t>review of First Nations mental health and suicide prevention services and the Integrated Team Care program</w:t>
        </w:r>
        <w:r w:rsidR="008D2D6D" w:rsidRPr="00061A6D">
          <w:rPr>
            <w:rStyle w:val="Hyperlink"/>
          </w:rPr>
          <w:t xml:space="preserve"> (the Review</w:t>
        </w:r>
        <w:r w:rsidRPr="00061A6D">
          <w:rPr>
            <w:rStyle w:val="Hyperlink"/>
          </w:rPr>
          <w:t>)</w:t>
        </w:r>
      </w:hyperlink>
      <w:r w:rsidR="008D2D6D" w:rsidRPr="00061A6D">
        <w:t xml:space="preserve"> by </w:t>
      </w:r>
      <w:r w:rsidR="000C63DF" w:rsidRPr="00061A6D">
        <w:t>Ninti One Limited and First Nations Co, the department has been engaging closely with ITC stakeholders to plan the next steps.</w:t>
      </w:r>
    </w:p>
    <w:p w14:paraId="0323004E" w14:textId="32A6841B" w:rsidR="00817606" w:rsidRPr="00061A6D" w:rsidRDefault="00817606" w:rsidP="00061A6D">
      <w:pPr>
        <w:pStyle w:val="ListBullet3"/>
      </w:pPr>
      <w:r w:rsidRPr="00F92281">
        <w:rPr>
          <w:rStyle w:val="Strong"/>
        </w:rPr>
        <w:lastRenderedPageBreak/>
        <w:t>September 2022–January 2024</w:t>
      </w:r>
      <w:r w:rsidRPr="00061A6D">
        <w:t xml:space="preserve">: Review </w:t>
      </w:r>
      <w:r w:rsidR="00AE7BF7" w:rsidRPr="00061A6D">
        <w:t xml:space="preserve">was commissioned </w:t>
      </w:r>
      <w:r w:rsidRPr="00061A6D">
        <w:t>to assess sector capacity, capability and willingness services to deliver and/or commission</w:t>
      </w:r>
      <w:r w:rsidR="00AE7BF7" w:rsidRPr="00061A6D">
        <w:t xml:space="preserve"> ITC</w:t>
      </w:r>
      <w:r w:rsidRPr="00061A6D">
        <w:t xml:space="preserve"> services. </w:t>
      </w:r>
      <w:r w:rsidR="00AE7BF7" w:rsidRPr="00061A6D">
        <w:t xml:space="preserve">Input was provided by an Expert Advisory Group and through culturally </w:t>
      </w:r>
      <w:r w:rsidR="000C63DF" w:rsidRPr="00061A6D">
        <w:t>focused</w:t>
      </w:r>
      <w:r w:rsidR="00AE7BF7" w:rsidRPr="00061A6D">
        <w:t xml:space="preserve"> engagement with over 500 stakeholders </w:t>
      </w:r>
      <w:proofErr w:type="gramStart"/>
      <w:r w:rsidR="00AE7BF7" w:rsidRPr="00061A6D">
        <w:t>sector</w:t>
      </w:r>
      <w:r w:rsidR="000C63DF" w:rsidRPr="00061A6D">
        <w:t>-</w:t>
      </w:r>
      <w:r w:rsidR="00AE7BF7" w:rsidRPr="00061A6D">
        <w:t>wide</w:t>
      </w:r>
      <w:proofErr w:type="gramEnd"/>
      <w:r w:rsidR="00AE7BF7" w:rsidRPr="00061A6D">
        <w:t xml:space="preserve">. </w:t>
      </w:r>
    </w:p>
    <w:p w14:paraId="189EDBAD" w14:textId="51F2E91D" w:rsidR="00C15DF2" w:rsidRPr="00061A6D" w:rsidRDefault="00AE7BF7" w:rsidP="00061A6D">
      <w:pPr>
        <w:pStyle w:val="ListBullet3"/>
      </w:pPr>
      <w:r w:rsidRPr="00F92281">
        <w:rPr>
          <w:rStyle w:val="Strong"/>
        </w:rPr>
        <w:t>February 2024</w:t>
      </w:r>
      <w:r w:rsidRPr="00061A6D">
        <w:t xml:space="preserve">: </w:t>
      </w:r>
      <w:r w:rsidR="00C15DF2" w:rsidRPr="00061A6D">
        <w:t xml:space="preserve">The department moved to extend ITC grant </w:t>
      </w:r>
      <w:r w:rsidR="000C63DF" w:rsidRPr="00061A6D">
        <w:t>agreements</w:t>
      </w:r>
      <w:r w:rsidR="00C15DF2" w:rsidRPr="00061A6D">
        <w:t xml:space="preserve"> for</w:t>
      </w:r>
      <w:r w:rsidRPr="00061A6D">
        <w:t xml:space="preserve"> 2024-25.</w:t>
      </w:r>
    </w:p>
    <w:p w14:paraId="55785285" w14:textId="273E72FD" w:rsidR="008D2D6D" w:rsidRPr="00061A6D" w:rsidRDefault="008D2D6D" w:rsidP="00061A6D">
      <w:pPr>
        <w:pStyle w:val="ListBullet3"/>
        <w:rPr>
          <w:rStyle w:val="Strong"/>
        </w:rPr>
      </w:pPr>
      <w:r w:rsidRPr="00061A6D">
        <w:rPr>
          <w:rStyle w:val="Strong"/>
        </w:rPr>
        <w:t>May 2024</w:t>
      </w:r>
      <w:r w:rsidRPr="008D2D6D">
        <w:t xml:space="preserve">: </w:t>
      </w:r>
      <w:r>
        <w:t xml:space="preserve">The </w:t>
      </w:r>
      <w:r w:rsidR="004D10FF">
        <w:t xml:space="preserve">complete </w:t>
      </w:r>
      <w:r>
        <w:t xml:space="preserve">Review </w:t>
      </w:r>
      <w:r w:rsidR="004D10FF">
        <w:t>was made available</w:t>
      </w:r>
      <w:r>
        <w:t xml:space="preserve"> on the department’s website.</w:t>
      </w:r>
    </w:p>
    <w:p w14:paraId="080C296B" w14:textId="14665908" w:rsidR="004D1792" w:rsidRPr="00061A6D" w:rsidRDefault="008D2D6D" w:rsidP="00061A6D">
      <w:pPr>
        <w:pStyle w:val="ListBullet3"/>
        <w:rPr>
          <w:rStyle w:val="Strong"/>
        </w:rPr>
      </w:pPr>
      <w:r w:rsidRPr="00061A6D">
        <w:rPr>
          <w:rStyle w:val="Strong"/>
        </w:rPr>
        <w:t>July</w:t>
      </w:r>
      <w:r w:rsidR="004D1792" w:rsidRPr="00061A6D">
        <w:rPr>
          <w:rStyle w:val="Strong"/>
        </w:rPr>
        <w:t xml:space="preserve"> 2024</w:t>
      </w:r>
      <w:r>
        <w:t xml:space="preserve">: </w:t>
      </w:r>
      <w:r w:rsidR="000C63DF" w:rsidRPr="000C63DF">
        <w:t>Consultation on the ITC Program Implementation Guidelines with ITC commissioning bodies and subsequent updated.</w:t>
      </w:r>
    </w:p>
    <w:p w14:paraId="2C84115C" w14:textId="4F60D94F" w:rsidR="00C15DF2" w:rsidRPr="00061A6D" w:rsidRDefault="008D2D6D" w:rsidP="00061A6D">
      <w:pPr>
        <w:pStyle w:val="ListBullet3"/>
      </w:pPr>
      <w:r w:rsidRPr="00F92281">
        <w:rPr>
          <w:rStyle w:val="Strong"/>
        </w:rPr>
        <w:t>December 2024</w:t>
      </w:r>
      <w:r w:rsidRPr="00061A6D">
        <w:t xml:space="preserve">: </w:t>
      </w:r>
      <w:r w:rsidR="00C15DF2" w:rsidRPr="00061A6D">
        <w:t>Over 250 people joined a public webinar by the</w:t>
      </w:r>
      <w:r w:rsidRPr="00061A6D">
        <w:t xml:space="preserve"> </w:t>
      </w:r>
      <w:r w:rsidR="00C15DF2" w:rsidRPr="00061A6D">
        <w:t>department</w:t>
      </w:r>
      <w:r w:rsidR="0080518D" w:rsidRPr="00061A6D">
        <w:t xml:space="preserve"> to discuss </w:t>
      </w:r>
      <w:r w:rsidR="00C15DF2" w:rsidRPr="00061A6D">
        <w:t>the findings of the Review</w:t>
      </w:r>
      <w:r w:rsidRPr="00061A6D">
        <w:t xml:space="preserve"> </w:t>
      </w:r>
      <w:r w:rsidR="0080518D" w:rsidRPr="00061A6D">
        <w:t xml:space="preserve">and next steps for the ITC program. </w:t>
      </w:r>
    </w:p>
    <w:p w14:paraId="7A47B38C" w14:textId="5523D952" w:rsidR="00AE7BF7" w:rsidRPr="00061A6D" w:rsidRDefault="00AE7BF7" w:rsidP="00061A6D">
      <w:pPr>
        <w:pStyle w:val="ListBullet3"/>
        <w:rPr>
          <w:rStyle w:val="Strong"/>
        </w:rPr>
      </w:pPr>
      <w:r w:rsidRPr="00061A6D">
        <w:rPr>
          <w:rStyle w:val="Strong"/>
        </w:rPr>
        <w:t>February 2025</w:t>
      </w:r>
      <w:r w:rsidRPr="00AE7BF7">
        <w:t>:</w:t>
      </w:r>
      <w:r>
        <w:t xml:space="preserve"> </w:t>
      </w:r>
      <w:r w:rsidR="00C15DF2" w:rsidRPr="00C15DF2">
        <w:t xml:space="preserve">The department moved to extend ITC grant </w:t>
      </w:r>
      <w:r w:rsidR="000C63DF">
        <w:t>agreements</w:t>
      </w:r>
      <w:r w:rsidR="00C15DF2" w:rsidRPr="00C15DF2">
        <w:t xml:space="preserve"> for </w:t>
      </w:r>
      <w:r w:rsidR="00C15DF2">
        <w:t>2025-26.</w:t>
      </w:r>
    </w:p>
    <w:p w14:paraId="4C0524C6" w14:textId="6AC51357" w:rsidR="006D567F" w:rsidRPr="00061A6D" w:rsidRDefault="006D567F" w:rsidP="00061A6D">
      <w:pPr>
        <w:pStyle w:val="ListBullet3"/>
        <w:rPr>
          <w:rStyle w:val="Strong"/>
        </w:rPr>
      </w:pPr>
      <w:r w:rsidRPr="00061A6D">
        <w:rPr>
          <w:rStyle w:val="Strong"/>
        </w:rPr>
        <w:t>March 2025</w:t>
      </w:r>
      <w:r>
        <w:t xml:space="preserve">: The ITC transition fact sheet and FAQs </w:t>
      </w:r>
      <w:r w:rsidR="00AE37C8">
        <w:t>were</w:t>
      </w:r>
      <w:r>
        <w:t xml:space="preserve"> published.</w:t>
      </w:r>
    </w:p>
    <w:p w14:paraId="53BA4CD8" w14:textId="38DDA70F" w:rsidR="006D567F" w:rsidRPr="00061A6D" w:rsidRDefault="006D567F" w:rsidP="00061A6D">
      <w:pPr>
        <w:pStyle w:val="ListBullet3"/>
        <w:rPr>
          <w:rStyle w:val="Strong"/>
        </w:rPr>
      </w:pPr>
      <w:r w:rsidRPr="00061A6D">
        <w:rPr>
          <w:rStyle w:val="Strong"/>
        </w:rPr>
        <w:t>May 2025</w:t>
      </w:r>
      <w:r>
        <w:t xml:space="preserve">: </w:t>
      </w:r>
      <w:r w:rsidR="00AE37C8" w:rsidRPr="00AE37C8">
        <w:t>ITC PHN Roundtable held to gather insights on transition strategies</w:t>
      </w:r>
      <w:r w:rsidR="00AE37C8">
        <w:t>, reasonable timeframes</w:t>
      </w:r>
      <w:r w:rsidR="00AE37C8" w:rsidRPr="00AE37C8">
        <w:t xml:space="preserve"> and</w:t>
      </w:r>
      <w:r w:rsidR="00AE37C8">
        <w:t xml:space="preserve"> preliminary</w:t>
      </w:r>
      <w:r w:rsidR="00AE37C8" w:rsidRPr="00AE37C8">
        <w:t xml:space="preserve"> impac</w:t>
      </w:r>
      <w:r w:rsidR="00AE37C8">
        <w:t>ts</w:t>
      </w:r>
      <w:r w:rsidR="00AE37C8" w:rsidRPr="00AE37C8">
        <w:t>.</w:t>
      </w:r>
    </w:p>
    <w:p w14:paraId="2DD07691" w14:textId="30964A1A" w:rsidR="004E2BDA" w:rsidRPr="00F92281" w:rsidRDefault="006D567F" w:rsidP="00061A6D">
      <w:pPr>
        <w:pStyle w:val="ListBullet3"/>
        <w:rPr>
          <w:rStyle w:val="Strong"/>
        </w:rPr>
      </w:pPr>
      <w:r w:rsidRPr="00F92281">
        <w:rPr>
          <w:rStyle w:val="Strong"/>
        </w:rPr>
        <w:t>June 2025</w:t>
      </w:r>
    </w:p>
    <w:p w14:paraId="7133E7A4" w14:textId="7111B55A" w:rsidR="00AE37C8" w:rsidRPr="00AE37C8" w:rsidRDefault="00AE37C8" w:rsidP="00F92281">
      <w:pPr>
        <w:pStyle w:val="ListBullet4"/>
      </w:pPr>
      <w:r w:rsidRPr="00AE37C8">
        <w:t>ITC commissioning outline developed, and feasibility tested</w:t>
      </w:r>
      <w:r>
        <w:t xml:space="preserve"> with PHN Roundtable participants and the Institute for Urban Indigenous Health</w:t>
      </w:r>
      <w:r w:rsidR="00CF5D40">
        <w:t xml:space="preserve"> (IUIH)</w:t>
      </w:r>
      <w:r>
        <w:t>.</w:t>
      </w:r>
    </w:p>
    <w:p w14:paraId="45659802" w14:textId="5002BB8A" w:rsidR="00AE37C8" w:rsidRDefault="00AE37C8" w:rsidP="00F92281">
      <w:pPr>
        <w:pStyle w:val="ListBullet4"/>
      </w:pPr>
      <w:r w:rsidRPr="00AE37C8">
        <w:t>ITC Data Analytics project launched to map</w:t>
      </w:r>
      <w:r>
        <w:t xml:space="preserve"> ITC </w:t>
      </w:r>
      <w:r w:rsidRPr="00AE37C8">
        <w:t xml:space="preserve">service supply/demand and </w:t>
      </w:r>
      <w:r>
        <w:t>develop</w:t>
      </w:r>
      <w:r w:rsidRPr="00AE37C8">
        <w:t xml:space="preserve"> an equitable funding model.</w:t>
      </w:r>
      <w:r w:rsidR="00817606">
        <w:t xml:space="preserve"> A Data Working Group with sector representatives was established to advise this work.</w:t>
      </w:r>
    </w:p>
    <w:p w14:paraId="298A6706" w14:textId="2187E735" w:rsidR="006B7B52" w:rsidRPr="00061A6D" w:rsidRDefault="00C15DF2" w:rsidP="00061A6D">
      <w:pPr>
        <w:pStyle w:val="ListBullet3"/>
      </w:pPr>
      <w:r w:rsidRPr="00061A6D">
        <w:rPr>
          <w:rStyle w:val="Strong"/>
        </w:rPr>
        <w:t>October 2025</w:t>
      </w:r>
      <w:r w:rsidRPr="00061A6D">
        <w:t xml:space="preserve">: </w:t>
      </w:r>
      <w:r w:rsidR="006B7B52" w:rsidRPr="00061A6D">
        <w:t>The department held a public webinar to outline upcoming steps and methods for the ITC transition.</w:t>
      </w:r>
    </w:p>
    <w:p w14:paraId="05893281" w14:textId="68F0A9A9" w:rsidR="00912AE1" w:rsidRPr="00061A6D" w:rsidRDefault="00135DC3" w:rsidP="00061A6D">
      <w:pPr>
        <w:pStyle w:val="ListBullet3"/>
      </w:pPr>
      <w:r w:rsidRPr="00061A6D">
        <w:rPr>
          <w:rStyle w:val="Strong"/>
        </w:rPr>
        <w:t>2026 onwards</w:t>
      </w:r>
      <w:r w:rsidR="00ED1566" w:rsidRPr="00061A6D">
        <w:t xml:space="preserve">: </w:t>
      </w:r>
      <w:r w:rsidR="000C63DF" w:rsidRPr="00061A6D">
        <w:t>D</w:t>
      </w:r>
      <w:r w:rsidR="007B46D8" w:rsidRPr="00061A6D">
        <w:t xml:space="preserve">etails </w:t>
      </w:r>
      <w:r w:rsidR="00220FA0" w:rsidRPr="00061A6D">
        <w:t xml:space="preserve">and timelines </w:t>
      </w:r>
      <w:r w:rsidR="00912AE1" w:rsidRPr="00061A6D">
        <w:t xml:space="preserve">will be </w:t>
      </w:r>
      <w:r w:rsidR="000C63DF" w:rsidRPr="00061A6D">
        <w:t>updated throughout the transition process.</w:t>
      </w:r>
      <w:r w:rsidR="00912AE1" w:rsidRPr="00061A6D">
        <w:t xml:space="preserve"> </w:t>
      </w:r>
    </w:p>
    <w:bookmarkEnd w:id="0"/>
    <w:p w14:paraId="6B5C1524" w14:textId="77777777" w:rsidR="007B46D8" w:rsidRDefault="007B46D8" w:rsidP="00F92281">
      <w:pPr>
        <w:pStyle w:val="ListBullet4"/>
      </w:pPr>
      <w:r w:rsidRPr="007B46D8">
        <w:t>Feedback on the EOI process will be gathered via a pre-survey.</w:t>
      </w:r>
    </w:p>
    <w:p w14:paraId="46A3E922" w14:textId="186742BF" w:rsidR="007B46D8" w:rsidRDefault="007B46D8" w:rsidP="00F92281">
      <w:pPr>
        <w:pStyle w:val="ListBullet4"/>
      </w:pPr>
      <w:r w:rsidRPr="007B46D8">
        <w:t xml:space="preserve">An EOI process will select Early Adopters for assessment by the </w:t>
      </w:r>
      <w:r w:rsidR="00830F73">
        <w:t>Transition Advisory Group</w:t>
      </w:r>
      <w:r w:rsidRPr="007B46D8">
        <w:t>.</w:t>
      </w:r>
    </w:p>
    <w:p w14:paraId="19339C4A" w14:textId="0213A3A7" w:rsidR="007B46D8" w:rsidRDefault="007B46D8" w:rsidP="00F92281">
      <w:pPr>
        <w:pStyle w:val="ListBullet4"/>
      </w:pPr>
      <w:r w:rsidRPr="007B46D8">
        <w:t xml:space="preserve">Those recommended will become new ITC grantees, while current fundholders receive continued support during </w:t>
      </w:r>
      <w:r w:rsidR="00220FA0">
        <w:t>a</w:t>
      </w:r>
      <w:r w:rsidRPr="007B46D8">
        <w:t xml:space="preserve"> handover</w:t>
      </w:r>
      <w:r w:rsidR="00220FA0">
        <w:t xml:space="preserve"> period</w:t>
      </w:r>
      <w:r w:rsidRPr="007B46D8">
        <w:t>.</w:t>
      </w:r>
    </w:p>
    <w:p w14:paraId="6BFF7BAD" w14:textId="77777777" w:rsidR="007B46D8" w:rsidRPr="007B46D8" w:rsidRDefault="007B46D8" w:rsidP="00F92281">
      <w:pPr>
        <w:pStyle w:val="ListBullet4"/>
      </w:pPr>
      <w:r w:rsidRPr="007B46D8">
        <w:t>Additional rounds may occur as the transition progresses.</w:t>
      </w:r>
    </w:p>
    <w:p w14:paraId="64C7909E" w14:textId="7357F3F2" w:rsidR="00125F49" w:rsidRPr="00061A6D" w:rsidRDefault="00125F49" w:rsidP="00061A6D">
      <w:pPr>
        <w:pStyle w:val="Heading1"/>
      </w:pPr>
      <w:r w:rsidRPr="00061A6D">
        <w:t>Top FAQs</w:t>
      </w:r>
    </w:p>
    <w:p w14:paraId="19545820" w14:textId="596CF254" w:rsidR="0091281C" w:rsidRDefault="0091281C" w:rsidP="003923D0">
      <w:pPr>
        <w:pStyle w:val="ListNumber"/>
        <w:numPr>
          <w:ilvl w:val="0"/>
          <w:numId w:val="18"/>
        </w:numPr>
      </w:pPr>
      <w:r>
        <w:t>What does the future state of ITC look like?</w:t>
      </w:r>
    </w:p>
    <w:p w14:paraId="5BE4387F" w14:textId="2595E9DB" w:rsidR="001206C7" w:rsidRDefault="005F1FDA" w:rsidP="00061A6D">
      <w:r w:rsidRPr="005F1FDA">
        <w:t>Following consultation with the sector, four primary “models” for future ITC program delivery are below. A hybrid approach is expected nationally, allowing each region to adopt the model that makes best use of the local health infrastructure and meets local needs. The proposed models include</w:t>
      </w:r>
      <w:r w:rsidR="00D213F2">
        <w:t>:</w:t>
      </w:r>
    </w:p>
    <w:tbl>
      <w:tblPr>
        <w:tblStyle w:val="GridTable7Colorful-Accent2"/>
        <w:tblW w:w="10065" w:type="dxa"/>
        <w:tblInd w:w="-567" w:type="dxa"/>
        <w:tblLook w:val="04A0" w:firstRow="1" w:lastRow="0" w:firstColumn="1" w:lastColumn="0" w:noHBand="0" w:noVBand="1"/>
      </w:tblPr>
      <w:tblGrid>
        <w:gridCol w:w="2452"/>
        <w:gridCol w:w="2024"/>
        <w:gridCol w:w="1982"/>
        <w:gridCol w:w="1733"/>
        <w:gridCol w:w="1874"/>
      </w:tblGrid>
      <w:tr w:rsidR="00D213F2" w:rsidRPr="00D213F2" w14:paraId="1B8C2B6A" w14:textId="77777777" w:rsidTr="003923D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99" w:type="dxa"/>
            <w:vAlign w:val="bottom"/>
          </w:tcPr>
          <w:p w14:paraId="04A32F1A" w14:textId="4BA6D283" w:rsidR="00D213F2" w:rsidRPr="00D213F2" w:rsidRDefault="00D213F2" w:rsidP="00061A6D">
            <w:pPr>
              <w:rPr>
                <w:i/>
              </w:rPr>
            </w:pPr>
            <w:r w:rsidRPr="00D213F2">
              <w:lastRenderedPageBreak/>
              <w:t>Model</w:t>
            </w:r>
          </w:p>
        </w:tc>
        <w:tc>
          <w:tcPr>
            <w:tcW w:w="2196" w:type="dxa"/>
            <w:vAlign w:val="bottom"/>
          </w:tcPr>
          <w:p w14:paraId="688B1CE1" w14:textId="4D320828" w:rsidR="00D213F2" w:rsidRPr="00D213F2" w:rsidRDefault="00D213F2" w:rsidP="00061A6D">
            <w:pPr>
              <w:cnfStyle w:val="100000000000" w:firstRow="1" w:lastRow="0" w:firstColumn="0" w:lastColumn="0" w:oddVBand="0" w:evenVBand="0" w:oddHBand="0" w:evenHBand="0" w:firstRowFirstColumn="0" w:firstRowLastColumn="0" w:lastRowFirstColumn="0" w:lastRowLastColumn="0"/>
            </w:pPr>
            <w:r w:rsidRPr="00D213F2">
              <w:t>Key features</w:t>
            </w:r>
          </w:p>
        </w:tc>
        <w:tc>
          <w:tcPr>
            <w:tcW w:w="2101" w:type="dxa"/>
            <w:vAlign w:val="bottom"/>
          </w:tcPr>
          <w:p w14:paraId="0352B6B7" w14:textId="1251D5FE" w:rsidR="00D213F2" w:rsidRPr="00D213F2" w:rsidRDefault="00D213F2" w:rsidP="00061A6D">
            <w:pPr>
              <w:cnfStyle w:val="100000000000" w:firstRow="1" w:lastRow="0" w:firstColumn="0" w:lastColumn="0" w:oddVBand="0" w:evenVBand="0" w:oddHBand="0" w:evenHBand="0" w:firstRowFirstColumn="0" w:firstRowLastColumn="0" w:lastRowFirstColumn="0" w:lastRowLastColumn="0"/>
            </w:pPr>
            <w:r w:rsidRPr="00D213F2">
              <w:t>Authority</w:t>
            </w:r>
          </w:p>
        </w:tc>
        <w:tc>
          <w:tcPr>
            <w:tcW w:w="1572" w:type="dxa"/>
            <w:vAlign w:val="bottom"/>
          </w:tcPr>
          <w:p w14:paraId="17383BC9" w14:textId="44614996" w:rsidR="00D213F2" w:rsidRPr="00D213F2" w:rsidRDefault="00D213F2" w:rsidP="00061A6D">
            <w:pPr>
              <w:cnfStyle w:val="100000000000" w:firstRow="1" w:lastRow="0" w:firstColumn="0" w:lastColumn="0" w:oddVBand="0" w:evenVBand="0" w:oddHBand="0" w:evenHBand="0" w:firstRowFirstColumn="0" w:firstRowLastColumn="0" w:lastRowFirstColumn="0" w:lastRowLastColumn="0"/>
            </w:pPr>
            <w:r w:rsidRPr="00D213F2">
              <w:t>Funding distribution</w:t>
            </w:r>
          </w:p>
        </w:tc>
        <w:tc>
          <w:tcPr>
            <w:tcW w:w="1997" w:type="dxa"/>
            <w:vAlign w:val="bottom"/>
          </w:tcPr>
          <w:p w14:paraId="635A556D" w14:textId="55B4C77A" w:rsidR="00D213F2" w:rsidRPr="00D213F2" w:rsidRDefault="00D213F2" w:rsidP="00061A6D">
            <w:pPr>
              <w:cnfStyle w:val="100000000000" w:firstRow="1" w:lastRow="0" w:firstColumn="0" w:lastColumn="0" w:oddVBand="0" w:evenVBand="0" w:oddHBand="0" w:evenHBand="0" w:firstRowFirstColumn="0" w:firstRowLastColumn="0" w:lastRowFirstColumn="0" w:lastRowLastColumn="0"/>
            </w:pPr>
            <w:r w:rsidRPr="00D213F2">
              <w:t>Partnership approach</w:t>
            </w:r>
          </w:p>
        </w:tc>
      </w:tr>
      <w:tr w:rsidR="00D213F2" w:rsidRPr="00D213F2" w14:paraId="24D97396" w14:textId="77777777" w:rsidTr="00EC7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dxa"/>
          </w:tcPr>
          <w:p w14:paraId="62F875B6" w14:textId="1ED0BFFE" w:rsidR="00D213F2" w:rsidRPr="003923D0" w:rsidRDefault="00D213F2" w:rsidP="003923D0">
            <w:pPr>
              <w:pStyle w:val="ListNumber2"/>
            </w:pPr>
            <w:r w:rsidRPr="003923D0">
              <w:t>Collaborative First Nations Governed Roundtable Type Model</w:t>
            </w:r>
          </w:p>
        </w:tc>
        <w:tc>
          <w:tcPr>
            <w:tcW w:w="2196" w:type="dxa"/>
          </w:tcPr>
          <w:p w14:paraId="1594B91B" w14:textId="18F682BC" w:rsidR="00D213F2" w:rsidRPr="00D213F2" w:rsidRDefault="00D213F2" w:rsidP="00061A6D">
            <w:pPr>
              <w:cnfStyle w:val="000000100000" w:firstRow="0" w:lastRow="0" w:firstColumn="0" w:lastColumn="0" w:oddVBand="0" w:evenVBand="0" w:oddHBand="1" w:evenHBand="0" w:firstRowFirstColumn="0" w:firstRowLastColumn="0" w:lastRowFirstColumn="0" w:lastRowLastColumn="0"/>
            </w:pPr>
            <w:r w:rsidRPr="00D213F2">
              <w:t>Regionally based partnerships with First Nations-led decision-making in commissioning and program planning processes.</w:t>
            </w:r>
          </w:p>
        </w:tc>
        <w:tc>
          <w:tcPr>
            <w:tcW w:w="2101" w:type="dxa"/>
          </w:tcPr>
          <w:p w14:paraId="70C8AC6C" w14:textId="15DAE9E8" w:rsidR="00D213F2" w:rsidRPr="00D213F2" w:rsidRDefault="00D213F2" w:rsidP="00061A6D">
            <w:pPr>
              <w:cnfStyle w:val="000000100000" w:firstRow="0" w:lastRow="0" w:firstColumn="0" w:lastColumn="0" w:oddVBand="0" w:evenVBand="0" w:oddHBand="1" w:evenHBand="0" w:firstRowFirstColumn="0" w:firstRowLastColumn="0" w:lastRowFirstColumn="0" w:lastRowLastColumn="0"/>
            </w:pPr>
            <w:r w:rsidRPr="00D213F2">
              <w:t>First Nations representatives hold formal authority</w:t>
            </w:r>
            <w:r w:rsidR="00EC7ED4">
              <w:t>.</w:t>
            </w:r>
          </w:p>
        </w:tc>
        <w:tc>
          <w:tcPr>
            <w:tcW w:w="1572" w:type="dxa"/>
          </w:tcPr>
          <w:p w14:paraId="5D8B8BE4" w14:textId="46DFC0F8" w:rsidR="00D213F2" w:rsidRPr="00D213F2" w:rsidRDefault="00D213F2" w:rsidP="00061A6D">
            <w:pPr>
              <w:cnfStyle w:val="000000100000" w:firstRow="0" w:lastRow="0" w:firstColumn="0" w:lastColumn="0" w:oddVBand="0" w:evenVBand="0" w:oddHBand="1" w:evenHBand="0" w:firstRowFirstColumn="0" w:firstRowLastColumn="0" w:lastRowFirstColumn="0" w:lastRowLastColumn="0"/>
            </w:pPr>
            <w:r w:rsidRPr="00D213F2">
              <w:t>PHN ensures equitable funding distribution in partnership with ACCH</w:t>
            </w:r>
            <w:r w:rsidR="005F1FDA">
              <w:t>S</w:t>
            </w:r>
            <w:r w:rsidRPr="00D213F2">
              <w:t>s.</w:t>
            </w:r>
          </w:p>
        </w:tc>
        <w:tc>
          <w:tcPr>
            <w:tcW w:w="1997" w:type="dxa"/>
          </w:tcPr>
          <w:p w14:paraId="4D828FF4" w14:textId="271FF752" w:rsidR="00D213F2" w:rsidRPr="00D213F2" w:rsidRDefault="00D213F2" w:rsidP="00061A6D">
            <w:pPr>
              <w:cnfStyle w:val="000000100000" w:firstRow="0" w:lastRow="0" w:firstColumn="0" w:lastColumn="0" w:oddVBand="0" w:evenVBand="0" w:oddHBand="1" w:evenHBand="0" w:firstRowFirstColumn="0" w:firstRowLastColumn="0" w:lastRowFirstColumn="0" w:lastRowLastColumn="0"/>
            </w:pPr>
            <w:r w:rsidRPr="00D213F2">
              <w:t xml:space="preserve">Unified, </w:t>
            </w:r>
            <w:r w:rsidR="00EC7ED4" w:rsidRPr="00D213F2">
              <w:t>partnership based</w:t>
            </w:r>
            <w:r w:rsidR="00EC7ED4">
              <w:t>.</w:t>
            </w:r>
          </w:p>
        </w:tc>
      </w:tr>
      <w:tr w:rsidR="00EC7ED4" w:rsidRPr="00D213F2" w14:paraId="60D2287F" w14:textId="77777777" w:rsidTr="00EC7ED4">
        <w:tc>
          <w:tcPr>
            <w:cnfStyle w:val="001000000000" w:firstRow="0" w:lastRow="0" w:firstColumn="1" w:lastColumn="0" w:oddVBand="0" w:evenVBand="0" w:oddHBand="0" w:evenHBand="0" w:firstRowFirstColumn="0" w:firstRowLastColumn="0" w:lastRowFirstColumn="0" w:lastRowLastColumn="0"/>
            <w:tcW w:w="2199" w:type="dxa"/>
          </w:tcPr>
          <w:p w14:paraId="6953343A" w14:textId="218EB007" w:rsidR="00D213F2" w:rsidRPr="003923D0" w:rsidRDefault="00D213F2" w:rsidP="003923D0">
            <w:pPr>
              <w:pStyle w:val="ListNumber2"/>
            </w:pPr>
            <w:r w:rsidRPr="003923D0">
              <w:t>First Nations Commissioning Body</w:t>
            </w:r>
          </w:p>
        </w:tc>
        <w:tc>
          <w:tcPr>
            <w:tcW w:w="2196" w:type="dxa"/>
          </w:tcPr>
          <w:p w14:paraId="380775BB" w14:textId="0D11BF2A" w:rsidR="00D213F2" w:rsidRPr="00D213F2" w:rsidRDefault="00D213F2" w:rsidP="00061A6D">
            <w:pPr>
              <w:cnfStyle w:val="000000000000" w:firstRow="0" w:lastRow="0" w:firstColumn="0" w:lastColumn="0" w:oddVBand="0" w:evenVBand="0" w:oddHBand="0" w:evenHBand="0" w:firstRowFirstColumn="0" w:firstRowLastColumn="0" w:lastRowFirstColumn="0" w:lastRowLastColumn="0"/>
            </w:pPr>
            <w:r w:rsidRPr="00D213F2">
              <w:t>A First Nations organisation responsible for commissioning ITC providers across a region.</w:t>
            </w:r>
          </w:p>
        </w:tc>
        <w:tc>
          <w:tcPr>
            <w:tcW w:w="2101" w:type="dxa"/>
          </w:tcPr>
          <w:p w14:paraId="113C468D" w14:textId="09A4F416" w:rsidR="00D213F2" w:rsidRPr="00D213F2" w:rsidRDefault="00D213F2" w:rsidP="00061A6D">
            <w:pPr>
              <w:cnfStyle w:val="000000000000" w:firstRow="0" w:lastRow="0" w:firstColumn="0" w:lastColumn="0" w:oddVBand="0" w:evenVBand="0" w:oddHBand="0" w:evenHBand="0" w:firstRowFirstColumn="0" w:firstRowLastColumn="0" w:lastRowFirstColumn="0" w:lastRowLastColumn="0"/>
            </w:pPr>
            <w:r>
              <w:t xml:space="preserve">Led by a First Nations </w:t>
            </w:r>
            <w:r w:rsidR="00212698">
              <w:t>community-controlled</w:t>
            </w:r>
            <w:r>
              <w:t xml:space="preserve"> organisation independent from service delivery.</w:t>
            </w:r>
          </w:p>
        </w:tc>
        <w:tc>
          <w:tcPr>
            <w:tcW w:w="1572" w:type="dxa"/>
          </w:tcPr>
          <w:p w14:paraId="506B4ADD" w14:textId="241DD233" w:rsidR="00D213F2" w:rsidRPr="00D213F2" w:rsidRDefault="005F1FDA" w:rsidP="00061A6D">
            <w:pPr>
              <w:cnfStyle w:val="000000000000" w:firstRow="0" w:lastRow="0" w:firstColumn="0" w:lastColumn="0" w:oddVBand="0" w:evenVBand="0" w:oddHBand="0" w:evenHBand="0" w:firstRowFirstColumn="0" w:firstRowLastColumn="0" w:lastRowFirstColumn="0" w:lastRowLastColumn="0"/>
            </w:pPr>
            <w:r w:rsidRPr="005F1FDA">
              <w:t>First Nations organisation manages commissioning.</w:t>
            </w:r>
          </w:p>
        </w:tc>
        <w:tc>
          <w:tcPr>
            <w:tcW w:w="1997" w:type="dxa"/>
          </w:tcPr>
          <w:p w14:paraId="3F23F09A" w14:textId="4786F205" w:rsidR="00D213F2" w:rsidRPr="00D213F2" w:rsidRDefault="00D213F2" w:rsidP="00061A6D">
            <w:pPr>
              <w:cnfStyle w:val="000000000000" w:firstRow="0" w:lastRow="0" w:firstColumn="0" w:lastColumn="0" w:oddVBand="0" w:evenVBand="0" w:oddHBand="0" w:evenHBand="0" w:firstRowFirstColumn="0" w:firstRowLastColumn="0" w:lastRowFirstColumn="0" w:lastRowLastColumn="0"/>
            </w:pPr>
            <w:r>
              <w:t>Community-driven independent</w:t>
            </w:r>
            <w:r w:rsidR="00F946D7">
              <w:t>, maintain partnerships.</w:t>
            </w:r>
          </w:p>
        </w:tc>
      </w:tr>
      <w:tr w:rsidR="00D213F2" w:rsidRPr="00D213F2" w14:paraId="4E46C5C3" w14:textId="77777777" w:rsidTr="00EC7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dxa"/>
          </w:tcPr>
          <w:p w14:paraId="5CC97262" w14:textId="65B48088" w:rsidR="00D213F2" w:rsidRPr="003923D0" w:rsidRDefault="00D213F2" w:rsidP="003923D0">
            <w:pPr>
              <w:pStyle w:val="ListNumber2"/>
            </w:pPr>
            <w:r w:rsidRPr="003923D0">
              <w:t>First Nations Lead Agency Model</w:t>
            </w:r>
          </w:p>
        </w:tc>
        <w:tc>
          <w:tcPr>
            <w:tcW w:w="2196" w:type="dxa"/>
          </w:tcPr>
          <w:p w14:paraId="3735EF8C" w14:textId="0422CFF8" w:rsidR="00D213F2" w:rsidRPr="00D213F2" w:rsidRDefault="00D213F2" w:rsidP="00061A6D">
            <w:pPr>
              <w:cnfStyle w:val="000000100000" w:firstRow="0" w:lastRow="0" w:firstColumn="0" w:lastColumn="0" w:oddVBand="0" w:evenVBand="0" w:oddHBand="1" w:evenHBand="0" w:firstRowFirstColumn="0" w:firstRowLastColumn="0" w:lastRowFirstColumn="0" w:lastRowLastColumn="0"/>
            </w:pPr>
            <w:r w:rsidRPr="00D213F2">
              <w:t>A regional ACCH</w:t>
            </w:r>
            <w:r w:rsidR="005F1FDA">
              <w:t>S</w:t>
            </w:r>
            <w:r w:rsidRPr="00D213F2">
              <w:t xml:space="preserve"> delivers services directly and subcontracts other providers as required to cover gaps in service or create service pathways.</w:t>
            </w:r>
          </w:p>
        </w:tc>
        <w:tc>
          <w:tcPr>
            <w:tcW w:w="2101" w:type="dxa"/>
          </w:tcPr>
          <w:p w14:paraId="2B338E73" w14:textId="52042829" w:rsidR="00D213F2" w:rsidRPr="00D213F2" w:rsidRDefault="005F1FDA" w:rsidP="00061A6D">
            <w:pPr>
              <w:cnfStyle w:val="000000100000" w:firstRow="0" w:lastRow="0" w:firstColumn="0" w:lastColumn="0" w:oddVBand="0" w:evenVBand="0" w:oddHBand="1" w:evenHBand="0" w:firstRowFirstColumn="0" w:firstRowLastColumn="0" w:lastRowFirstColumn="0" w:lastRowLastColumn="0"/>
            </w:pPr>
            <w:r w:rsidRPr="005F1FDA">
              <w:t>Lead ACCHS oversees delivery and subcontracting.</w:t>
            </w:r>
          </w:p>
        </w:tc>
        <w:tc>
          <w:tcPr>
            <w:tcW w:w="1572" w:type="dxa"/>
          </w:tcPr>
          <w:p w14:paraId="73EC9B47" w14:textId="407BCD6F" w:rsidR="00D213F2" w:rsidRPr="00D213F2" w:rsidRDefault="005F1FDA" w:rsidP="00061A6D">
            <w:pPr>
              <w:cnfStyle w:val="000000100000" w:firstRow="0" w:lastRow="0" w:firstColumn="0" w:lastColumn="0" w:oddVBand="0" w:evenVBand="0" w:oddHBand="1" w:evenHBand="0" w:firstRowFirstColumn="0" w:firstRowLastColumn="0" w:lastRowFirstColumn="0" w:lastRowLastColumn="0"/>
            </w:pPr>
            <w:r w:rsidRPr="005F1FDA">
              <w:rPr>
                <w:lang w:val="en-GB"/>
              </w:rPr>
              <w:t>Managed by lead ACCHS</w:t>
            </w:r>
          </w:p>
        </w:tc>
        <w:tc>
          <w:tcPr>
            <w:tcW w:w="1997" w:type="dxa"/>
          </w:tcPr>
          <w:p w14:paraId="570DFA43" w14:textId="691A326C" w:rsidR="00D213F2" w:rsidRPr="00D213F2" w:rsidRDefault="00EC7ED4" w:rsidP="00061A6D">
            <w:pPr>
              <w:cnfStyle w:val="000000100000" w:firstRow="0" w:lastRow="0" w:firstColumn="0" w:lastColumn="0" w:oddVBand="0" w:evenVBand="0" w:oddHBand="1" w:evenHBand="0" w:firstRowFirstColumn="0" w:firstRowLastColumn="0" w:lastRowFirstColumn="0" w:lastRowLastColumn="0"/>
            </w:pPr>
            <w:r>
              <w:t xml:space="preserve">Regional coverage via lead </w:t>
            </w:r>
            <w:r w:rsidR="005F1FDA">
              <w:t xml:space="preserve">ACCHS </w:t>
            </w:r>
            <w:r>
              <w:t>and subcontracted organisations.</w:t>
            </w:r>
          </w:p>
        </w:tc>
      </w:tr>
      <w:tr w:rsidR="00EC7ED4" w:rsidRPr="00D213F2" w14:paraId="47802F2D" w14:textId="77777777" w:rsidTr="00EC7ED4">
        <w:tc>
          <w:tcPr>
            <w:cnfStyle w:val="001000000000" w:firstRow="0" w:lastRow="0" w:firstColumn="1" w:lastColumn="0" w:oddVBand="0" w:evenVBand="0" w:oddHBand="0" w:evenHBand="0" w:firstRowFirstColumn="0" w:firstRowLastColumn="0" w:lastRowFirstColumn="0" w:lastRowLastColumn="0"/>
            <w:tcW w:w="2199" w:type="dxa"/>
          </w:tcPr>
          <w:p w14:paraId="0B564899" w14:textId="5CA52AC6" w:rsidR="00EC7ED4" w:rsidRPr="003923D0" w:rsidRDefault="00EC7ED4" w:rsidP="003923D0">
            <w:pPr>
              <w:pStyle w:val="ListNumber2"/>
            </w:pPr>
            <w:r w:rsidRPr="003923D0">
              <w:t>PHN Commissioning Model</w:t>
            </w:r>
          </w:p>
        </w:tc>
        <w:tc>
          <w:tcPr>
            <w:tcW w:w="2196" w:type="dxa"/>
          </w:tcPr>
          <w:p w14:paraId="082BBE59" w14:textId="25278298" w:rsidR="00EC7ED4" w:rsidRPr="00D213F2" w:rsidRDefault="005F1FDA" w:rsidP="00061A6D">
            <w:pPr>
              <w:cnfStyle w:val="000000000000" w:firstRow="0" w:lastRow="0" w:firstColumn="0" w:lastColumn="0" w:oddVBand="0" w:evenVBand="0" w:oddHBand="0" w:evenHBand="0" w:firstRowFirstColumn="0" w:firstRowLastColumn="0" w:lastRowFirstColumn="0" w:lastRowLastColumn="0"/>
            </w:pPr>
            <w:r w:rsidRPr="005F1FDA">
              <w:t>A PHN retains the commissioning role and works with stakeholders to ensure there are strengthened governance mechanisms for First Nations organisations.</w:t>
            </w:r>
          </w:p>
        </w:tc>
        <w:tc>
          <w:tcPr>
            <w:tcW w:w="2101" w:type="dxa"/>
          </w:tcPr>
          <w:p w14:paraId="1132089E" w14:textId="0B9F8106" w:rsidR="00EC7ED4" w:rsidRPr="00EC7ED4" w:rsidRDefault="00EC7ED4" w:rsidP="00061A6D">
            <w:pPr>
              <w:cnfStyle w:val="000000000000" w:firstRow="0" w:lastRow="0" w:firstColumn="0" w:lastColumn="0" w:oddVBand="0" w:evenVBand="0" w:oddHBand="0" w:evenHBand="0" w:firstRowFirstColumn="0" w:firstRowLastColumn="0" w:lastRowFirstColumn="0" w:lastRowLastColumn="0"/>
            </w:pPr>
            <w:r w:rsidRPr="00EC7ED4">
              <w:t>PHN retains authority with enhanced cultural governance</w:t>
            </w:r>
            <w:r>
              <w:t xml:space="preserve"> requirements.</w:t>
            </w:r>
          </w:p>
        </w:tc>
        <w:tc>
          <w:tcPr>
            <w:tcW w:w="1572" w:type="dxa"/>
          </w:tcPr>
          <w:p w14:paraId="47815649" w14:textId="7040F5B2" w:rsidR="00EC7ED4" w:rsidRDefault="005F1FDA" w:rsidP="00061A6D">
            <w:pPr>
              <w:cnfStyle w:val="000000000000" w:firstRow="0" w:lastRow="0" w:firstColumn="0" w:lastColumn="0" w:oddVBand="0" w:evenVBand="0" w:oddHBand="0" w:evenHBand="0" w:firstRowFirstColumn="0" w:firstRowLastColumn="0" w:lastRowFirstColumn="0" w:lastRowLastColumn="0"/>
            </w:pPr>
            <w:r w:rsidRPr="005F1FDA">
              <w:t>PHN distributes funding using standard tender processes.</w:t>
            </w:r>
          </w:p>
        </w:tc>
        <w:tc>
          <w:tcPr>
            <w:tcW w:w="1997" w:type="dxa"/>
          </w:tcPr>
          <w:p w14:paraId="47D813E6" w14:textId="3636743E" w:rsidR="00EC7ED4" w:rsidRDefault="005F1FDA" w:rsidP="00061A6D">
            <w:pPr>
              <w:cnfStyle w:val="000000000000" w:firstRow="0" w:lastRow="0" w:firstColumn="0" w:lastColumn="0" w:oddVBand="0" w:evenVBand="0" w:oddHBand="0" w:evenHBand="0" w:firstRowFirstColumn="0" w:firstRowLastColumn="0" w:lastRowFirstColumn="0" w:lastRowLastColumn="0"/>
            </w:pPr>
            <w:r w:rsidRPr="005F1FDA">
              <w:t>Enables partnerships, community-driven decision-making.</w:t>
            </w:r>
          </w:p>
        </w:tc>
      </w:tr>
    </w:tbl>
    <w:p w14:paraId="691D255A" w14:textId="71D5EB06" w:rsidR="000025D0" w:rsidRPr="000025D0" w:rsidRDefault="005F1FDA" w:rsidP="00061A6D">
      <w:r w:rsidRPr="005F1FDA">
        <w:lastRenderedPageBreak/>
        <w:t>Arrangements that demonstrate efficient use of resources, alignment with commissioning values, effective conflict of interest management, understanding of the health and cultural needs of the region, and a commitment to amplifying the voice of community will be prioritised.</w:t>
      </w:r>
    </w:p>
    <w:p w14:paraId="1EED42E6" w14:textId="252F0EB7" w:rsidR="003010D2" w:rsidRPr="003923D0" w:rsidRDefault="003010D2" w:rsidP="003923D0">
      <w:pPr>
        <w:pStyle w:val="ListNumber"/>
      </w:pPr>
      <w:r w:rsidRPr="003923D0">
        <w:t>What support is available?</w:t>
      </w:r>
    </w:p>
    <w:p w14:paraId="475F7B72" w14:textId="5FFC376F" w:rsidR="005F1FDA" w:rsidRPr="005F1FDA" w:rsidRDefault="005F1FDA" w:rsidP="00061A6D">
      <w:r w:rsidRPr="005F1FDA">
        <w:rPr>
          <w:lang w:val="en-GB"/>
        </w:rPr>
        <w:t>The focus is on supporting a transition to First Nations leadership, addressing stakeholder concerns such as competition among ACCHSs, service gaps, transition timelines, ITC client needs, and identifying interested parties.</w:t>
      </w:r>
    </w:p>
    <w:p w14:paraId="350F9CAE" w14:textId="77777777" w:rsidR="005F1FDA" w:rsidRPr="005F1FDA" w:rsidRDefault="005F1FDA" w:rsidP="00061A6D">
      <w:r w:rsidRPr="005F1FDA">
        <w:rPr>
          <w:lang w:val="en-GB"/>
        </w:rPr>
        <w:t>Resources such as training, mentoring, best practice resources, and a dedicated support unit for organisations assuming new roles are under consideration. An ITC Data Analytics project, due for completion by the end of the year, will provide insights into unmet needs and develop an equitable funding distribution model to support transition planning for the program.</w:t>
      </w:r>
    </w:p>
    <w:p w14:paraId="724ED28F" w14:textId="688935A5" w:rsidR="003010D2" w:rsidRPr="003923D0" w:rsidRDefault="0091281C" w:rsidP="003923D0">
      <w:pPr>
        <w:pStyle w:val="ListNumber"/>
      </w:pPr>
      <w:r w:rsidRPr="003923D0">
        <w:t>How do I get in contact with the team?</w:t>
      </w:r>
    </w:p>
    <w:p w14:paraId="509EC017" w14:textId="77777777" w:rsidR="0024383D" w:rsidRPr="00212698" w:rsidRDefault="0024383D" w:rsidP="00212698">
      <w:pPr>
        <w:pStyle w:val="ListBullet"/>
      </w:pPr>
      <w:r w:rsidRPr="0024383D">
        <w:t xml:space="preserve">The team </w:t>
      </w:r>
      <w:r w:rsidRPr="00212698">
        <w:t>provides monthly updates and other communications to all ITC stakeholders.</w:t>
      </w:r>
    </w:p>
    <w:p w14:paraId="03A6E999" w14:textId="2898000C" w:rsidR="0024383D" w:rsidRDefault="0024383D" w:rsidP="00212698">
      <w:pPr>
        <w:pStyle w:val="ListBullet"/>
      </w:pPr>
      <w:r w:rsidRPr="00212698">
        <w:t>You can also</w:t>
      </w:r>
      <w:r w:rsidR="00D72E3C" w:rsidRPr="00D72E3C">
        <w:t xml:space="preserve"> reach out to </w:t>
      </w:r>
      <w:hyperlink r:id="rId13" w:history="1">
        <w:r w:rsidR="00D72E3C" w:rsidRPr="00061A6D">
          <w:rPr>
            <w:rStyle w:val="Hyperlink"/>
          </w:rPr>
          <w:t>ChronicDiseaseFNHD@health.gov.au</w:t>
        </w:r>
      </w:hyperlink>
      <w:r w:rsidR="00D72E3C" w:rsidRPr="00D72E3C">
        <w:t xml:space="preserve"> for any questions regarding the ITC program</w:t>
      </w:r>
      <w:r>
        <w:t xml:space="preserve"> or to be added to the distribution list</w:t>
      </w:r>
      <w:r w:rsidR="00D72E3C" w:rsidRPr="00D72E3C">
        <w:t>.</w:t>
      </w:r>
    </w:p>
    <w:sectPr w:rsidR="0024383D"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9933" w14:textId="77777777" w:rsidR="00C41A0F" w:rsidRDefault="00C41A0F" w:rsidP="003923D0">
      <w:r>
        <w:separator/>
      </w:r>
    </w:p>
  </w:endnote>
  <w:endnote w:type="continuationSeparator" w:id="0">
    <w:p w14:paraId="1C9EC25A" w14:textId="77777777" w:rsidR="00C41A0F" w:rsidRDefault="00C41A0F" w:rsidP="003923D0">
      <w:r>
        <w:continuationSeparator/>
      </w:r>
    </w:p>
  </w:endnote>
  <w:endnote w:type="continuationNotice" w:id="1">
    <w:p w14:paraId="43CABDD2" w14:textId="77777777" w:rsidR="00C41A0F" w:rsidRDefault="00C41A0F" w:rsidP="00061A6D"/>
  </w:endnote>
  <w:endnote w:id="2">
    <w:p w14:paraId="645E6269" w14:textId="77777777" w:rsidR="00F91729" w:rsidRPr="00DD35B8" w:rsidRDefault="00F91729" w:rsidP="00061A6D">
      <w:pPr>
        <w:pStyle w:val="EndnoteText"/>
      </w:pPr>
      <w:r w:rsidRPr="00DD35B8">
        <w:rPr>
          <w:rStyle w:val="EndnoteReference"/>
          <w:rFonts w:asciiTheme="minorHAnsi" w:hAnsiTheme="minorHAnsi" w:cstheme="minorHAnsi"/>
          <w:color w:val="auto"/>
          <w:sz w:val="18"/>
          <w:szCs w:val="18"/>
        </w:rPr>
        <w:endnoteRef/>
      </w:r>
      <w:r w:rsidRPr="00DD35B8">
        <w:t xml:space="preserve"> Pearson, O., Schwartzkopff, K., Dawson, A. </w:t>
      </w:r>
      <w:r w:rsidRPr="00DD35B8">
        <w:rPr>
          <w:i/>
          <w:iCs/>
        </w:rPr>
        <w:t>et al.</w:t>
      </w:r>
      <w:r w:rsidRPr="00DD35B8">
        <w:t> Aboriginal community controlled health organisations address health equity through action on the social determinants of health of Aboriginal and Torres Strait Islander peoples in Australia. </w:t>
      </w:r>
      <w:r w:rsidRPr="00DD35B8">
        <w:rPr>
          <w:i/>
          <w:iCs/>
        </w:rPr>
        <w:t>BMC Public Health</w:t>
      </w:r>
      <w:r w:rsidRPr="00DD35B8">
        <w:t> </w:t>
      </w:r>
      <w:r w:rsidRPr="00DD35B8">
        <w:rPr>
          <w:b/>
          <w:bCs/>
        </w:rPr>
        <w:t>20</w:t>
      </w:r>
      <w:r w:rsidRPr="00DD35B8">
        <w:t>, 1859 (2020). doi:10.1186/s12889-020-09943-4</w:t>
      </w:r>
    </w:p>
  </w:endnote>
  <w:endnote w:id="3">
    <w:p w14:paraId="13F25021" w14:textId="77777777" w:rsidR="00F91729" w:rsidRDefault="00F91729" w:rsidP="00061A6D">
      <w:pPr>
        <w:pStyle w:val="EndnoteText"/>
      </w:pPr>
      <w:r w:rsidRPr="00DD35B8">
        <w:rPr>
          <w:rStyle w:val="EndnoteReference"/>
          <w:rFonts w:asciiTheme="minorHAnsi" w:hAnsiTheme="minorHAnsi" w:cstheme="minorHAnsi"/>
          <w:color w:val="auto"/>
          <w:sz w:val="18"/>
          <w:szCs w:val="18"/>
        </w:rPr>
        <w:endnoteRef/>
      </w:r>
      <w:r w:rsidRPr="00DD35B8">
        <w:t xml:space="preserve"> Wilson AM et al. (2020) Working together in Aboriginal health: a framework to guide health professional practice. </w:t>
      </w:r>
      <w:r w:rsidRPr="00DD35B8">
        <w:rPr>
          <w:i/>
          <w:iCs/>
        </w:rPr>
        <w:t>BMC Health Serv Res</w:t>
      </w:r>
      <w:r w:rsidRPr="00DD35B8">
        <w:t xml:space="preserve"> </w:t>
      </w:r>
      <w:r w:rsidRPr="00DD35B8">
        <w:rPr>
          <w:b/>
          <w:bCs/>
        </w:rPr>
        <w:t>20</w:t>
      </w:r>
      <w:r w:rsidRPr="00DD35B8">
        <w:t>(1):601. doi:10.1186/s12913-020-05462-5</w:t>
      </w:r>
    </w:p>
  </w:endnote>
  <w:endnote w:id="4">
    <w:p w14:paraId="0F15BFA9" w14:textId="43683E83" w:rsidR="009768C7" w:rsidRPr="00DD35B8" w:rsidRDefault="009768C7" w:rsidP="00061A6D">
      <w:pPr>
        <w:pStyle w:val="EndnoteText"/>
        <w:rPr>
          <w:rFonts w:asciiTheme="minorHAnsi" w:hAnsiTheme="minorHAnsi" w:cstheme="minorHAnsi"/>
          <w:color w:val="auto"/>
          <w:sz w:val="18"/>
          <w:szCs w:val="18"/>
        </w:rPr>
      </w:pPr>
      <w:r w:rsidRPr="00DD35B8">
        <w:rPr>
          <w:rStyle w:val="EndnoteReference"/>
          <w:rFonts w:asciiTheme="minorHAnsi" w:hAnsiTheme="minorHAnsi" w:cstheme="minorHAnsi"/>
          <w:color w:val="auto"/>
          <w:sz w:val="18"/>
          <w:szCs w:val="18"/>
        </w:rPr>
        <w:endnoteRef/>
      </w:r>
      <w:r w:rsidRPr="00DD35B8">
        <w:rPr>
          <w:rFonts w:asciiTheme="minorHAnsi" w:hAnsiTheme="minorHAnsi" w:cstheme="minorHAnsi"/>
          <w:color w:val="auto"/>
          <w:sz w:val="18"/>
          <w:szCs w:val="18"/>
        </w:rPr>
        <w:t xml:space="preserve"> Australian Institute of Health and Welfare (2022) </w:t>
      </w:r>
      <w:hyperlink r:id="rId1" w:tooltip="Link to the AIHW report on Australian Burden of Disease Study 2018: Interactive data on risk factor burden among Aboriginal and Torres Strait Islander people" w:history="1">
        <w:r w:rsidRPr="00DD35B8">
          <w:rPr>
            <w:rStyle w:val="Hyperlink"/>
            <w:rFonts w:asciiTheme="minorHAnsi" w:hAnsiTheme="minorHAnsi" w:cstheme="minorHAnsi"/>
            <w:i/>
            <w:iCs/>
            <w:color w:val="auto"/>
            <w:sz w:val="18"/>
            <w:szCs w:val="18"/>
          </w:rPr>
          <w:t>Australian Burden of Disease Study 2018: Interactive data on risk factor burden among Aboriginal and Torres Strait Islander people</w:t>
        </w:r>
      </w:hyperlink>
      <w:r w:rsidRPr="00DD35B8">
        <w:rPr>
          <w:rFonts w:asciiTheme="minorHAnsi" w:hAnsiTheme="minorHAnsi" w:cstheme="minorHAnsi"/>
          <w:color w:val="auto"/>
          <w:sz w:val="18"/>
          <w:szCs w:val="18"/>
        </w:rPr>
        <w:t>, AIHW, Australian Government, accessed 07 October 2025</w:t>
      </w:r>
    </w:p>
  </w:endnote>
  <w:endnote w:id="5">
    <w:p w14:paraId="2A8651A4" w14:textId="770273D9" w:rsidR="009768C7" w:rsidRPr="00DD35B8" w:rsidRDefault="009768C7" w:rsidP="00061A6D">
      <w:pPr>
        <w:pStyle w:val="EndnoteText"/>
      </w:pPr>
      <w:r w:rsidRPr="00DD35B8">
        <w:rPr>
          <w:rStyle w:val="EndnoteReference"/>
          <w:rFonts w:asciiTheme="minorHAnsi" w:hAnsiTheme="minorHAnsi" w:cstheme="minorHAnsi"/>
          <w:color w:val="auto"/>
          <w:sz w:val="18"/>
          <w:szCs w:val="18"/>
        </w:rPr>
        <w:endnoteRef/>
      </w:r>
      <w:r w:rsidRPr="00DD35B8">
        <w:t xml:space="preserve"> Mackean T et al. (2025) Leading the way: the contribution of Aboriginal </w:t>
      </w:r>
      <w:proofErr w:type="gramStart"/>
      <w:r w:rsidRPr="00DD35B8">
        <w:t>community controlled</w:t>
      </w:r>
      <w:proofErr w:type="gramEnd"/>
      <w:r w:rsidRPr="00DD35B8">
        <w:t xml:space="preserve"> health organisations to community health in Australia. Australian Journal of Primary Health 31, PY24223. doi:10.1071/PY24223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061A6D">
                          <w:pPr>
                            <w:rPr>
                              <w:rFonts w:eastAsia="Aptos"/>
                              <w:noProof/>
                            </w:rPr>
                          </w:pPr>
                          <w:r w:rsidRPr="00B10BE0">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061A6D">
                    <w:pPr>
                      <w:rPr>
                        <w:rFonts w:eastAsia="Aptos"/>
                        <w:noProof/>
                      </w:rPr>
                    </w:pPr>
                    <w:r w:rsidRPr="00B10BE0">
                      <w:rPr>
                        <w:rFonts w:eastAsia="Aptos"/>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3F0508C9" w:rsidR="00B53987" w:rsidRDefault="003254DB" w:rsidP="00B53987">
    <w:pPr>
      <w:pStyle w:val="Footer"/>
    </w:pPr>
    <w:r w:rsidRPr="00125F49">
      <w:t>Integrated Team Care – Transition to First Nations Community Control</w:t>
    </w:r>
    <w:r>
      <w:t xml:space="preserve"> – </w:t>
    </w:r>
    <w:r w:rsidR="009C08E0">
      <w:t>November</w:t>
    </w:r>
    <w:r>
      <w:t xml:space="preserve"> 2025</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38B87ADE" w:rsidR="00B53987" w:rsidRDefault="00125F49" w:rsidP="00B53987">
    <w:pPr>
      <w:pStyle w:val="Footer"/>
    </w:pPr>
    <w:r w:rsidRPr="00125F49">
      <w:t>Integrated Team Care – Transition to First Nations Community Control</w:t>
    </w:r>
    <w:r>
      <w:t xml:space="preserve"> – </w:t>
    </w:r>
    <w:r w:rsidR="009C08E0">
      <w:t>November</w:t>
    </w:r>
    <w:r>
      <w:t xml:space="preserve"> 2025</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9D51" w14:textId="77777777" w:rsidR="00C41A0F" w:rsidRDefault="00C41A0F" w:rsidP="00061A6D">
      <w:r>
        <w:separator/>
      </w:r>
    </w:p>
    <w:p w14:paraId="7CF60BE2" w14:textId="77777777" w:rsidR="00C41A0F" w:rsidRDefault="00C41A0F" w:rsidP="00061A6D"/>
  </w:footnote>
  <w:footnote w:type="continuationSeparator" w:id="0">
    <w:p w14:paraId="64FCB223" w14:textId="77777777" w:rsidR="00C41A0F" w:rsidRDefault="00C41A0F" w:rsidP="00061A6D">
      <w:r>
        <w:continuationSeparator/>
      </w:r>
    </w:p>
    <w:p w14:paraId="4D4ADA02" w14:textId="77777777" w:rsidR="00C41A0F" w:rsidRDefault="00C41A0F" w:rsidP="00061A6D"/>
  </w:footnote>
  <w:footnote w:type="continuationNotice" w:id="1">
    <w:p w14:paraId="79339C24" w14:textId="77777777" w:rsidR="00C41A0F" w:rsidRDefault="00C41A0F" w:rsidP="00061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061A6D">
                          <w:pPr>
                            <w:rPr>
                              <w:rFonts w:eastAsia="Aptos"/>
                              <w:noProof/>
                            </w:rPr>
                          </w:pPr>
                          <w:r w:rsidRPr="00B10BE0">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061A6D">
                    <w:pPr>
                      <w:rPr>
                        <w:rFonts w:eastAsia="Aptos"/>
                        <w:noProof/>
                      </w:rPr>
                    </w:pPr>
                    <w:r w:rsidRPr="00B10BE0">
                      <w:rPr>
                        <w:rFonts w:eastAsia="Aptos"/>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52013F89"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21269BDB" w:rsidR="00B53987" w:rsidRDefault="00B53987">
    <w:pPr>
      <w:pStyle w:val="Header"/>
    </w:pPr>
    <w:r>
      <w:rPr>
        <w:noProof/>
        <w:lang w:eastAsia="en-AU"/>
      </w:rPr>
      <w:drawing>
        <wp:inline distT="0" distB="0" distL="0" distR="0" wp14:anchorId="5F9C52AC" wp14:editId="093985B4">
          <wp:extent cx="5759450" cy="941705"/>
          <wp:effectExtent l="0" t="0" r="635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BC0E18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D20BDD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90BCEC16"/>
    <w:lvl w:ilvl="0">
      <w:start w:val="1"/>
      <w:numFmt w:val="decimal"/>
      <w:lvlText w:val="%1."/>
      <w:lvlJc w:val="left"/>
      <w:pPr>
        <w:tabs>
          <w:tab w:val="num" w:pos="360"/>
        </w:tabs>
        <w:ind w:left="360" w:hanging="360"/>
      </w:pPr>
    </w:lvl>
  </w:abstractNum>
  <w:abstractNum w:abstractNumId="3"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2D383B"/>
    <w:multiLevelType w:val="hybridMultilevel"/>
    <w:tmpl w:val="F59856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4CD50FD"/>
    <w:multiLevelType w:val="hybridMultilevel"/>
    <w:tmpl w:val="2EC6E5F4"/>
    <w:lvl w:ilvl="0" w:tplc="98DA49D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A9B0974"/>
    <w:multiLevelType w:val="hybridMultilevel"/>
    <w:tmpl w:val="C56E8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581015"/>
    <w:multiLevelType w:val="hybridMultilevel"/>
    <w:tmpl w:val="8BF6F56A"/>
    <w:lvl w:ilvl="0" w:tplc="7CDA2DC4">
      <w:start w:val="1"/>
      <w:numFmt w:val="bullet"/>
      <w:pStyle w:val="ListBullet"/>
      <w:lvlText w:val=""/>
      <w:lvlJc w:val="left"/>
      <w:pPr>
        <w:ind w:left="720" w:hanging="360"/>
      </w:pPr>
      <w:rPr>
        <w:rFonts w:ascii="Symbol" w:hAnsi="Symbol" w:hint="default"/>
      </w:rPr>
    </w:lvl>
    <w:lvl w:ilvl="1" w:tplc="9148F55E">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76789D"/>
    <w:multiLevelType w:val="hybridMultilevel"/>
    <w:tmpl w:val="8CA63EA4"/>
    <w:lvl w:ilvl="0" w:tplc="A8E25CF0">
      <w:start w:val="1"/>
      <w:numFmt w:val="bullet"/>
      <w:pStyle w:val="ListBullet3"/>
      <w:lvlText w:val=""/>
      <w:lvlJc w:val="left"/>
      <w:pPr>
        <w:ind w:left="720" w:hanging="360"/>
      </w:pPr>
      <w:rPr>
        <w:rFonts w:ascii="Wingdings" w:hAnsi="Wingding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7E19E4"/>
    <w:multiLevelType w:val="hybridMultilevel"/>
    <w:tmpl w:val="B9D22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401779"/>
    <w:multiLevelType w:val="hybridMultilevel"/>
    <w:tmpl w:val="EAE4D572"/>
    <w:lvl w:ilvl="0" w:tplc="F5C09290">
      <w:start w:val="1"/>
      <w:numFmt w:val="decimal"/>
      <w:pStyle w:val="ListNumb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559514E"/>
    <w:multiLevelType w:val="hybridMultilevel"/>
    <w:tmpl w:val="88F82BF6"/>
    <w:lvl w:ilvl="0" w:tplc="738AE16C">
      <w:start w:val="1"/>
      <w:numFmt w:val="lowerRoman"/>
      <w:lvlText w:val="(%1)"/>
      <w:lvlJc w:val="left"/>
      <w:pPr>
        <w:ind w:left="720" w:hanging="72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79B6FB6"/>
    <w:multiLevelType w:val="hybridMultilevel"/>
    <w:tmpl w:val="C3A05872"/>
    <w:lvl w:ilvl="0" w:tplc="C29C8C18">
      <w:start w:val="1"/>
      <w:numFmt w:val="lowerRoman"/>
      <w:pStyle w:val="ListNumber2"/>
      <w:lvlText w:val="%1."/>
      <w:lvlJc w:val="left"/>
      <w:pPr>
        <w:ind w:left="720" w:hanging="360"/>
      </w:pPr>
      <w:rPr>
        <w:rFonts w:hint="default"/>
        <w:b/>
        <w:i w:val="0"/>
        <w:color w:val="1E1545"/>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2D338B"/>
    <w:multiLevelType w:val="multilevel"/>
    <w:tmpl w:val="C4A0ADDE"/>
    <w:styleLink w:val="CurrentList1"/>
    <w:lvl w:ilvl="0">
      <w:start w:val="1"/>
      <w:numFmt w:val="lowerRoman"/>
      <w:lvlText w:val="(%1)"/>
      <w:lvlJc w:val="left"/>
      <w:pPr>
        <w:ind w:left="1080" w:hanging="72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08499705">
    <w:abstractNumId w:val="4"/>
  </w:num>
  <w:num w:numId="2" w16cid:durableId="2135168833">
    <w:abstractNumId w:val="6"/>
  </w:num>
  <w:num w:numId="3" w16cid:durableId="1331519124">
    <w:abstractNumId w:val="17"/>
  </w:num>
  <w:num w:numId="4" w16cid:durableId="768160667">
    <w:abstractNumId w:val="8"/>
  </w:num>
  <w:num w:numId="5" w16cid:durableId="501624301">
    <w:abstractNumId w:val="15"/>
  </w:num>
  <w:num w:numId="6" w16cid:durableId="1331903733">
    <w:abstractNumId w:val="3"/>
  </w:num>
  <w:num w:numId="7" w16cid:durableId="1118260683">
    <w:abstractNumId w:val="14"/>
  </w:num>
  <w:num w:numId="8" w16cid:durableId="1759524491">
    <w:abstractNumId w:val="7"/>
  </w:num>
  <w:num w:numId="9" w16cid:durableId="952443843">
    <w:abstractNumId w:val="12"/>
  </w:num>
  <w:num w:numId="10" w16cid:durableId="94181428">
    <w:abstractNumId w:val="5"/>
  </w:num>
  <w:num w:numId="11" w16cid:durableId="1947343218">
    <w:abstractNumId w:val="9"/>
  </w:num>
  <w:num w:numId="12" w16cid:durableId="1559317461">
    <w:abstractNumId w:val="11"/>
  </w:num>
  <w:num w:numId="13" w16cid:durableId="1287393532">
    <w:abstractNumId w:val="10"/>
  </w:num>
  <w:num w:numId="14" w16cid:durableId="718556449">
    <w:abstractNumId w:val="16"/>
  </w:num>
  <w:num w:numId="15" w16cid:durableId="1591426820">
    <w:abstractNumId w:val="13"/>
  </w:num>
  <w:num w:numId="16" w16cid:durableId="533925829">
    <w:abstractNumId w:val="1"/>
  </w:num>
  <w:num w:numId="17" w16cid:durableId="1771320124">
    <w:abstractNumId w:val="2"/>
  </w:num>
  <w:num w:numId="18" w16cid:durableId="1035616536">
    <w:abstractNumId w:val="12"/>
    <w:lvlOverride w:ilvl="0">
      <w:startOverride w:val="1"/>
    </w:lvlOverride>
  </w:num>
  <w:num w:numId="19" w16cid:durableId="137665540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25D0"/>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563D9"/>
    <w:rsid w:val="00061A6D"/>
    <w:rsid w:val="00062CCE"/>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63DF"/>
    <w:rsid w:val="000D21F6"/>
    <w:rsid w:val="000D4500"/>
    <w:rsid w:val="000D53B8"/>
    <w:rsid w:val="000D7AEA"/>
    <w:rsid w:val="000E2C66"/>
    <w:rsid w:val="000F123C"/>
    <w:rsid w:val="000F2FED"/>
    <w:rsid w:val="0010616D"/>
    <w:rsid w:val="00110478"/>
    <w:rsid w:val="0011711B"/>
    <w:rsid w:val="00117F8A"/>
    <w:rsid w:val="001206C7"/>
    <w:rsid w:val="00121B9B"/>
    <w:rsid w:val="00122ADC"/>
    <w:rsid w:val="001253B8"/>
    <w:rsid w:val="00125F49"/>
    <w:rsid w:val="00130F59"/>
    <w:rsid w:val="00133EC0"/>
    <w:rsid w:val="00135DC3"/>
    <w:rsid w:val="00141CE5"/>
    <w:rsid w:val="00144908"/>
    <w:rsid w:val="001547EA"/>
    <w:rsid w:val="00156D96"/>
    <w:rsid w:val="001571C7"/>
    <w:rsid w:val="00161094"/>
    <w:rsid w:val="00170B57"/>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4A1A"/>
    <w:rsid w:val="001D7869"/>
    <w:rsid w:val="001E5EBE"/>
    <w:rsid w:val="001F00BD"/>
    <w:rsid w:val="002026CD"/>
    <w:rsid w:val="002033FC"/>
    <w:rsid w:val="00203ADA"/>
    <w:rsid w:val="002044BB"/>
    <w:rsid w:val="00210B09"/>
    <w:rsid w:val="00210C9E"/>
    <w:rsid w:val="00211840"/>
    <w:rsid w:val="00212698"/>
    <w:rsid w:val="00220E5F"/>
    <w:rsid w:val="00220FA0"/>
    <w:rsid w:val="002210BE"/>
    <w:rsid w:val="002212B5"/>
    <w:rsid w:val="00226668"/>
    <w:rsid w:val="002271FD"/>
    <w:rsid w:val="002337C1"/>
    <w:rsid w:val="00233809"/>
    <w:rsid w:val="00234E78"/>
    <w:rsid w:val="00240046"/>
    <w:rsid w:val="0024383D"/>
    <w:rsid w:val="0024797F"/>
    <w:rsid w:val="0025119E"/>
    <w:rsid w:val="00251269"/>
    <w:rsid w:val="002535C0"/>
    <w:rsid w:val="00254794"/>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2F7CF3"/>
    <w:rsid w:val="003010D2"/>
    <w:rsid w:val="0030464B"/>
    <w:rsid w:val="00307525"/>
    <w:rsid w:val="0030786C"/>
    <w:rsid w:val="003233DE"/>
    <w:rsid w:val="0032466B"/>
    <w:rsid w:val="003254DB"/>
    <w:rsid w:val="003330EB"/>
    <w:rsid w:val="003415FD"/>
    <w:rsid w:val="003429F0"/>
    <w:rsid w:val="00342FFA"/>
    <w:rsid w:val="00345A82"/>
    <w:rsid w:val="0035097A"/>
    <w:rsid w:val="003540A4"/>
    <w:rsid w:val="0035467D"/>
    <w:rsid w:val="00357BCC"/>
    <w:rsid w:val="00360E4E"/>
    <w:rsid w:val="00370AAA"/>
    <w:rsid w:val="00375F77"/>
    <w:rsid w:val="00381BBE"/>
    <w:rsid w:val="00382903"/>
    <w:rsid w:val="003846FF"/>
    <w:rsid w:val="003857D4"/>
    <w:rsid w:val="00385AD4"/>
    <w:rsid w:val="00387924"/>
    <w:rsid w:val="003923D0"/>
    <w:rsid w:val="0039384D"/>
    <w:rsid w:val="00395C23"/>
    <w:rsid w:val="003A2E4F"/>
    <w:rsid w:val="003A4438"/>
    <w:rsid w:val="003A5013"/>
    <w:rsid w:val="003A5078"/>
    <w:rsid w:val="003A62DD"/>
    <w:rsid w:val="003A775A"/>
    <w:rsid w:val="003B213A"/>
    <w:rsid w:val="003B43AD"/>
    <w:rsid w:val="003B46C2"/>
    <w:rsid w:val="003C0FEC"/>
    <w:rsid w:val="003C2AC8"/>
    <w:rsid w:val="003C2F3A"/>
    <w:rsid w:val="003D033A"/>
    <w:rsid w:val="003D10F9"/>
    <w:rsid w:val="003D17F9"/>
    <w:rsid w:val="003D2D88"/>
    <w:rsid w:val="003D41EA"/>
    <w:rsid w:val="003D4850"/>
    <w:rsid w:val="003D535A"/>
    <w:rsid w:val="003E2DBA"/>
    <w:rsid w:val="003E5265"/>
    <w:rsid w:val="003F0955"/>
    <w:rsid w:val="003F5F4D"/>
    <w:rsid w:val="003F646F"/>
    <w:rsid w:val="00400F00"/>
    <w:rsid w:val="00404F8B"/>
    <w:rsid w:val="00405256"/>
    <w:rsid w:val="00410031"/>
    <w:rsid w:val="00415C81"/>
    <w:rsid w:val="00416674"/>
    <w:rsid w:val="004235B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10FF"/>
    <w:rsid w:val="004D1792"/>
    <w:rsid w:val="004D58BF"/>
    <w:rsid w:val="004E2BDA"/>
    <w:rsid w:val="004E4335"/>
    <w:rsid w:val="004F13EE"/>
    <w:rsid w:val="004F2022"/>
    <w:rsid w:val="004F7C05"/>
    <w:rsid w:val="00501C94"/>
    <w:rsid w:val="00506432"/>
    <w:rsid w:val="00506E82"/>
    <w:rsid w:val="0052051D"/>
    <w:rsid w:val="00545EE6"/>
    <w:rsid w:val="00553B3D"/>
    <w:rsid w:val="005550E7"/>
    <w:rsid w:val="005564FB"/>
    <w:rsid w:val="005572C7"/>
    <w:rsid w:val="005650ED"/>
    <w:rsid w:val="00567000"/>
    <w:rsid w:val="005703AD"/>
    <w:rsid w:val="00575754"/>
    <w:rsid w:val="00581FBA"/>
    <w:rsid w:val="00591E20"/>
    <w:rsid w:val="00595408"/>
    <w:rsid w:val="00595E84"/>
    <w:rsid w:val="005A0C59"/>
    <w:rsid w:val="005A48EB"/>
    <w:rsid w:val="005A6CFB"/>
    <w:rsid w:val="005C5AEB"/>
    <w:rsid w:val="005E0A3F"/>
    <w:rsid w:val="005E6883"/>
    <w:rsid w:val="005E772F"/>
    <w:rsid w:val="005F1FDA"/>
    <w:rsid w:val="005F4ECA"/>
    <w:rsid w:val="006041BE"/>
    <w:rsid w:val="006043C7"/>
    <w:rsid w:val="006218D9"/>
    <w:rsid w:val="00624B52"/>
    <w:rsid w:val="00630794"/>
    <w:rsid w:val="00631DF4"/>
    <w:rsid w:val="00634175"/>
    <w:rsid w:val="006408AC"/>
    <w:rsid w:val="00644DEA"/>
    <w:rsid w:val="006511B6"/>
    <w:rsid w:val="006548ED"/>
    <w:rsid w:val="00657FF8"/>
    <w:rsid w:val="00665496"/>
    <w:rsid w:val="00670D99"/>
    <w:rsid w:val="00670E2B"/>
    <w:rsid w:val="006734BB"/>
    <w:rsid w:val="0067697A"/>
    <w:rsid w:val="006821EB"/>
    <w:rsid w:val="006A5240"/>
    <w:rsid w:val="006B2286"/>
    <w:rsid w:val="006B56BB"/>
    <w:rsid w:val="006B7B52"/>
    <w:rsid w:val="006C0021"/>
    <w:rsid w:val="006C593C"/>
    <w:rsid w:val="006C77A8"/>
    <w:rsid w:val="006D4098"/>
    <w:rsid w:val="006D567F"/>
    <w:rsid w:val="006D7681"/>
    <w:rsid w:val="006D7B2E"/>
    <w:rsid w:val="006E02EA"/>
    <w:rsid w:val="006E0968"/>
    <w:rsid w:val="006E2AF6"/>
    <w:rsid w:val="00701275"/>
    <w:rsid w:val="00707F56"/>
    <w:rsid w:val="00713558"/>
    <w:rsid w:val="00715FF1"/>
    <w:rsid w:val="00720D08"/>
    <w:rsid w:val="007263B9"/>
    <w:rsid w:val="007334F8"/>
    <w:rsid w:val="007339CD"/>
    <w:rsid w:val="007359D8"/>
    <w:rsid w:val="007362D4"/>
    <w:rsid w:val="007464DB"/>
    <w:rsid w:val="0076672A"/>
    <w:rsid w:val="00775E45"/>
    <w:rsid w:val="00776E74"/>
    <w:rsid w:val="00785169"/>
    <w:rsid w:val="007954AB"/>
    <w:rsid w:val="007A14C5"/>
    <w:rsid w:val="007A4A10"/>
    <w:rsid w:val="007B1760"/>
    <w:rsid w:val="007B22F0"/>
    <w:rsid w:val="007B46D8"/>
    <w:rsid w:val="007C1FDC"/>
    <w:rsid w:val="007C6D9C"/>
    <w:rsid w:val="007C7DDB"/>
    <w:rsid w:val="007D2CC7"/>
    <w:rsid w:val="007D673D"/>
    <w:rsid w:val="007E0FB8"/>
    <w:rsid w:val="007E4D09"/>
    <w:rsid w:val="007F2220"/>
    <w:rsid w:val="007F4B3E"/>
    <w:rsid w:val="0080518D"/>
    <w:rsid w:val="008127AF"/>
    <w:rsid w:val="00812B46"/>
    <w:rsid w:val="00815700"/>
    <w:rsid w:val="00817606"/>
    <w:rsid w:val="0082246B"/>
    <w:rsid w:val="008264EB"/>
    <w:rsid w:val="00826B8F"/>
    <w:rsid w:val="00830F73"/>
    <w:rsid w:val="00831E8A"/>
    <w:rsid w:val="00835C76"/>
    <w:rsid w:val="00837003"/>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305D"/>
    <w:rsid w:val="0089677E"/>
    <w:rsid w:val="008A7438"/>
    <w:rsid w:val="008B1334"/>
    <w:rsid w:val="008B1DCB"/>
    <w:rsid w:val="008B25C7"/>
    <w:rsid w:val="008B3B74"/>
    <w:rsid w:val="008C0278"/>
    <w:rsid w:val="008C24E9"/>
    <w:rsid w:val="008D0533"/>
    <w:rsid w:val="008D2D6D"/>
    <w:rsid w:val="008D42CB"/>
    <w:rsid w:val="008D48C9"/>
    <w:rsid w:val="008D6381"/>
    <w:rsid w:val="008E0C77"/>
    <w:rsid w:val="008E625F"/>
    <w:rsid w:val="008F264D"/>
    <w:rsid w:val="009040E9"/>
    <w:rsid w:val="009074E1"/>
    <w:rsid w:val="009112F7"/>
    <w:rsid w:val="009122AF"/>
    <w:rsid w:val="0091281C"/>
    <w:rsid w:val="00912AE1"/>
    <w:rsid w:val="00912D54"/>
    <w:rsid w:val="0091389F"/>
    <w:rsid w:val="00915001"/>
    <w:rsid w:val="009208F7"/>
    <w:rsid w:val="00921649"/>
    <w:rsid w:val="00922517"/>
    <w:rsid w:val="00922722"/>
    <w:rsid w:val="009232CA"/>
    <w:rsid w:val="009261E6"/>
    <w:rsid w:val="009268E1"/>
    <w:rsid w:val="009271EE"/>
    <w:rsid w:val="00930947"/>
    <w:rsid w:val="00930F56"/>
    <w:rsid w:val="009344AE"/>
    <w:rsid w:val="009344DE"/>
    <w:rsid w:val="00945E7F"/>
    <w:rsid w:val="009557C1"/>
    <w:rsid w:val="00955937"/>
    <w:rsid w:val="009608C0"/>
    <w:rsid w:val="00960D6E"/>
    <w:rsid w:val="00972D97"/>
    <w:rsid w:val="00974B59"/>
    <w:rsid w:val="009768C7"/>
    <w:rsid w:val="0098340B"/>
    <w:rsid w:val="009845B0"/>
    <w:rsid w:val="00986830"/>
    <w:rsid w:val="00987B67"/>
    <w:rsid w:val="009924C3"/>
    <w:rsid w:val="00993102"/>
    <w:rsid w:val="009B1570"/>
    <w:rsid w:val="009B2137"/>
    <w:rsid w:val="009C08E0"/>
    <w:rsid w:val="009C6F10"/>
    <w:rsid w:val="009D0130"/>
    <w:rsid w:val="009D148F"/>
    <w:rsid w:val="009D3D70"/>
    <w:rsid w:val="009E3177"/>
    <w:rsid w:val="009E6F7E"/>
    <w:rsid w:val="009E7A57"/>
    <w:rsid w:val="009F2344"/>
    <w:rsid w:val="009F4803"/>
    <w:rsid w:val="009F4F6A"/>
    <w:rsid w:val="00A1138E"/>
    <w:rsid w:val="00A13EB5"/>
    <w:rsid w:val="00A16E36"/>
    <w:rsid w:val="00A24961"/>
    <w:rsid w:val="00A24B10"/>
    <w:rsid w:val="00A277EF"/>
    <w:rsid w:val="00A30E9B"/>
    <w:rsid w:val="00A40905"/>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3998"/>
    <w:rsid w:val="00AB4B37"/>
    <w:rsid w:val="00AB5762"/>
    <w:rsid w:val="00AC2679"/>
    <w:rsid w:val="00AC4BE4"/>
    <w:rsid w:val="00AD05E6"/>
    <w:rsid w:val="00AD0D3F"/>
    <w:rsid w:val="00AE1D7D"/>
    <w:rsid w:val="00AE2A8B"/>
    <w:rsid w:val="00AE37C8"/>
    <w:rsid w:val="00AE3F64"/>
    <w:rsid w:val="00AE4423"/>
    <w:rsid w:val="00AE4BDB"/>
    <w:rsid w:val="00AE5925"/>
    <w:rsid w:val="00AE619A"/>
    <w:rsid w:val="00AE7BF7"/>
    <w:rsid w:val="00AF59AC"/>
    <w:rsid w:val="00AF7386"/>
    <w:rsid w:val="00AF7934"/>
    <w:rsid w:val="00B00B81"/>
    <w:rsid w:val="00B04580"/>
    <w:rsid w:val="00B04B09"/>
    <w:rsid w:val="00B1021B"/>
    <w:rsid w:val="00B10BE0"/>
    <w:rsid w:val="00B16A51"/>
    <w:rsid w:val="00B32222"/>
    <w:rsid w:val="00B35FCE"/>
    <w:rsid w:val="00B3618D"/>
    <w:rsid w:val="00B36233"/>
    <w:rsid w:val="00B42851"/>
    <w:rsid w:val="00B45AC7"/>
    <w:rsid w:val="00B5372F"/>
    <w:rsid w:val="00B53987"/>
    <w:rsid w:val="00B61129"/>
    <w:rsid w:val="00B67E7F"/>
    <w:rsid w:val="00B74414"/>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1137"/>
    <w:rsid w:val="00C060AD"/>
    <w:rsid w:val="00C113BF"/>
    <w:rsid w:val="00C15DF2"/>
    <w:rsid w:val="00C2176E"/>
    <w:rsid w:val="00C23430"/>
    <w:rsid w:val="00C27D67"/>
    <w:rsid w:val="00C41A0F"/>
    <w:rsid w:val="00C4631F"/>
    <w:rsid w:val="00C47CDE"/>
    <w:rsid w:val="00C505BA"/>
    <w:rsid w:val="00C50E16"/>
    <w:rsid w:val="00C55258"/>
    <w:rsid w:val="00C7532B"/>
    <w:rsid w:val="00C82EEB"/>
    <w:rsid w:val="00C86D0B"/>
    <w:rsid w:val="00C96D3B"/>
    <w:rsid w:val="00C971DC"/>
    <w:rsid w:val="00CA16B7"/>
    <w:rsid w:val="00CA62AE"/>
    <w:rsid w:val="00CB1709"/>
    <w:rsid w:val="00CB5B1A"/>
    <w:rsid w:val="00CC220B"/>
    <w:rsid w:val="00CC5C43"/>
    <w:rsid w:val="00CD02AE"/>
    <w:rsid w:val="00CD2A4F"/>
    <w:rsid w:val="00CE03CA"/>
    <w:rsid w:val="00CE22F1"/>
    <w:rsid w:val="00CE4F1E"/>
    <w:rsid w:val="00CE50F2"/>
    <w:rsid w:val="00CE6502"/>
    <w:rsid w:val="00CF01CC"/>
    <w:rsid w:val="00CF5D40"/>
    <w:rsid w:val="00CF7D3C"/>
    <w:rsid w:val="00D01F09"/>
    <w:rsid w:val="00D06AB6"/>
    <w:rsid w:val="00D12980"/>
    <w:rsid w:val="00D147EB"/>
    <w:rsid w:val="00D16D02"/>
    <w:rsid w:val="00D213F2"/>
    <w:rsid w:val="00D22BB7"/>
    <w:rsid w:val="00D34667"/>
    <w:rsid w:val="00D401E1"/>
    <w:rsid w:val="00D408B4"/>
    <w:rsid w:val="00D44330"/>
    <w:rsid w:val="00D46254"/>
    <w:rsid w:val="00D524C8"/>
    <w:rsid w:val="00D70E24"/>
    <w:rsid w:val="00D72B61"/>
    <w:rsid w:val="00D72E3C"/>
    <w:rsid w:val="00DA3D1D"/>
    <w:rsid w:val="00DB6286"/>
    <w:rsid w:val="00DB645F"/>
    <w:rsid w:val="00DB76E9"/>
    <w:rsid w:val="00DC0A67"/>
    <w:rsid w:val="00DC1D5E"/>
    <w:rsid w:val="00DC3735"/>
    <w:rsid w:val="00DC5220"/>
    <w:rsid w:val="00DD2061"/>
    <w:rsid w:val="00DD35B8"/>
    <w:rsid w:val="00DD7DAB"/>
    <w:rsid w:val="00DE3355"/>
    <w:rsid w:val="00DF0C60"/>
    <w:rsid w:val="00DF486F"/>
    <w:rsid w:val="00DF5B5B"/>
    <w:rsid w:val="00DF7619"/>
    <w:rsid w:val="00E042D8"/>
    <w:rsid w:val="00E07EE7"/>
    <w:rsid w:val="00E1103B"/>
    <w:rsid w:val="00E17B44"/>
    <w:rsid w:val="00E20F27"/>
    <w:rsid w:val="00E22443"/>
    <w:rsid w:val="00E22911"/>
    <w:rsid w:val="00E25B1F"/>
    <w:rsid w:val="00E27FEA"/>
    <w:rsid w:val="00E40023"/>
    <w:rsid w:val="00E4086F"/>
    <w:rsid w:val="00E43B3C"/>
    <w:rsid w:val="00E50188"/>
    <w:rsid w:val="00E50BB3"/>
    <w:rsid w:val="00E515CB"/>
    <w:rsid w:val="00E52260"/>
    <w:rsid w:val="00E639B6"/>
    <w:rsid w:val="00E6434B"/>
    <w:rsid w:val="00E6463D"/>
    <w:rsid w:val="00E679C7"/>
    <w:rsid w:val="00E72E9B"/>
    <w:rsid w:val="00E850C3"/>
    <w:rsid w:val="00E87DF2"/>
    <w:rsid w:val="00E9462E"/>
    <w:rsid w:val="00EA1DC8"/>
    <w:rsid w:val="00EA470E"/>
    <w:rsid w:val="00EA47A7"/>
    <w:rsid w:val="00EA57EB"/>
    <w:rsid w:val="00EB3226"/>
    <w:rsid w:val="00EC213A"/>
    <w:rsid w:val="00EC7744"/>
    <w:rsid w:val="00EC7ED4"/>
    <w:rsid w:val="00ED0DAD"/>
    <w:rsid w:val="00ED0F46"/>
    <w:rsid w:val="00ED1566"/>
    <w:rsid w:val="00ED2373"/>
    <w:rsid w:val="00EE2772"/>
    <w:rsid w:val="00EE3E8A"/>
    <w:rsid w:val="00EE418C"/>
    <w:rsid w:val="00EF58B8"/>
    <w:rsid w:val="00EF6ECA"/>
    <w:rsid w:val="00F024E1"/>
    <w:rsid w:val="00F06C10"/>
    <w:rsid w:val="00F1096F"/>
    <w:rsid w:val="00F12589"/>
    <w:rsid w:val="00F12595"/>
    <w:rsid w:val="00F134D9"/>
    <w:rsid w:val="00F1403D"/>
    <w:rsid w:val="00F1463F"/>
    <w:rsid w:val="00F20EDC"/>
    <w:rsid w:val="00F21302"/>
    <w:rsid w:val="00F2430D"/>
    <w:rsid w:val="00F321DE"/>
    <w:rsid w:val="00F33777"/>
    <w:rsid w:val="00F40648"/>
    <w:rsid w:val="00F47DA2"/>
    <w:rsid w:val="00F519FC"/>
    <w:rsid w:val="00F6239D"/>
    <w:rsid w:val="00F715D2"/>
    <w:rsid w:val="00F7274F"/>
    <w:rsid w:val="00F74E84"/>
    <w:rsid w:val="00F76FA8"/>
    <w:rsid w:val="00F91729"/>
    <w:rsid w:val="00F92281"/>
    <w:rsid w:val="00F93F08"/>
    <w:rsid w:val="00F946D7"/>
    <w:rsid w:val="00F94CED"/>
    <w:rsid w:val="00FA02BB"/>
    <w:rsid w:val="00FA2CEE"/>
    <w:rsid w:val="00FA318C"/>
    <w:rsid w:val="00FA73FE"/>
    <w:rsid w:val="00FB5048"/>
    <w:rsid w:val="00FB6F92"/>
    <w:rsid w:val="00FC026E"/>
    <w:rsid w:val="00FC5124"/>
    <w:rsid w:val="00FD4731"/>
    <w:rsid w:val="00FD6768"/>
    <w:rsid w:val="00FF0AB0"/>
    <w:rsid w:val="00FF28AC"/>
    <w:rsid w:val="00FF398F"/>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92281"/>
    <w:pPr>
      <w:spacing w:before="120" w:after="120" w:line="276" w:lineRule="auto"/>
    </w:pPr>
    <w:rPr>
      <w:rFonts w:ascii="Calibri" w:hAnsi="Calibri" w:cs="Calibri"/>
      <w:color w:val="000000"/>
      <w:sz w:val="24"/>
      <w:szCs w:val="24"/>
      <w:lang w:eastAsia="en-US"/>
    </w:rPr>
  </w:style>
  <w:style w:type="paragraph" w:styleId="Heading1">
    <w:name w:val="heading 1"/>
    <w:next w:val="Normal"/>
    <w:qFormat/>
    <w:rsid w:val="00061A6D"/>
    <w:pPr>
      <w:keepNext/>
      <w:spacing w:before="240" w:after="60"/>
      <w:outlineLvl w:val="0"/>
    </w:pPr>
    <w:rPr>
      <w:rFonts w:ascii="Arial" w:hAnsi="Arial" w:cs="Arial"/>
      <w:b/>
      <w:bCs/>
      <w:color w:val="3F4A75"/>
      <w:kern w:val="28"/>
      <w:sz w:val="32"/>
      <w:szCs w:val="36"/>
      <w:lang w:eastAsia="en-US"/>
    </w:rPr>
  </w:style>
  <w:style w:type="paragraph" w:styleId="Heading2">
    <w:name w:val="heading 2"/>
    <w:next w:val="Normal"/>
    <w:qFormat/>
    <w:rsid w:val="00E40023"/>
    <w:pPr>
      <w:keepNext/>
      <w:spacing w:before="240" w:after="60"/>
      <w:outlineLvl w:val="1"/>
    </w:pPr>
    <w:rPr>
      <w:rFonts w:ascii="Arial" w:hAnsi="Arial" w:cs="Arial"/>
      <w:b/>
      <w:bCs/>
      <w:iCs/>
      <w:sz w:val="24"/>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Paragraph"/>
    <w:rsid w:val="00061A6D"/>
    <w:pPr>
      <w:numPr>
        <w:ilvl w:val="1"/>
        <w:numId w:val="11"/>
      </w:numPr>
    </w:pPr>
  </w:style>
  <w:style w:type="paragraph" w:styleId="ListNumber2">
    <w:name w:val="List Number 2"/>
    <w:qFormat/>
    <w:rsid w:val="003C2F3A"/>
    <w:pPr>
      <w:numPr>
        <w:numId w:val="7"/>
      </w:numPr>
    </w:pPr>
    <w:rPr>
      <w:rFonts w:ascii="Calibri" w:hAnsi="Calibri" w:cs="Calibri"/>
      <w:color w:val="000000"/>
      <w:sz w:val="24"/>
      <w:szCs w:val="24"/>
      <w:lang w:eastAsia="en-US"/>
    </w:rPr>
  </w:style>
  <w:style w:type="paragraph" w:styleId="ListBullet">
    <w:name w:val="List Bullet"/>
    <w:basedOn w:val="ListParagraph"/>
    <w:qFormat/>
    <w:rsid w:val="00061A6D"/>
    <w:pPr>
      <w:numPr>
        <w:numId w:val="11"/>
      </w:numPr>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E4002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FFFFF" w:themeColor="background1"/>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Cs w:val="20"/>
    </w:rPr>
  </w:style>
  <w:style w:type="character" w:styleId="UnresolvedMention">
    <w:name w:val="Unresolved Mention"/>
    <w:basedOn w:val="DefaultParagraphFont"/>
    <w:uiPriority w:val="99"/>
    <w:semiHidden/>
    <w:unhideWhenUsed/>
    <w:rsid w:val="002271FD"/>
    <w:rPr>
      <w:color w:val="605E5C"/>
      <w:shd w:val="clear" w:color="auto" w:fill="E1DFDD"/>
    </w:rPr>
  </w:style>
  <w:style w:type="paragraph" w:customStyle="1" w:styleId="paragraph">
    <w:name w:val="paragraph"/>
    <w:basedOn w:val="Normal"/>
    <w:rsid w:val="00D12980"/>
    <w:pPr>
      <w:spacing w:before="100" w:beforeAutospacing="1" w:after="100" w:afterAutospacing="1" w:line="240" w:lineRule="auto"/>
    </w:pPr>
    <w:rPr>
      <w:rFonts w:ascii="Times New Roman" w:hAnsi="Times New Roman"/>
      <w:color w:val="auto"/>
      <w:lang w:eastAsia="en-AU"/>
    </w:rPr>
  </w:style>
  <w:style w:type="character" w:customStyle="1" w:styleId="normaltextrun">
    <w:name w:val="normaltextrun"/>
    <w:basedOn w:val="DefaultParagraphFont"/>
    <w:rsid w:val="00D12980"/>
  </w:style>
  <w:style w:type="character" w:customStyle="1" w:styleId="eop">
    <w:name w:val="eop"/>
    <w:basedOn w:val="DefaultParagraphFont"/>
    <w:rsid w:val="00D12980"/>
  </w:style>
  <w:style w:type="character" w:styleId="CommentReference">
    <w:name w:val="annotation reference"/>
    <w:basedOn w:val="DefaultParagraphFont"/>
    <w:semiHidden/>
    <w:unhideWhenUsed/>
    <w:rsid w:val="00D12980"/>
    <w:rPr>
      <w:sz w:val="16"/>
      <w:szCs w:val="16"/>
    </w:rPr>
  </w:style>
  <w:style w:type="paragraph" w:styleId="CommentText">
    <w:name w:val="annotation text"/>
    <w:basedOn w:val="Normal"/>
    <w:link w:val="CommentTextChar"/>
    <w:unhideWhenUsed/>
    <w:rsid w:val="00D12980"/>
    <w:pPr>
      <w:spacing w:line="240" w:lineRule="auto"/>
    </w:pPr>
    <w:rPr>
      <w:sz w:val="20"/>
      <w:szCs w:val="20"/>
    </w:rPr>
  </w:style>
  <w:style w:type="character" w:customStyle="1" w:styleId="CommentTextChar">
    <w:name w:val="Comment Text Char"/>
    <w:basedOn w:val="DefaultParagraphFont"/>
    <w:link w:val="CommentText"/>
    <w:rsid w:val="00D1298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12980"/>
    <w:rPr>
      <w:b/>
      <w:bCs/>
    </w:rPr>
  </w:style>
  <w:style w:type="character" w:customStyle="1" w:styleId="CommentSubjectChar">
    <w:name w:val="Comment Subject Char"/>
    <w:basedOn w:val="CommentTextChar"/>
    <w:link w:val="CommentSubject"/>
    <w:semiHidden/>
    <w:rsid w:val="00D12980"/>
    <w:rPr>
      <w:rFonts w:ascii="Arial" w:hAnsi="Arial"/>
      <w:b/>
      <w:bCs/>
      <w:color w:val="000000" w:themeColor="text1"/>
      <w:lang w:eastAsia="en-US"/>
    </w:rPr>
  </w:style>
  <w:style w:type="character" w:styleId="FootnoteReference">
    <w:name w:val="footnote reference"/>
    <w:basedOn w:val="DefaultParagraphFont"/>
    <w:semiHidden/>
    <w:unhideWhenUsed/>
    <w:rsid w:val="003D10F9"/>
    <w:rPr>
      <w:vertAlign w:val="superscript"/>
    </w:rPr>
  </w:style>
  <w:style w:type="paragraph" w:styleId="EndnoteText">
    <w:name w:val="endnote text"/>
    <w:basedOn w:val="Normal"/>
    <w:link w:val="EndnoteTextChar"/>
    <w:unhideWhenUsed/>
    <w:rsid w:val="009768C7"/>
    <w:pPr>
      <w:spacing w:before="0" w:after="0" w:line="240" w:lineRule="auto"/>
    </w:pPr>
    <w:rPr>
      <w:sz w:val="20"/>
      <w:szCs w:val="20"/>
    </w:rPr>
  </w:style>
  <w:style w:type="character" w:customStyle="1" w:styleId="EndnoteTextChar">
    <w:name w:val="Endnote Text Char"/>
    <w:basedOn w:val="DefaultParagraphFont"/>
    <w:link w:val="EndnoteText"/>
    <w:rsid w:val="009768C7"/>
    <w:rPr>
      <w:rFonts w:ascii="Arial" w:hAnsi="Arial"/>
      <w:color w:val="000000" w:themeColor="text1"/>
      <w:lang w:eastAsia="en-US"/>
    </w:rPr>
  </w:style>
  <w:style w:type="character" w:styleId="EndnoteReference">
    <w:name w:val="endnote reference"/>
    <w:basedOn w:val="DefaultParagraphFont"/>
    <w:semiHidden/>
    <w:unhideWhenUsed/>
    <w:rsid w:val="009768C7"/>
    <w:rPr>
      <w:vertAlign w:val="superscript"/>
    </w:rPr>
  </w:style>
  <w:style w:type="table" w:styleId="GridTable7Colorful-Accent2">
    <w:name w:val="Grid Table 7 Colorful Accent 2"/>
    <w:basedOn w:val="TableNormal"/>
    <w:uiPriority w:val="52"/>
    <w:rsid w:val="00F92281"/>
    <w:rPr>
      <w:color w:val="276066" w:themeColor="accent2" w:themeShade="BF"/>
    </w:rPr>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left"/>
      </w:pPr>
      <w:rPr>
        <w:b/>
        <w:i w:val="0"/>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AED" w:themeFill="accent2" w:themeFillTint="33"/>
      </w:tcPr>
    </w:tblStylePr>
    <w:tblStylePr w:type="band1Horz">
      <w:tblPr/>
      <w:tcPr>
        <w:shd w:val="clear" w:color="auto" w:fill="D0EAED" w:themeFill="accent2" w:themeFillTint="33"/>
      </w:tcPr>
    </w:tblStylePr>
    <w:tblStylePr w:type="neCell">
      <w:tblPr/>
      <w:tcPr>
        <w:tcBorders>
          <w:bottom w:val="single" w:sz="4" w:space="0" w:color="74C1C9" w:themeColor="accent2" w:themeTint="99"/>
        </w:tcBorders>
      </w:tcPr>
    </w:tblStylePr>
    <w:tblStylePr w:type="nwCell">
      <w:tblPr/>
      <w:tcPr>
        <w:tcBorders>
          <w:bottom w:val="single" w:sz="4" w:space="0" w:color="74C1C9" w:themeColor="accent2" w:themeTint="99"/>
        </w:tcBorders>
      </w:tcPr>
    </w:tblStylePr>
    <w:tblStylePr w:type="seCell">
      <w:tblPr/>
      <w:tcPr>
        <w:tcBorders>
          <w:top w:val="single" w:sz="4" w:space="0" w:color="74C1C9" w:themeColor="accent2" w:themeTint="99"/>
        </w:tcBorders>
      </w:tcPr>
    </w:tblStylePr>
    <w:tblStylePr w:type="swCell">
      <w:tblPr/>
      <w:tcPr>
        <w:tcBorders>
          <w:top w:val="single" w:sz="4" w:space="0" w:color="74C1C9" w:themeColor="accent2" w:themeTint="99"/>
        </w:tcBorders>
      </w:tcPr>
    </w:tblStylePr>
  </w:style>
  <w:style w:type="numbering" w:customStyle="1" w:styleId="CurrentList1">
    <w:name w:val="Current List1"/>
    <w:uiPriority w:val="99"/>
    <w:rsid w:val="00D213F2"/>
    <w:pPr>
      <w:numPr>
        <w:numId w:val="14"/>
      </w:numPr>
    </w:pPr>
  </w:style>
  <w:style w:type="paragraph" w:styleId="ListBullet3">
    <w:name w:val="List Bullet 3"/>
    <w:basedOn w:val="ListParagraph"/>
    <w:unhideWhenUsed/>
    <w:rsid w:val="00061A6D"/>
    <w:pPr>
      <w:numPr>
        <w:numId w:val="13"/>
      </w:numPr>
    </w:pPr>
    <w:rPr>
      <w:bCs/>
    </w:rPr>
  </w:style>
  <w:style w:type="paragraph" w:styleId="ListNumber">
    <w:name w:val="List Number"/>
    <w:basedOn w:val="ListParagraph"/>
    <w:rsid w:val="00F92281"/>
    <w:pPr>
      <w:numPr>
        <w:numId w:val="9"/>
      </w:numPr>
    </w:pPr>
    <w:rPr>
      <w:b/>
    </w:rPr>
  </w:style>
  <w:style w:type="paragraph" w:styleId="ListBullet4">
    <w:name w:val="List Bullet 4"/>
    <w:basedOn w:val="Normal"/>
    <w:unhideWhenUsed/>
    <w:rsid w:val="00F92281"/>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803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4625560">
      <w:bodyDiv w:val="1"/>
      <w:marLeft w:val="0"/>
      <w:marRight w:val="0"/>
      <w:marTop w:val="0"/>
      <w:marBottom w:val="0"/>
      <w:divBdr>
        <w:top w:val="none" w:sz="0" w:space="0" w:color="auto"/>
        <w:left w:val="none" w:sz="0" w:space="0" w:color="auto"/>
        <w:bottom w:val="none" w:sz="0" w:space="0" w:color="auto"/>
        <w:right w:val="none" w:sz="0" w:space="0" w:color="auto"/>
      </w:divBdr>
    </w:div>
    <w:div w:id="1146777892">
      <w:bodyDiv w:val="1"/>
      <w:marLeft w:val="0"/>
      <w:marRight w:val="0"/>
      <w:marTop w:val="0"/>
      <w:marBottom w:val="0"/>
      <w:divBdr>
        <w:top w:val="none" w:sz="0" w:space="0" w:color="auto"/>
        <w:left w:val="none" w:sz="0" w:space="0" w:color="auto"/>
        <w:bottom w:val="none" w:sz="0" w:space="0" w:color="auto"/>
        <w:right w:val="none" w:sz="0" w:space="0" w:color="auto"/>
      </w:divBdr>
    </w:div>
    <w:div w:id="1184516572">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onicDiseaseFNHD@health.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review-of-first-nations-mental-health-and-suicide-prevention-services-and-the-integrated-team-care-program-final-report?language=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sites/default/files/2024-07/integrated-team-care-program-implementation-guideline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aihw.gov.au/reports/burden-of-disease/abds-2018-interactive-risk-factor-indigeno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2" ma:contentTypeDescription="Create a new document." ma:contentTypeScope="" ma:versionID="68006a62ac9f5a8f257f787b846dd66e">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a9305ab7d6f56f23f46ad3f2ed1977e0"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40325e-9e16-4165-9463-b4043d9cc45a}"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615D7F8C-149E-4D74-A681-534A427E4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TotalTime>
  <Pages>6</Pages>
  <Words>1637</Words>
  <Characters>9976</Characters>
  <Application>Microsoft Office Word</Application>
  <DocSecurity>0</DocSecurity>
  <Lines>262</Lines>
  <Paragraphs>122</Paragraphs>
  <ScaleCrop>false</ScaleCrop>
  <HeadingPairs>
    <vt:vector size="2" baseType="variant">
      <vt:variant>
        <vt:lpstr>Title</vt:lpstr>
      </vt:variant>
      <vt:variant>
        <vt:i4>1</vt:i4>
      </vt:variant>
    </vt:vector>
  </HeadingPairs>
  <TitlesOfParts>
    <vt:vector size="1" baseType="lpstr">
      <vt:lpstr>Integrated Team Care (ITC) - Transition to First Nations community control fact sheet</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Team Care (ITC) - Transition to First Nations community control fact sheet</dc:title>
  <dc:creator>Australian Government Department of Health, Disability and Ageing</dc:creator>
  <cp:keywords>Integrated Team Care</cp:keywords>
  <cp:lastModifiedBy>MASCHKE, Elvia</cp:lastModifiedBy>
  <cp:revision>2</cp:revision>
  <dcterms:created xsi:type="dcterms:W3CDTF">2025-11-07T01:52:00Z</dcterms:created>
  <dcterms:modified xsi:type="dcterms:W3CDTF">2025-11-07T01:52:00Z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0x0101007A82B3361C2F6F4BA86251C46CAF0EB2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