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9200" w14:textId="746B74C6" w:rsidR="000C60C7" w:rsidRPr="000C60C7" w:rsidRDefault="000C60C7" w:rsidP="001C671C">
      <w:pPr>
        <w:pStyle w:val="Heading1"/>
      </w:pPr>
      <w:bookmarkStart w:id="0" w:name="_Toc200014133"/>
      <w:bookmarkStart w:id="1" w:name="_Toc213403064"/>
      <w:r w:rsidRPr="000C60C7">
        <w:t>Information for ITC commissioning bodies</w:t>
      </w:r>
      <w:bookmarkEnd w:id="0"/>
      <w:bookmarkEnd w:id="1"/>
    </w:p>
    <w:p w14:paraId="3F14D321" w14:textId="08C53597" w:rsidR="000C60C7" w:rsidRPr="001C671C" w:rsidRDefault="000C60C7" w:rsidP="001C671C">
      <w:r w:rsidRPr="001C671C">
        <w:t>This document outlines the roles and responsibilities of current and prospective ‘commissioning bodies’ in the conte</w:t>
      </w:r>
      <w:r w:rsidR="001B728A" w:rsidRPr="001C671C">
        <w:t>x</w:t>
      </w:r>
      <w:r w:rsidRPr="001C671C">
        <w:t xml:space="preserve">t of transitioning the Integrated Team Care (ITC) program to the Aboriginal and Torres Strait Islander </w:t>
      </w:r>
      <w:proofErr w:type="gramStart"/>
      <w:r w:rsidRPr="001C671C">
        <w:t>community</w:t>
      </w:r>
      <w:r w:rsidR="2AF47D88" w:rsidRPr="001C671C">
        <w:t xml:space="preserve"> </w:t>
      </w:r>
      <w:r w:rsidRPr="001C671C">
        <w:t>controlled</w:t>
      </w:r>
      <w:proofErr w:type="gramEnd"/>
      <w:r w:rsidRPr="001C671C">
        <w:t xml:space="preserve"> sector.</w:t>
      </w:r>
    </w:p>
    <w:p w14:paraId="1CF47D9F" w14:textId="77777777" w:rsidR="000C60C7" w:rsidRPr="001C671C" w:rsidRDefault="000C60C7" w:rsidP="001C671C">
      <w:r w:rsidRPr="001C671C">
        <w:t xml:space="preserve">Currently, Primary Health Networks (PHNs) serve as the primary ‘commissioning bodies’, funded by the Department of Health, Disability and Ageing (the department) to deliver the ITC program and engage health services within their respective regions. </w:t>
      </w:r>
    </w:p>
    <w:p w14:paraId="6A83EE10" w14:textId="4F45E3B7" w:rsidR="000C60C7" w:rsidRPr="001C671C" w:rsidRDefault="000C60C7" w:rsidP="001C671C">
      <w:r w:rsidRPr="001C671C">
        <w:t xml:space="preserve">This transition does not seek to replicate the PHN model in full, recognising that </w:t>
      </w:r>
      <w:r w:rsidR="00482690" w:rsidRPr="001C671C">
        <w:t xml:space="preserve">the role of </w:t>
      </w:r>
      <w:r w:rsidRPr="001C671C">
        <w:t xml:space="preserve">PHNs </w:t>
      </w:r>
      <w:r w:rsidR="00482690" w:rsidRPr="001C671C">
        <w:t>as commissioning bodies extends be</w:t>
      </w:r>
      <w:r w:rsidRPr="001C671C">
        <w:t xml:space="preserve">yond the ITC program alone. </w:t>
      </w:r>
      <w:r w:rsidR="00482690" w:rsidRPr="001C671C">
        <w:t xml:space="preserve">Community controlled organisations also have expertise in a range of commissioning-like functions. </w:t>
      </w:r>
      <w:r w:rsidRPr="001C671C">
        <w:t xml:space="preserve">However, future commissioning bodies </w:t>
      </w:r>
      <w:r w:rsidR="00482690" w:rsidRPr="001C671C">
        <w:t xml:space="preserve">will be </w:t>
      </w:r>
      <w:r w:rsidRPr="001C671C">
        <w:t>expected to maintain key responsibilities outlined in this document while implementing locally tailored solutions.</w:t>
      </w:r>
    </w:p>
    <w:p w14:paraId="6250C995" w14:textId="30A1DDCA" w:rsidR="000C60C7" w:rsidRPr="001C671C" w:rsidRDefault="000C60C7" w:rsidP="001C671C">
      <w:r w:rsidRPr="001C671C">
        <w:t xml:space="preserve">This document should be read in conjunction with the </w:t>
      </w:r>
      <w:hyperlink r:id="rId11" w:tooltip="Link to the Integrated Team Care Program implementation guidelines" w:history="1">
        <w:r w:rsidRPr="001C671C">
          <w:rPr>
            <w:rStyle w:val="Hyperlink"/>
          </w:rPr>
          <w:t>ITC implementation guidelines</w:t>
        </w:r>
      </w:hyperlink>
      <w:r w:rsidRPr="001C671C">
        <w:t xml:space="preserve"> and </w:t>
      </w:r>
      <w:hyperlink r:id="rId12" w:tooltip="Link to the Integrated Team Care program – Transition fact sheet and FAQs" w:history="1">
        <w:r w:rsidRPr="001C671C">
          <w:rPr>
            <w:rStyle w:val="Hyperlink"/>
          </w:rPr>
          <w:t>transition fact sheet and FAQs</w:t>
        </w:r>
      </w:hyperlink>
      <w:r w:rsidRPr="001C671C">
        <w:t>.</w:t>
      </w:r>
    </w:p>
    <w:p w14:paraId="505236F0" w14:textId="37916C8F" w:rsidR="000C60C7" w:rsidRPr="00227E41" w:rsidRDefault="000C60C7" w:rsidP="00227E41">
      <w:pPr>
        <w:pStyle w:val="Heading2"/>
      </w:pPr>
      <w:bookmarkStart w:id="2" w:name="_Toc200014134"/>
      <w:bookmarkStart w:id="3" w:name="_Toc213403065"/>
      <w:r w:rsidRPr="00227E41">
        <w:t>Scope</w:t>
      </w:r>
      <w:bookmarkEnd w:id="2"/>
      <w:bookmarkEnd w:id="3"/>
    </w:p>
    <w:p w14:paraId="7D127EE8" w14:textId="60DD0002" w:rsidR="000C60C7" w:rsidRPr="000C60C7" w:rsidRDefault="000C60C7" w:rsidP="001C671C">
      <w:r w:rsidRPr="000C60C7">
        <w:t xml:space="preserve">This document applies to </w:t>
      </w:r>
      <w:r w:rsidR="694A91A6" w:rsidRPr="000C60C7">
        <w:t xml:space="preserve">potential </w:t>
      </w:r>
      <w:r w:rsidRPr="000C60C7">
        <w:t>grant recipients (i.e., PHNs and Aboriginal and Torres Strait Islander Community Controlled Organisations (ACCOs</w:t>
      </w:r>
      <w:r w:rsidR="00944B88">
        <w:rPr>
          <w:rStyle w:val="FootnoteReference"/>
        </w:rPr>
        <w:footnoteReference w:id="2"/>
      </w:r>
      <w:r w:rsidRPr="000C60C7">
        <w:t xml:space="preserve">)) </w:t>
      </w:r>
      <w:r w:rsidR="562049A2" w:rsidRPr="000C60C7">
        <w:t>for</w:t>
      </w:r>
      <w:r w:rsidRPr="000C60C7">
        <w:t xml:space="preserve"> the ITC program.</w:t>
      </w:r>
    </w:p>
    <w:p w14:paraId="499B95CC" w14:textId="77777777" w:rsidR="000C60C7" w:rsidRPr="00227E41" w:rsidRDefault="000C60C7" w:rsidP="00227E41">
      <w:pPr>
        <w:pStyle w:val="Heading2"/>
      </w:pPr>
      <w:bookmarkStart w:id="4" w:name="_Toc200014135"/>
      <w:bookmarkStart w:id="5" w:name="_Toc213403066"/>
      <w:r w:rsidRPr="00227E41">
        <w:t>Role</w:t>
      </w:r>
      <w:bookmarkEnd w:id="4"/>
      <w:bookmarkEnd w:id="5"/>
    </w:p>
    <w:p w14:paraId="70CE9556" w14:textId="77777777" w:rsidR="000C60C7" w:rsidRPr="001C671C" w:rsidRDefault="000C60C7" w:rsidP="001C671C">
      <w:r w:rsidRPr="001C671C">
        <w:t>The ITC commissioning body will:</w:t>
      </w:r>
    </w:p>
    <w:p w14:paraId="40440977" w14:textId="77777777" w:rsidR="000C60C7" w:rsidRPr="001C671C" w:rsidRDefault="000C60C7" w:rsidP="001C671C">
      <w:r w:rsidRPr="001C671C">
        <w:t>Be eligible to apply for the ITC program grant opportunity offered by the department to secure funding for ITC program delivery.</w:t>
      </w:r>
    </w:p>
    <w:p w14:paraId="19D48AA4" w14:textId="35CD5AD8" w:rsidR="00944B88" w:rsidRPr="001C671C" w:rsidRDefault="000C60C7" w:rsidP="001C671C">
      <w:r w:rsidRPr="001C671C">
        <w:t xml:space="preserve">Be responsible for delivering the ITC program for one or more PHN regions. </w:t>
      </w:r>
    </w:p>
    <w:p w14:paraId="48176C79" w14:textId="034476FE" w:rsidR="00944B88" w:rsidRPr="001C671C" w:rsidRDefault="00944B88" w:rsidP="001C671C">
      <w:r w:rsidRPr="001C671C">
        <w:t>Demonstrate a transparent and accountable governance framework and have robust systems in place to identify, declare, and manage conflicts of interest, including independent oversight and documented procedures.</w:t>
      </w:r>
    </w:p>
    <w:p w14:paraId="0E841414" w14:textId="00E26FDC" w:rsidR="00227E41" w:rsidRDefault="00944B88" w:rsidP="001C671C">
      <w:r w:rsidRPr="001C671C">
        <w:t>Support clear financial stewardship, equitable and compliant procurement processes and mechanisms for ongoing engagement with all potential ITC stakeholders.</w:t>
      </w:r>
    </w:p>
    <w:p w14:paraId="09EA0705" w14:textId="77777777" w:rsidR="00227E41" w:rsidRDefault="00227E41">
      <w:pPr>
        <w:spacing w:before="0" w:after="0"/>
      </w:pPr>
      <w:r>
        <w:br w:type="page"/>
      </w:r>
    </w:p>
    <w:sdt>
      <w:sdtPr>
        <w:rPr>
          <w:rFonts w:ascii="Arial" w:hAnsi="Arial" w:cs="Times New Roman"/>
          <w:color w:val="auto"/>
          <w:sz w:val="22"/>
        </w:rPr>
        <w:id w:val="-1400740591"/>
        <w:docPartObj>
          <w:docPartGallery w:val="Table of Contents"/>
          <w:docPartUnique/>
        </w:docPartObj>
      </w:sdtPr>
      <w:sdtEndPr>
        <w:rPr>
          <w:rFonts w:ascii="Aptos" w:eastAsia="Aptos" w:hAnsi="Aptos"/>
          <w:kern w:val="2"/>
          <w:szCs w:val="24"/>
          <w:lang w:val="en-AU"/>
        </w:rPr>
      </w:sdtEndPr>
      <w:sdtContent>
        <w:p w14:paraId="7C02F012" w14:textId="75638499" w:rsidR="006758FC" w:rsidRDefault="006758FC" w:rsidP="001C671C">
          <w:pPr>
            <w:pStyle w:val="TOCHeading"/>
          </w:pPr>
          <w:r>
            <w:t xml:space="preserve">Quick </w:t>
          </w:r>
          <w:r w:rsidR="00A605E6">
            <w:t>navigation</w:t>
          </w:r>
        </w:p>
        <w:p w14:paraId="2E5DDEBE" w14:textId="659C67C9" w:rsidR="00592041" w:rsidRDefault="006758FC">
          <w:pPr>
            <w:pStyle w:val="TOC1"/>
          </w:pPr>
          <w:r w:rsidRPr="00227E41">
            <w:fldChar w:fldCharType="begin"/>
          </w:r>
          <w:r w:rsidRPr="00227E41">
            <w:instrText xml:space="preserve"> TOC \o "1-3" \h \z \u </w:instrText>
          </w:r>
          <w:r w:rsidRPr="00227E41">
            <w:fldChar w:fldCharType="separate"/>
          </w:r>
          <w:hyperlink w:anchor="_Toc213403064" w:history="1">
            <w:r w:rsidR="00592041" w:rsidRPr="00933330">
              <w:rPr>
                <w:rStyle w:val="Hyperlink"/>
              </w:rPr>
              <w:t>Information for ITC commissioning bodies</w:t>
            </w:r>
            <w:r w:rsidR="00592041">
              <w:rPr>
                <w:webHidden/>
              </w:rPr>
              <w:tab/>
            </w:r>
            <w:r w:rsidR="00592041">
              <w:rPr>
                <w:webHidden/>
              </w:rPr>
              <w:fldChar w:fldCharType="begin"/>
            </w:r>
            <w:r w:rsidR="00592041">
              <w:rPr>
                <w:webHidden/>
              </w:rPr>
              <w:instrText xml:space="preserve"> PAGEREF _Toc213403064 \h </w:instrText>
            </w:r>
            <w:r w:rsidR="00592041">
              <w:rPr>
                <w:webHidden/>
              </w:rPr>
            </w:r>
            <w:r w:rsidR="00592041">
              <w:rPr>
                <w:webHidden/>
              </w:rPr>
              <w:fldChar w:fldCharType="separate"/>
            </w:r>
            <w:r w:rsidR="00B345DF">
              <w:rPr>
                <w:webHidden/>
              </w:rPr>
              <w:t>1</w:t>
            </w:r>
            <w:r w:rsidR="00592041">
              <w:rPr>
                <w:webHidden/>
              </w:rPr>
              <w:fldChar w:fldCharType="end"/>
            </w:r>
          </w:hyperlink>
        </w:p>
        <w:p w14:paraId="6236F617" w14:textId="0F3B7EF6" w:rsidR="00592041" w:rsidRDefault="00592041">
          <w:pPr>
            <w:pStyle w:val="TOC2"/>
          </w:pPr>
          <w:hyperlink w:anchor="_Toc213403065" w:history="1">
            <w:r w:rsidRPr="00933330">
              <w:rPr>
                <w:rStyle w:val="Hyperlink"/>
              </w:rPr>
              <w:t>Scope</w:t>
            </w:r>
            <w:r>
              <w:rPr>
                <w:webHidden/>
              </w:rPr>
              <w:tab/>
            </w:r>
            <w:r>
              <w:rPr>
                <w:webHidden/>
              </w:rPr>
              <w:fldChar w:fldCharType="begin"/>
            </w:r>
            <w:r>
              <w:rPr>
                <w:webHidden/>
              </w:rPr>
              <w:instrText xml:space="preserve"> PAGEREF _Toc213403065 \h </w:instrText>
            </w:r>
            <w:r>
              <w:rPr>
                <w:webHidden/>
              </w:rPr>
            </w:r>
            <w:r>
              <w:rPr>
                <w:webHidden/>
              </w:rPr>
              <w:fldChar w:fldCharType="separate"/>
            </w:r>
            <w:r w:rsidR="00B345DF">
              <w:rPr>
                <w:webHidden/>
              </w:rPr>
              <w:t>1</w:t>
            </w:r>
            <w:r>
              <w:rPr>
                <w:webHidden/>
              </w:rPr>
              <w:fldChar w:fldCharType="end"/>
            </w:r>
          </w:hyperlink>
        </w:p>
        <w:p w14:paraId="718BACBD" w14:textId="3B6A0CB8" w:rsidR="00592041" w:rsidRDefault="00592041">
          <w:pPr>
            <w:pStyle w:val="TOC2"/>
          </w:pPr>
          <w:hyperlink w:anchor="_Toc213403066" w:history="1">
            <w:r w:rsidRPr="00933330">
              <w:rPr>
                <w:rStyle w:val="Hyperlink"/>
              </w:rPr>
              <w:t>Role</w:t>
            </w:r>
            <w:r>
              <w:rPr>
                <w:webHidden/>
              </w:rPr>
              <w:tab/>
            </w:r>
            <w:r>
              <w:rPr>
                <w:webHidden/>
              </w:rPr>
              <w:fldChar w:fldCharType="begin"/>
            </w:r>
            <w:r>
              <w:rPr>
                <w:webHidden/>
              </w:rPr>
              <w:instrText xml:space="preserve"> PAGEREF _Toc213403066 \h </w:instrText>
            </w:r>
            <w:r>
              <w:rPr>
                <w:webHidden/>
              </w:rPr>
            </w:r>
            <w:r>
              <w:rPr>
                <w:webHidden/>
              </w:rPr>
              <w:fldChar w:fldCharType="separate"/>
            </w:r>
            <w:r w:rsidR="00B345DF">
              <w:rPr>
                <w:webHidden/>
              </w:rPr>
              <w:t>1</w:t>
            </w:r>
            <w:r>
              <w:rPr>
                <w:webHidden/>
              </w:rPr>
              <w:fldChar w:fldCharType="end"/>
            </w:r>
          </w:hyperlink>
        </w:p>
        <w:p w14:paraId="166ECD71" w14:textId="5CE3FFEB" w:rsidR="00592041" w:rsidRDefault="00592041">
          <w:pPr>
            <w:pStyle w:val="TOC2"/>
          </w:pPr>
          <w:hyperlink w:anchor="_Toc213403067" w:history="1">
            <w:r w:rsidRPr="00933330">
              <w:rPr>
                <w:rStyle w:val="Hyperlink"/>
              </w:rPr>
              <w:t>Responsibilities of an ITC commissioning body</w:t>
            </w:r>
            <w:r>
              <w:rPr>
                <w:webHidden/>
              </w:rPr>
              <w:tab/>
            </w:r>
            <w:r>
              <w:rPr>
                <w:webHidden/>
              </w:rPr>
              <w:fldChar w:fldCharType="begin"/>
            </w:r>
            <w:r>
              <w:rPr>
                <w:webHidden/>
              </w:rPr>
              <w:instrText xml:space="preserve"> PAGEREF _Toc213403067 \h </w:instrText>
            </w:r>
            <w:r>
              <w:rPr>
                <w:webHidden/>
              </w:rPr>
            </w:r>
            <w:r>
              <w:rPr>
                <w:webHidden/>
              </w:rPr>
              <w:fldChar w:fldCharType="separate"/>
            </w:r>
            <w:r w:rsidR="00B345DF">
              <w:rPr>
                <w:webHidden/>
              </w:rPr>
              <w:t>3</w:t>
            </w:r>
            <w:r>
              <w:rPr>
                <w:webHidden/>
              </w:rPr>
              <w:fldChar w:fldCharType="end"/>
            </w:r>
          </w:hyperlink>
        </w:p>
        <w:p w14:paraId="33CC286A" w14:textId="244E2B26" w:rsidR="00592041" w:rsidRDefault="00592041">
          <w:pPr>
            <w:pStyle w:val="TOC2"/>
          </w:pPr>
          <w:hyperlink w:anchor="_Toc213403068" w:history="1">
            <w:r w:rsidRPr="00933330">
              <w:rPr>
                <w:rStyle w:val="Hyperlink"/>
              </w:rPr>
              <w:t>Why community controlled commissioning?</w:t>
            </w:r>
            <w:r>
              <w:rPr>
                <w:webHidden/>
              </w:rPr>
              <w:tab/>
            </w:r>
            <w:r>
              <w:rPr>
                <w:webHidden/>
              </w:rPr>
              <w:fldChar w:fldCharType="begin"/>
            </w:r>
            <w:r>
              <w:rPr>
                <w:webHidden/>
              </w:rPr>
              <w:instrText xml:space="preserve"> PAGEREF _Toc213403068 \h </w:instrText>
            </w:r>
            <w:r>
              <w:rPr>
                <w:webHidden/>
              </w:rPr>
            </w:r>
            <w:r>
              <w:rPr>
                <w:webHidden/>
              </w:rPr>
              <w:fldChar w:fldCharType="separate"/>
            </w:r>
            <w:r w:rsidR="00B345DF">
              <w:rPr>
                <w:webHidden/>
              </w:rPr>
              <w:t>4</w:t>
            </w:r>
            <w:r>
              <w:rPr>
                <w:webHidden/>
              </w:rPr>
              <w:fldChar w:fldCharType="end"/>
            </w:r>
          </w:hyperlink>
        </w:p>
        <w:p w14:paraId="3A374579" w14:textId="7B80A62F" w:rsidR="00592041" w:rsidRDefault="00592041">
          <w:pPr>
            <w:pStyle w:val="TOC2"/>
          </w:pPr>
          <w:hyperlink w:anchor="_Toc213403069" w:history="1">
            <w:r w:rsidRPr="00933330">
              <w:rPr>
                <w:rStyle w:val="Hyperlink"/>
              </w:rPr>
              <w:t>ITC across the commissioning cycle</w:t>
            </w:r>
            <w:r>
              <w:rPr>
                <w:webHidden/>
              </w:rPr>
              <w:tab/>
            </w:r>
            <w:r>
              <w:rPr>
                <w:webHidden/>
              </w:rPr>
              <w:fldChar w:fldCharType="begin"/>
            </w:r>
            <w:r>
              <w:rPr>
                <w:webHidden/>
              </w:rPr>
              <w:instrText xml:space="preserve"> PAGEREF _Toc213403069 \h </w:instrText>
            </w:r>
            <w:r>
              <w:rPr>
                <w:webHidden/>
              </w:rPr>
            </w:r>
            <w:r>
              <w:rPr>
                <w:webHidden/>
              </w:rPr>
              <w:fldChar w:fldCharType="separate"/>
            </w:r>
            <w:r w:rsidR="00B345DF">
              <w:rPr>
                <w:webHidden/>
              </w:rPr>
              <w:t>4</w:t>
            </w:r>
            <w:r>
              <w:rPr>
                <w:webHidden/>
              </w:rPr>
              <w:fldChar w:fldCharType="end"/>
            </w:r>
          </w:hyperlink>
        </w:p>
        <w:p w14:paraId="7570FA10" w14:textId="341C7260" w:rsidR="00592041" w:rsidRDefault="00592041">
          <w:pPr>
            <w:pStyle w:val="TOC2"/>
          </w:pPr>
          <w:hyperlink w:anchor="_Toc213403070" w:history="1">
            <w:r w:rsidRPr="00933330">
              <w:rPr>
                <w:rStyle w:val="Hyperlink"/>
              </w:rPr>
              <w:t>Grant management</w:t>
            </w:r>
            <w:r>
              <w:rPr>
                <w:webHidden/>
              </w:rPr>
              <w:tab/>
            </w:r>
            <w:r>
              <w:rPr>
                <w:webHidden/>
              </w:rPr>
              <w:fldChar w:fldCharType="begin"/>
            </w:r>
            <w:r>
              <w:rPr>
                <w:webHidden/>
              </w:rPr>
              <w:instrText xml:space="preserve"> PAGEREF _Toc213403070 \h </w:instrText>
            </w:r>
            <w:r>
              <w:rPr>
                <w:webHidden/>
              </w:rPr>
            </w:r>
            <w:r>
              <w:rPr>
                <w:webHidden/>
              </w:rPr>
              <w:fldChar w:fldCharType="separate"/>
            </w:r>
            <w:r w:rsidR="00B345DF">
              <w:rPr>
                <w:webHidden/>
              </w:rPr>
              <w:t>8</w:t>
            </w:r>
            <w:r>
              <w:rPr>
                <w:webHidden/>
              </w:rPr>
              <w:fldChar w:fldCharType="end"/>
            </w:r>
          </w:hyperlink>
        </w:p>
        <w:p w14:paraId="0A36201E" w14:textId="732D5D6C" w:rsidR="00592041" w:rsidRDefault="00592041">
          <w:pPr>
            <w:pStyle w:val="TOC2"/>
          </w:pPr>
          <w:hyperlink w:anchor="_Toc213403071" w:history="1">
            <w:r w:rsidRPr="00933330">
              <w:rPr>
                <w:rStyle w:val="Hyperlink"/>
              </w:rPr>
              <w:t>Supporting documents</w:t>
            </w:r>
            <w:r>
              <w:rPr>
                <w:webHidden/>
              </w:rPr>
              <w:tab/>
            </w:r>
            <w:r>
              <w:rPr>
                <w:webHidden/>
              </w:rPr>
              <w:fldChar w:fldCharType="begin"/>
            </w:r>
            <w:r>
              <w:rPr>
                <w:webHidden/>
              </w:rPr>
              <w:instrText xml:space="preserve"> PAGEREF _Toc213403071 \h </w:instrText>
            </w:r>
            <w:r>
              <w:rPr>
                <w:webHidden/>
              </w:rPr>
            </w:r>
            <w:r>
              <w:rPr>
                <w:webHidden/>
              </w:rPr>
              <w:fldChar w:fldCharType="separate"/>
            </w:r>
            <w:r w:rsidR="00B345DF">
              <w:rPr>
                <w:webHidden/>
              </w:rPr>
              <w:t>9</w:t>
            </w:r>
            <w:r>
              <w:rPr>
                <w:webHidden/>
              </w:rPr>
              <w:fldChar w:fldCharType="end"/>
            </w:r>
          </w:hyperlink>
        </w:p>
        <w:p w14:paraId="597ACC61" w14:textId="187D17EC" w:rsidR="00592041" w:rsidRDefault="00592041">
          <w:pPr>
            <w:pStyle w:val="TOC1"/>
          </w:pPr>
          <w:hyperlink w:anchor="_Toc213403072" w:history="1">
            <w:r w:rsidRPr="00933330">
              <w:rPr>
                <w:rStyle w:val="Hyperlink"/>
              </w:rPr>
              <w:t>Appendix 1 - Commissioning stakeholder map for the ITC program</w:t>
            </w:r>
            <w:r>
              <w:rPr>
                <w:webHidden/>
              </w:rPr>
              <w:tab/>
            </w:r>
            <w:r>
              <w:rPr>
                <w:webHidden/>
              </w:rPr>
              <w:fldChar w:fldCharType="begin"/>
            </w:r>
            <w:r>
              <w:rPr>
                <w:webHidden/>
              </w:rPr>
              <w:instrText xml:space="preserve"> PAGEREF _Toc213403072 \h </w:instrText>
            </w:r>
            <w:r>
              <w:rPr>
                <w:webHidden/>
              </w:rPr>
            </w:r>
            <w:r>
              <w:rPr>
                <w:webHidden/>
              </w:rPr>
              <w:fldChar w:fldCharType="separate"/>
            </w:r>
            <w:r w:rsidR="00B345DF">
              <w:rPr>
                <w:webHidden/>
              </w:rPr>
              <w:t>10</w:t>
            </w:r>
            <w:r>
              <w:rPr>
                <w:webHidden/>
              </w:rPr>
              <w:fldChar w:fldCharType="end"/>
            </w:r>
          </w:hyperlink>
        </w:p>
        <w:p w14:paraId="05B78A6D" w14:textId="56FF88E4" w:rsidR="006758FC" w:rsidRPr="001C671C" w:rsidRDefault="006758FC" w:rsidP="00227E41">
          <w:r w:rsidRPr="00227E41">
            <w:fldChar w:fldCharType="end"/>
          </w:r>
        </w:p>
      </w:sdtContent>
    </w:sdt>
    <w:p w14:paraId="642F41D1" w14:textId="77777777" w:rsidR="006758FC" w:rsidRPr="006758FC" w:rsidRDefault="006758FC" w:rsidP="001C671C">
      <w:pPr>
        <w:sectPr w:rsidR="006758FC" w:rsidRPr="006758FC" w:rsidSect="000C60C7">
          <w:headerReference w:type="even"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titlePg/>
          <w:docGrid w:linePitch="360"/>
        </w:sectPr>
      </w:pPr>
    </w:p>
    <w:p w14:paraId="2FBCC218" w14:textId="25F3B434" w:rsidR="00FC6E29" w:rsidRPr="00227E41" w:rsidRDefault="00233E45" w:rsidP="00227E41">
      <w:pPr>
        <w:pStyle w:val="Heading2"/>
      </w:pPr>
      <w:bookmarkStart w:id="6" w:name="_Toc213403067"/>
      <w:r w:rsidRPr="00227E41">
        <w:lastRenderedPageBreak/>
        <w:t>Responsibilities of a</w:t>
      </w:r>
      <w:r w:rsidR="00801CAE" w:rsidRPr="00227E41">
        <w:t>n ITC</w:t>
      </w:r>
      <w:r w:rsidRPr="00227E41">
        <w:t xml:space="preserve"> commissioning body</w:t>
      </w:r>
      <w:bookmarkEnd w:id="6"/>
      <w:r w:rsidR="00AD37F7" w:rsidRPr="00227E41">
        <w:t xml:space="preserve"> </w:t>
      </w:r>
    </w:p>
    <w:p w14:paraId="11D17A6F" w14:textId="017EC367" w:rsidR="00FC6E29" w:rsidRPr="00FC6E29" w:rsidRDefault="00F37940" w:rsidP="001C671C">
      <w:pPr>
        <w:pStyle w:val="Paragraphtext"/>
      </w:pPr>
      <w:r w:rsidRPr="5E663436">
        <w:t xml:space="preserve">A list of dos and don’ts for </w:t>
      </w:r>
      <w:r w:rsidR="001C6886" w:rsidRPr="5E663436">
        <w:t xml:space="preserve">potential </w:t>
      </w:r>
      <w:r w:rsidR="00A702B6" w:rsidRPr="5E663436">
        <w:t>commissioning bodies that administer the ITC program.</w:t>
      </w:r>
    </w:p>
    <w:p w14:paraId="625327F5" w14:textId="7E471B3A" w:rsidR="00FC6E29" w:rsidRDefault="007E7CB6" w:rsidP="001C671C">
      <w:pPr>
        <w:pStyle w:val="Paragraphtext"/>
      </w:pPr>
      <w:r>
        <w:rPr>
          <w:noProof/>
        </w:rPr>
        <mc:AlternateContent>
          <mc:Choice Requires="wps">
            <w:drawing>
              <wp:anchor distT="0" distB="0" distL="114300" distR="114300" simplePos="0" relativeHeight="251658241" behindDoc="0" locked="0" layoutInCell="1" allowOverlap="1" wp14:anchorId="334AF03A" wp14:editId="2915BA7A">
                <wp:simplePos x="0" y="0"/>
                <wp:positionH relativeFrom="column">
                  <wp:posOffset>2934119</wp:posOffset>
                </wp:positionH>
                <wp:positionV relativeFrom="paragraph">
                  <wp:posOffset>228112</wp:posOffset>
                </wp:positionV>
                <wp:extent cx="3036570" cy="8038681"/>
                <wp:effectExtent l="0" t="0" r="11430" b="19685"/>
                <wp:wrapNone/>
                <wp:docPr id="319035132" name="Rectangle: Rounded Corners 1"/>
                <wp:cNvGraphicFramePr/>
                <a:graphic xmlns:a="http://schemas.openxmlformats.org/drawingml/2006/main">
                  <a:graphicData uri="http://schemas.microsoft.com/office/word/2010/wordprocessingShape">
                    <wps:wsp>
                      <wps:cNvSpPr/>
                      <wps:spPr>
                        <a:xfrm>
                          <a:off x="0" y="0"/>
                          <a:ext cx="3036570" cy="8038681"/>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7145C15" w14:textId="2C9CA7F2" w:rsidR="00A702B6" w:rsidRDefault="006D4F95" w:rsidP="001C671C">
                            <w:r>
                              <w:t>A commissioning body doesn’t:</w:t>
                            </w:r>
                          </w:p>
                          <w:p w14:paraId="44C27C8E" w14:textId="75B323C5" w:rsidR="003A08A3" w:rsidRDefault="00A76DB0" w:rsidP="001C671C">
                            <w:pPr>
                              <w:pStyle w:val="ListParagraph"/>
                              <w:numPr>
                                <w:ilvl w:val="0"/>
                                <w:numId w:val="26"/>
                              </w:numPr>
                            </w:pPr>
                            <w:r w:rsidRPr="008636A4">
                              <w:rPr>
                                <w:b/>
                                <w:bCs/>
                              </w:rPr>
                              <w:t>P</w:t>
                            </w:r>
                            <w:r w:rsidR="004001CB" w:rsidRPr="008636A4">
                              <w:rPr>
                                <w:b/>
                                <w:bCs/>
                              </w:rPr>
                              <w:t>rovide direct clinical services.</w:t>
                            </w:r>
                            <w:r w:rsidR="000B77E1" w:rsidRPr="008636A4">
                              <w:rPr>
                                <w:b/>
                                <w:bCs/>
                              </w:rPr>
                              <w:t xml:space="preserve"> </w:t>
                            </w:r>
                            <w:r w:rsidR="000B77E1" w:rsidRPr="008636A4">
                              <w:t>They do not deliver care themselves – they fund and coordinate others to do so</w:t>
                            </w:r>
                            <w:r w:rsidR="00946CE7" w:rsidRPr="008636A4">
                              <w:t xml:space="preserve"> for the region/s</w:t>
                            </w:r>
                            <w:r w:rsidR="000B77E1" w:rsidRPr="008636A4">
                              <w:t>.</w:t>
                            </w:r>
                          </w:p>
                          <w:p w14:paraId="7B54A5A5" w14:textId="1A20DC72" w:rsidR="00C550C8" w:rsidRPr="00D51F00" w:rsidRDefault="00244413" w:rsidP="001C671C">
                            <w:pPr>
                              <w:pStyle w:val="ListParagraph"/>
                            </w:pPr>
                            <w:r>
                              <w:rPr>
                                <w:b/>
                                <w:bCs/>
                              </w:rPr>
                              <w:t xml:space="preserve">Note: </w:t>
                            </w:r>
                            <w:r>
                              <w:t xml:space="preserve">We are exploring a model in which an organisation </w:t>
                            </w:r>
                            <w:r w:rsidR="00D51F00">
                              <w:t xml:space="preserve">may both deliver services and subcontract other providers. While this </w:t>
                            </w:r>
                            <w:r w:rsidR="00D51F00">
                              <w:rPr>
                                <w:b/>
                                <w:bCs/>
                              </w:rPr>
                              <w:t>does not</w:t>
                            </w:r>
                            <w:r w:rsidR="00D51F00">
                              <w:t xml:space="preserve"> align with the traditional definition of commissioning, we are keen to engage further with stakeholders in regions where this approach is appropriate</w:t>
                            </w:r>
                            <w:r w:rsidR="002660DC">
                              <w:t xml:space="preserve"> and consider how potential conflicts of interest could be effectively managed</w:t>
                            </w:r>
                            <w:r w:rsidR="00B5503B">
                              <w:t>, on a case-by-case basis</w:t>
                            </w:r>
                            <w:r w:rsidR="002660DC">
                              <w:t>.</w:t>
                            </w:r>
                            <w:r w:rsidR="003B2A48">
                              <w:t xml:space="preserve"> To avoid confusion, such a</w:t>
                            </w:r>
                            <w:r w:rsidR="003B2A48" w:rsidRPr="003B2A48">
                              <w:t xml:space="preserve"> model would not function as a commissioning body and would instead operate under a different designation.</w:t>
                            </w:r>
                          </w:p>
                          <w:p w14:paraId="78471EF2" w14:textId="74702790" w:rsidR="004001CB" w:rsidRPr="008636A4" w:rsidRDefault="00A76DB0" w:rsidP="001C671C">
                            <w:pPr>
                              <w:pStyle w:val="ListParagraph"/>
                              <w:numPr>
                                <w:ilvl w:val="0"/>
                                <w:numId w:val="26"/>
                              </w:numPr>
                            </w:pPr>
                            <w:r w:rsidRPr="008636A4">
                              <w:rPr>
                                <w:b/>
                                <w:bCs/>
                              </w:rPr>
                              <w:t>C</w:t>
                            </w:r>
                            <w:r w:rsidR="004001CB" w:rsidRPr="008636A4">
                              <w:rPr>
                                <w:b/>
                                <w:bCs/>
                              </w:rPr>
                              <w:t>ontrol individual providers.</w:t>
                            </w:r>
                            <w:r w:rsidR="00B2355D" w:rsidRPr="008636A4">
                              <w:rPr>
                                <w:b/>
                                <w:bCs/>
                              </w:rPr>
                              <w:t xml:space="preserve"> </w:t>
                            </w:r>
                            <w:r w:rsidR="00B2355D" w:rsidRPr="008636A4">
                              <w:t>They influence care through contracts and support but do not manage or direct the operations of independent healthcare providers.</w:t>
                            </w:r>
                          </w:p>
                          <w:p w14:paraId="41131EF6" w14:textId="0DAAA7D7" w:rsidR="004001CB" w:rsidRPr="008636A4" w:rsidRDefault="00A76DB0" w:rsidP="001C671C">
                            <w:pPr>
                              <w:pStyle w:val="ListParagraph"/>
                              <w:numPr>
                                <w:ilvl w:val="0"/>
                                <w:numId w:val="26"/>
                              </w:numPr>
                            </w:pPr>
                            <w:r w:rsidRPr="008636A4">
                              <w:rPr>
                                <w:b/>
                                <w:bCs/>
                              </w:rPr>
                              <w:t>F</w:t>
                            </w:r>
                            <w:r w:rsidR="004001CB" w:rsidRPr="008636A4">
                              <w:rPr>
                                <w:b/>
                                <w:bCs/>
                              </w:rPr>
                              <w:t>und all healthcare services.</w:t>
                            </w:r>
                            <w:r w:rsidR="0067654A" w:rsidRPr="008636A4">
                              <w:rPr>
                                <w:rFonts w:ascii="Calibri" w:eastAsiaTheme="minorHAnsi" w:hAnsi="Calibri"/>
                              </w:rPr>
                              <w:t xml:space="preserve"> </w:t>
                            </w:r>
                            <w:r w:rsidR="0067654A" w:rsidRPr="008636A4">
                              <w:t>They focus on specific areas</w:t>
                            </w:r>
                            <w:r w:rsidR="00131F54" w:rsidRPr="008636A4">
                              <w:t>, ensure service coverage</w:t>
                            </w:r>
                            <w:r w:rsidR="0067654A" w:rsidRPr="008636A4">
                              <w:t xml:space="preserve"> and are not responsible for the entire health system.</w:t>
                            </w:r>
                          </w:p>
                          <w:p w14:paraId="2AC20B1D" w14:textId="66F5A591" w:rsidR="004001CB" w:rsidRPr="008636A4" w:rsidRDefault="00A76DB0" w:rsidP="001C671C">
                            <w:pPr>
                              <w:pStyle w:val="ListParagraph"/>
                              <w:numPr>
                                <w:ilvl w:val="0"/>
                                <w:numId w:val="26"/>
                              </w:numPr>
                            </w:pPr>
                            <w:r w:rsidRPr="008636A4">
                              <w:rPr>
                                <w:b/>
                                <w:bCs/>
                              </w:rPr>
                              <w:t>M</w:t>
                            </w:r>
                            <w:r w:rsidR="004001CB" w:rsidRPr="008636A4">
                              <w:rPr>
                                <w:b/>
                                <w:bCs/>
                              </w:rPr>
                              <w:t xml:space="preserve">ake </w:t>
                            </w:r>
                            <w:r w:rsidRPr="008636A4">
                              <w:rPr>
                                <w:b/>
                                <w:bCs/>
                              </w:rPr>
                              <w:t xml:space="preserve">ITC </w:t>
                            </w:r>
                            <w:r w:rsidR="004001CB" w:rsidRPr="008636A4">
                              <w:rPr>
                                <w:b/>
                                <w:bCs/>
                              </w:rPr>
                              <w:t xml:space="preserve">policy. </w:t>
                            </w:r>
                            <w:r w:rsidR="00C8486E" w:rsidRPr="008636A4">
                              <w:t xml:space="preserve">While they may inform policy </w:t>
                            </w:r>
                            <w:r w:rsidR="009D099E" w:rsidRPr="008636A4">
                              <w:t>through data and consultation, commissioning bodies do not set national healthcare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34AF03A" id="Rectangle: Rounded Corners 1" o:spid="_x0000_s1026" style="position:absolute;margin-left:231.05pt;margin-top:17.95pt;width:239.1pt;height:632.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" fillcolor="white [3201]" strokecolor="#358189 [3205]" strokeweight="2pt">
                <v:textbox>
                  <w:txbxContent>
                    <w:p w14:paraId="77145C15" w14:textId="2C9CA7F2" w:rsidR="00A702B6" w:rsidRDefault="006D4F95" w:rsidP="001C671C">
                      <w:r>
                        <w:t>A commissioning body doesn’t:</w:t>
                      </w:r>
                    </w:p>
                    <w:p w14:paraId="44C27C8E" w14:textId="75B323C5" w:rsidR="003A08A3" w:rsidRDefault="00A76DB0" w:rsidP="001C671C">
                      <w:pPr>
                        <w:pStyle w:val="ListParagraph"/>
                        <w:numPr>
                          <w:ilvl w:val="0"/>
                          <w:numId w:val="26"/>
                        </w:numPr>
                      </w:pPr>
                      <w:r w:rsidRPr="008636A4">
                        <w:rPr>
                          <w:b/>
                          <w:bCs/>
                        </w:rPr>
                        <w:t>P</w:t>
                      </w:r>
                      <w:r w:rsidR="004001CB" w:rsidRPr="008636A4">
                        <w:rPr>
                          <w:b/>
                          <w:bCs/>
                        </w:rPr>
                        <w:t>rovide direct clinical services.</w:t>
                      </w:r>
                      <w:r w:rsidR="000B77E1" w:rsidRPr="008636A4">
                        <w:rPr>
                          <w:b/>
                          <w:bCs/>
                        </w:rPr>
                        <w:t xml:space="preserve"> </w:t>
                      </w:r>
                      <w:r w:rsidR="000B77E1" w:rsidRPr="008636A4">
                        <w:t>They do not deliver care themselves – they fund and coordinate others to do so</w:t>
                      </w:r>
                      <w:r w:rsidR="00946CE7" w:rsidRPr="008636A4">
                        <w:t xml:space="preserve"> for the region/s</w:t>
                      </w:r>
                      <w:r w:rsidR="000B77E1" w:rsidRPr="008636A4">
                        <w:t>.</w:t>
                      </w:r>
                    </w:p>
                    <w:p w14:paraId="7B54A5A5" w14:textId="1A20DC72" w:rsidR="00C550C8" w:rsidRPr="00D51F00" w:rsidRDefault="00244413" w:rsidP="001C671C">
                      <w:pPr>
                        <w:pStyle w:val="ListParagraph"/>
                      </w:pPr>
                      <w:r>
                        <w:rPr>
                          <w:b/>
                          <w:bCs/>
                        </w:rPr>
                        <w:t xml:space="preserve">Note: </w:t>
                      </w:r>
                      <w:r>
                        <w:t xml:space="preserve">We are exploring a model in which an organisation </w:t>
                      </w:r>
                      <w:r w:rsidR="00D51F00">
                        <w:t xml:space="preserve">may both deliver services and subcontract other providers. While this </w:t>
                      </w:r>
                      <w:r w:rsidR="00D51F00">
                        <w:rPr>
                          <w:b/>
                          <w:bCs/>
                        </w:rPr>
                        <w:t>does not</w:t>
                      </w:r>
                      <w:r w:rsidR="00D51F00">
                        <w:t xml:space="preserve"> align with the traditional definition of commissioning, we are keen to engage further with stakeholders in regions where this approach is appropriate</w:t>
                      </w:r>
                      <w:r w:rsidR="002660DC">
                        <w:t xml:space="preserve"> and consider how potential conflicts of interest could be effectively managed</w:t>
                      </w:r>
                      <w:r w:rsidR="00B5503B">
                        <w:t>, on a case-by-case basis</w:t>
                      </w:r>
                      <w:r w:rsidR="002660DC">
                        <w:t>.</w:t>
                      </w:r>
                      <w:r w:rsidR="003B2A48">
                        <w:t xml:space="preserve"> To avoid confusion, such a</w:t>
                      </w:r>
                      <w:r w:rsidR="003B2A48" w:rsidRPr="003B2A48">
                        <w:t xml:space="preserve"> model would not function as a commissioning body and would instead operate under a different designation.</w:t>
                      </w:r>
                    </w:p>
                    <w:p w14:paraId="78471EF2" w14:textId="74702790" w:rsidR="004001CB" w:rsidRPr="008636A4" w:rsidRDefault="00A76DB0" w:rsidP="001C671C">
                      <w:pPr>
                        <w:pStyle w:val="ListParagraph"/>
                        <w:numPr>
                          <w:ilvl w:val="0"/>
                          <w:numId w:val="26"/>
                        </w:numPr>
                      </w:pPr>
                      <w:r w:rsidRPr="008636A4">
                        <w:rPr>
                          <w:b/>
                          <w:bCs/>
                        </w:rPr>
                        <w:t>C</w:t>
                      </w:r>
                      <w:r w:rsidR="004001CB" w:rsidRPr="008636A4">
                        <w:rPr>
                          <w:b/>
                          <w:bCs/>
                        </w:rPr>
                        <w:t>ontrol individual providers.</w:t>
                      </w:r>
                      <w:r w:rsidR="00B2355D" w:rsidRPr="008636A4">
                        <w:rPr>
                          <w:b/>
                          <w:bCs/>
                        </w:rPr>
                        <w:t xml:space="preserve"> </w:t>
                      </w:r>
                      <w:r w:rsidR="00B2355D" w:rsidRPr="008636A4">
                        <w:t>They influence care through contracts and support but do not manage or direct the operations of independent healthcare providers.</w:t>
                      </w:r>
                    </w:p>
                    <w:p w14:paraId="41131EF6" w14:textId="0DAAA7D7" w:rsidR="004001CB" w:rsidRPr="008636A4" w:rsidRDefault="00A76DB0" w:rsidP="001C671C">
                      <w:pPr>
                        <w:pStyle w:val="ListParagraph"/>
                        <w:numPr>
                          <w:ilvl w:val="0"/>
                          <w:numId w:val="26"/>
                        </w:numPr>
                      </w:pPr>
                      <w:r w:rsidRPr="008636A4">
                        <w:rPr>
                          <w:b/>
                          <w:bCs/>
                        </w:rPr>
                        <w:t>F</w:t>
                      </w:r>
                      <w:r w:rsidR="004001CB" w:rsidRPr="008636A4">
                        <w:rPr>
                          <w:b/>
                          <w:bCs/>
                        </w:rPr>
                        <w:t>und all healthcare services.</w:t>
                      </w:r>
                      <w:r w:rsidR="0067654A" w:rsidRPr="008636A4">
                        <w:rPr>
                          <w:rFonts w:ascii="Calibri" w:eastAsiaTheme="minorHAnsi" w:hAnsi="Calibri"/>
                        </w:rPr>
                        <w:t xml:space="preserve"> </w:t>
                      </w:r>
                      <w:r w:rsidR="0067654A" w:rsidRPr="008636A4">
                        <w:t>They focus on specific areas</w:t>
                      </w:r>
                      <w:r w:rsidR="00131F54" w:rsidRPr="008636A4">
                        <w:t>, ensure service coverage</w:t>
                      </w:r>
                      <w:r w:rsidR="0067654A" w:rsidRPr="008636A4">
                        <w:t xml:space="preserve"> and are not responsible for the entire health system.</w:t>
                      </w:r>
                    </w:p>
                    <w:p w14:paraId="2AC20B1D" w14:textId="66F5A591" w:rsidR="004001CB" w:rsidRPr="008636A4" w:rsidRDefault="00A76DB0" w:rsidP="001C671C">
                      <w:pPr>
                        <w:pStyle w:val="ListParagraph"/>
                        <w:numPr>
                          <w:ilvl w:val="0"/>
                          <w:numId w:val="26"/>
                        </w:numPr>
                      </w:pPr>
                      <w:r w:rsidRPr="008636A4">
                        <w:rPr>
                          <w:b/>
                          <w:bCs/>
                        </w:rPr>
                        <w:t>M</w:t>
                      </w:r>
                      <w:r w:rsidR="004001CB" w:rsidRPr="008636A4">
                        <w:rPr>
                          <w:b/>
                          <w:bCs/>
                        </w:rPr>
                        <w:t xml:space="preserve">ake </w:t>
                      </w:r>
                      <w:r w:rsidRPr="008636A4">
                        <w:rPr>
                          <w:b/>
                          <w:bCs/>
                        </w:rPr>
                        <w:t xml:space="preserve">ITC </w:t>
                      </w:r>
                      <w:r w:rsidR="004001CB" w:rsidRPr="008636A4">
                        <w:rPr>
                          <w:b/>
                          <w:bCs/>
                        </w:rPr>
                        <w:t xml:space="preserve">policy. </w:t>
                      </w:r>
                      <w:r w:rsidR="00C8486E" w:rsidRPr="008636A4">
                        <w:t xml:space="preserve">While they may inform policy </w:t>
                      </w:r>
                      <w:r w:rsidR="009D099E" w:rsidRPr="008636A4">
                        <w:t>through data and consultation, commissioning bodies do not set national healthcare policy.</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7DEA7E43" wp14:editId="5F3C5856">
                <wp:simplePos x="0" y="0"/>
                <wp:positionH relativeFrom="column">
                  <wp:posOffset>-261257</wp:posOffset>
                </wp:positionH>
                <wp:positionV relativeFrom="paragraph">
                  <wp:posOffset>228112</wp:posOffset>
                </wp:positionV>
                <wp:extent cx="3131185" cy="8038465"/>
                <wp:effectExtent l="0" t="0" r="12065" b="19685"/>
                <wp:wrapNone/>
                <wp:docPr id="149251424" name="Rectangle: Rounded Corners 1"/>
                <wp:cNvGraphicFramePr/>
                <a:graphic xmlns:a="http://schemas.openxmlformats.org/drawingml/2006/main">
                  <a:graphicData uri="http://schemas.microsoft.com/office/word/2010/wordprocessingShape">
                    <wps:wsp>
                      <wps:cNvSpPr/>
                      <wps:spPr>
                        <a:xfrm>
                          <a:off x="0" y="0"/>
                          <a:ext cx="3131185" cy="80384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871DA55" w14:textId="77777777" w:rsidR="00F16DC6" w:rsidRDefault="00F16DC6" w:rsidP="001C671C">
                            <w:r>
                              <w:t>A commissioning body does:</w:t>
                            </w:r>
                          </w:p>
                          <w:p w14:paraId="22D1CC04" w14:textId="77777777" w:rsidR="00F16DC6" w:rsidRPr="008636A4" w:rsidRDefault="00F16DC6" w:rsidP="001C671C">
                            <w:pPr>
                              <w:pStyle w:val="ListParagraph"/>
                              <w:numPr>
                                <w:ilvl w:val="0"/>
                                <w:numId w:val="1"/>
                              </w:numPr>
                            </w:pPr>
                            <w:r w:rsidRPr="001C671C">
                              <w:rPr>
                                <w:b/>
                                <w:bCs/>
                              </w:rPr>
                              <w:t xml:space="preserve">Commission health services. </w:t>
                            </w:r>
                            <w:r w:rsidRPr="008636A4">
                              <w:t>They assess local health needs and fund health services to fill identified gaps in chronic disease management.</w:t>
                            </w:r>
                          </w:p>
                          <w:p w14:paraId="658C86D3" w14:textId="08698002" w:rsidR="00F16DC6" w:rsidRPr="008636A4" w:rsidRDefault="00F16DC6" w:rsidP="001C671C">
                            <w:pPr>
                              <w:pStyle w:val="ListParagraph"/>
                              <w:numPr>
                                <w:ilvl w:val="0"/>
                                <w:numId w:val="1"/>
                              </w:numPr>
                            </w:pPr>
                            <w:r w:rsidRPr="001C671C">
                              <w:rPr>
                                <w:b/>
                                <w:bCs/>
                              </w:rPr>
                              <w:t xml:space="preserve">Support </w:t>
                            </w:r>
                            <w:proofErr w:type="gramStart"/>
                            <w:r w:rsidRPr="001C671C">
                              <w:rPr>
                                <w:b/>
                                <w:bCs/>
                              </w:rPr>
                              <w:t>community controlled</w:t>
                            </w:r>
                            <w:proofErr w:type="gramEnd"/>
                            <w:r w:rsidRPr="001C671C">
                              <w:rPr>
                                <w:b/>
                                <w:bCs/>
                              </w:rPr>
                              <w:t xml:space="preserve"> services and mainstream health pathways. </w:t>
                            </w:r>
                            <w:r w:rsidR="00451044">
                              <w:t>T</w:t>
                            </w:r>
                            <w:r w:rsidR="00451044" w:rsidRPr="00451044">
                              <w:t>hey invest in the community-controlled and mainstream sectors to ensure equitable access for First Nations people in their region</w:t>
                            </w:r>
                            <w:r w:rsidR="00451044">
                              <w:t>.</w:t>
                            </w:r>
                          </w:p>
                          <w:p w14:paraId="5B1D3088" w14:textId="36DBCB18" w:rsidR="00F16DC6" w:rsidRPr="008636A4" w:rsidRDefault="00482690" w:rsidP="001C671C">
                            <w:pPr>
                              <w:pStyle w:val="ListParagraph"/>
                              <w:numPr>
                                <w:ilvl w:val="0"/>
                                <w:numId w:val="1"/>
                              </w:numPr>
                            </w:pPr>
                            <w:r w:rsidRPr="001C671C">
                              <w:rPr>
                                <w:b/>
                                <w:bCs/>
                              </w:rPr>
                              <w:t>Ensure p</w:t>
                            </w:r>
                            <w:r w:rsidR="00F16DC6" w:rsidRPr="001C671C">
                              <w:rPr>
                                <w:b/>
                                <w:bCs/>
                              </w:rPr>
                              <w:t xml:space="preserve">rogram visibility. </w:t>
                            </w:r>
                            <w:r w:rsidR="00F16DC6" w:rsidRPr="008636A4">
                              <w:t>They ensure clients and providers have clear up-to-date access to service and referral information. They maintain a publicly accessible mechanism for complaints.</w:t>
                            </w:r>
                          </w:p>
                          <w:p w14:paraId="09DBB01F" w14:textId="77777777" w:rsidR="00F16DC6" w:rsidRPr="008636A4" w:rsidRDefault="00F16DC6" w:rsidP="001C671C">
                            <w:pPr>
                              <w:pStyle w:val="ListParagraph"/>
                              <w:numPr>
                                <w:ilvl w:val="0"/>
                                <w:numId w:val="1"/>
                              </w:numPr>
                            </w:pPr>
                            <w:r w:rsidRPr="001C671C">
                              <w:rPr>
                                <w:b/>
                                <w:bCs/>
                              </w:rPr>
                              <w:t xml:space="preserve">Facilitate formal agreements. </w:t>
                            </w:r>
                            <w:r w:rsidRPr="008636A4">
                              <w:t>They support memoranda of understanding or partnership agreements to enable smooth client transfer and cross-sector operations.</w:t>
                            </w:r>
                          </w:p>
                          <w:p w14:paraId="4C003927" w14:textId="77777777" w:rsidR="00F16DC6" w:rsidRPr="008636A4" w:rsidRDefault="00F16DC6" w:rsidP="001C671C">
                            <w:pPr>
                              <w:pStyle w:val="ListParagraph"/>
                              <w:numPr>
                                <w:ilvl w:val="0"/>
                                <w:numId w:val="1"/>
                              </w:numPr>
                            </w:pPr>
                            <w:r w:rsidRPr="001C671C">
                              <w:rPr>
                                <w:b/>
                                <w:bCs/>
                              </w:rPr>
                              <w:t xml:space="preserve">Promote integration across the system. </w:t>
                            </w:r>
                            <w:r w:rsidRPr="008636A4">
                              <w:t xml:space="preserve">They encourage collaboration between ACCOs, hospitals, specialists, GPs, community health and other providers to reduce fragmentation, support best practice, cultural safety and care integration at all client touchpoints. </w:t>
                            </w:r>
                          </w:p>
                          <w:p w14:paraId="3F9D673B" w14:textId="77777777" w:rsidR="00F16DC6" w:rsidRPr="001C671C" w:rsidRDefault="00F16DC6" w:rsidP="001C671C">
                            <w:pPr>
                              <w:pStyle w:val="ListParagraph"/>
                              <w:numPr>
                                <w:ilvl w:val="0"/>
                                <w:numId w:val="1"/>
                              </w:numPr>
                              <w:rPr>
                                <w:b/>
                                <w:bCs/>
                              </w:rPr>
                            </w:pPr>
                            <w:r w:rsidRPr="001C671C">
                              <w:rPr>
                                <w:b/>
                                <w:bCs/>
                              </w:rPr>
                              <w:t xml:space="preserve">Advocate for service providers. </w:t>
                            </w:r>
                            <w:r w:rsidRPr="008636A4">
                              <w:t>They work with service providers to enable program delivery without administrative (i.e., MBS issues) or financial barriers (</w:t>
                            </w:r>
                            <w:r w:rsidRPr="00291ED1">
                              <w:t>i.e., negotiating payment plans/bulkbilling with specialists and providers where price hiking occurs).</w:t>
                            </w:r>
                          </w:p>
                          <w:p w14:paraId="148E2903" w14:textId="290B1935" w:rsidR="00F16DC6" w:rsidRPr="001C671C" w:rsidRDefault="00F16DC6" w:rsidP="001C671C">
                            <w:pPr>
                              <w:pStyle w:val="ListParagraph"/>
                              <w:numPr>
                                <w:ilvl w:val="0"/>
                                <w:numId w:val="1"/>
                              </w:numPr>
                              <w:rPr>
                                <w:b/>
                                <w:bCs/>
                              </w:rPr>
                            </w:pPr>
                            <w:r w:rsidRPr="001C671C">
                              <w:rPr>
                                <w:b/>
                                <w:bCs/>
                              </w:rPr>
                              <w:t>Monitor, evaluate and report.</w:t>
                            </w:r>
                            <w:r w:rsidRPr="00291ED1">
                              <w:t xml:space="preserve"> They track client access patterns (referrals across private/mainstream and ACCHSs; suburb or LGA), satisfaction, and outcomes to identify barriers, refine pathways, inform improvements and reflect what matters to First Nations communities.</w:t>
                            </w:r>
                          </w:p>
                          <w:p w14:paraId="2CC8251E" w14:textId="77777777" w:rsidR="00F16DC6" w:rsidRPr="001C671C" w:rsidRDefault="00F16DC6" w:rsidP="001C671C">
                            <w:pPr>
                              <w:pStyle w:val="ListParagraph"/>
                              <w:numPr>
                                <w:ilvl w:val="0"/>
                                <w:numId w:val="1"/>
                              </w:numPr>
                              <w:rPr>
                                <w:b/>
                                <w:bCs/>
                              </w:rPr>
                            </w:pPr>
                            <w:r w:rsidRPr="001C671C">
                              <w:rPr>
                                <w:b/>
                                <w:bCs/>
                              </w:rPr>
                              <w:t>Information sharing.</w:t>
                            </w:r>
                            <w:r w:rsidRPr="00291ED1">
                              <w:t xml:space="preserve"> They develop interoperable data systems that uphold privacy, support continuity of services across sectors, and empower Indigenous data sovereignty. There is an opportunity to collaborate with PHNs to share and expand datasets, enhancing system integration and culturally responsive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DEA7E43" id="_x0000_s1027" style="position:absolute;margin-left:-20.55pt;margin-top:17.95pt;width:246.55pt;height:632.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" fillcolor="white [3201]" strokecolor="#358189 [3205]" strokeweight="2pt">
                <v:textbox>
                  <w:txbxContent>
                    <w:p w14:paraId="5871DA55" w14:textId="77777777" w:rsidR="00F16DC6" w:rsidRDefault="00F16DC6" w:rsidP="001C671C">
                      <w:r>
                        <w:t>A commissioning body does:</w:t>
                      </w:r>
                    </w:p>
                    <w:p w14:paraId="22D1CC04" w14:textId="77777777" w:rsidR="00F16DC6" w:rsidRPr="008636A4" w:rsidRDefault="00F16DC6" w:rsidP="001C671C">
                      <w:pPr>
                        <w:pStyle w:val="ListParagraph"/>
                        <w:numPr>
                          <w:ilvl w:val="0"/>
                          <w:numId w:val="1"/>
                        </w:numPr>
                      </w:pPr>
                      <w:r w:rsidRPr="001C671C">
                        <w:rPr>
                          <w:b/>
                          <w:bCs/>
                        </w:rPr>
                        <w:t xml:space="preserve">Commission health services. </w:t>
                      </w:r>
                      <w:r w:rsidRPr="008636A4">
                        <w:t>They assess local health needs and fund health services to fill identified gaps in chronic disease management.</w:t>
                      </w:r>
                    </w:p>
                    <w:p w14:paraId="658C86D3" w14:textId="08698002" w:rsidR="00F16DC6" w:rsidRPr="008636A4" w:rsidRDefault="00F16DC6" w:rsidP="001C671C">
                      <w:pPr>
                        <w:pStyle w:val="ListParagraph"/>
                        <w:numPr>
                          <w:ilvl w:val="0"/>
                          <w:numId w:val="1"/>
                        </w:numPr>
                      </w:pPr>
                      <w:r w:rsidRPr="001C671C">
                        <w:rPr>
                          <w:b/>
                          <w:bCs/>
                        </w:rPr>
                        <w:t xml:space="preserve">Support </w:t>
                      </w:r>
                      <w:proofErr w:type="gramStart"/>
                      <w:r w:rsidRPr="001C671C">
                        <w:rPr>
                          <w:b/>
                          <w:bCs/>
                        </w:rPr>
                        <w:t>community controlled</w:t>
                      </w:r>
                      <w:proofErr w:type="gramEnd"/>
                      <w:r w:rsidRPr="001C671C">
                        <w:rPr>
                          <w:b/>
                          <w:bCs/>
                        </w:rPr>
                        <w:t xml:space="preserve"> services and mainstream health pathways. </w:t>
                      </w:r>
                      <w:r w:rsidR="00451044">
                        <w:t>T</w:t>
                      </w:r>
                      <w:r w:rsidR="00451044" w:rsidRPr="00451044">
                        <w:t>hey invest in the community-controlled and mainstream sectors to ensure equitable access for First Nations people in their region</w:t>
                      </w:r>
                      <w:r w:rsidR="00451044">
                        <w:t>.</w:t>
                      </w:r>
                    </w:p>
                    <w:p w14:paraId="5B1D3088" w14:textId="36DBCB18" w:rsidR="00F16DC6" w:rsidRPr="008636A4" w:rsidRDefault="00482690" w:rsidP="001C671C">
                      <w:pPr>
                        <w:pStyle w:val="ListParagraph"/>
                        <w:numPr>
                          <w:ilvl w:val="0"/>
                          <w:numId w:val="1"/>
                        </w:numPr>
                      </w:pPr>
                      <w:r w:rsidRPr="001C671C">
                        <w:rPr>
                          <w:b/>
                          <w:bCs/>
                        </w:rPr>
                        <w:t>Ensure p</w:t>
                      </w:r>
                      <w:r w:rsidR="00F16DC6" w:rsidRPr="001C671C">
                        <w:rPr>
                          <w:b/>
                          <w:bCs/>
                        </w:rPr>
                        <w:t xml:space="preserve">rogram visibility. </w:t>
                      </w:r>
                      <w:r w:rsidR="00F16DC6" w:rsidRPr="008636A4">
                        <w:t>They ensure clients and providers have clear up-to-date access to service and referral information. They maintain a publicly accessible mechanism for complaints.</w:t>
                      </w:r>
                    </w:p>
                    <w:p w14:paraId="09DBB01F" w14:textId="77777777" w:rsidR="00F16DC6" w:rsidRPr="008636A4" w:rsidRDefault="00F16DC6" w:rsidP="001C671C">
                      <w:pPr>
                        <w:pStyle w:val="ListParagraph"/>
                        <w:numPr>
                          <w:ilvl w:val="0"/>
                          <w:numId w:val="1"/>
                        </w:numPr>
                      </w:pPr>
                      <w:r w:rsidRPr="001C671C">
                        <w:rPr>
                          <w:b/>
                          <w:bCs/>
                        </w:rPr>
                        <w:t xml:space="preserve">Facilitate formal agreements. </w:t>
                      </w:r>
                      <w:r w:rsidRPr="008636A4">
                        <w:t>They support memoranda of understanding or partnership agreements to enable smooth client transfer and cross-sector operations.</w:t>
                      </w:r>
                    </w:p>
                    <w:p w14:paraId="4C003927" w14:textId="77777777" w:rsidR="00F16DC6" w:rsidRPr="008636A4" w:rsidRDefault="00F16DC6" w:rsidP="001C671C">
                      <w:pPr>
                        <w:pStyle w:val="ListParagraph"/>
                        <w:numPr>
                          <w:ilvl w:val="0"/>
                          <w:numId w:val="1"/>
                        </w:numPr>
                      </w:pPr>
                      <w:r w:rsidRPr="001C671C">
                        <w:rPr>
                          <w:b/>
                          <w:bCs/>
                        </w:rPr>
                        <w:t xml:space="preserve">Promote integration across the system. </w:t>
                      </w:r>
                      <w:r w:rsidRPr="008636A4">
                        <w:t xml:space="preserve">They encourage collaboration between ACCOs, hospitals, specialists, GPs, community health and other providers to reduce fragmentation, support best practice, cultural safety and care integration at all client touchpoints. </w:t>
                      </w:r>
                    </w:p>
                    <w:p w14:paraId="3F9D673B" w14:textId="77777777" w:rsidR="00F16DC6" w:rsidRPr="001C671C" w:rsidRDefault="00F16DC6" w:rsidP="001C671C">
                      <w:pPr>
                        <w:pStyle w:val="ListParagraph"/>
                        <w:numPr>
                          <w:ilvl w:val="0"/>
                          <w:numId w:val="1"/>
                        </w:numPr>
                        <w:rPr>
                          <w:b/>
                          <w:bCs/>
                        </w:rPr>
                      </w:pPr>
                      <w:r w:rsidRPr="001C671C">
                        <w:rPr>
                          <w:b/>
                          <w:bCs/>
                        </w:rPr>
                        <w:t xml:space="preserve">Advocate for service providers. </w:t>
                      </w:r>
                      <w:r w:rsidRPr="008636A4">
                        <w:t>They work with service providers to enable program delivery without administrative (i.e., MBS issues) or financial barriers (</w:t>
                      </w:r>
                      <w:r w:rsidRPr="00291ED1">
                        <w:t>i.e., negotiating payment plans/bulkbilling with specialists and providers where price hiking occurs).</w:t>
                      </w:r>
                    </w:p>
                    <w:p w14:paraId="148E2903" w14:textId="290B1935" w:rsidR="00F16DC6" w:rsidRPr="001C671C" w:rsidRDefault="00F16DC6" w:rsidP="001C671C">
                      <w:pPr>
                        <w:pStyle w:val="ListParagraph"/>
                        <w:numPr>
                          <w:ilvl w:val="0"/>
                          <w:numId w:val="1"/>
                        </w:numPr>
                        <w:rPr>
                          <w:b/>
                          <w:bCs/>
                        </w:rPr>
                      </w:pPr>
                      <w:r w:rsidRPr="001C671C">
                        <w:rPr>
                          <w:b/>
                          <w:bCs/>
                        </w:rPr>
                        <w:t>Monitor, evaluate and report.</w:t>
                      </w:r>
                      <w:r w:rsidRPr="00291ED1">
                        <w:t xml:space="preserve"> They track client access patterns (referrals across private/mainstream and ACCHSs; suburb or LGA), satisfaction, and outcomes to identify barriers, refine pathways, inform improvements and reflect what matters to First Nations communities.</w:t>
                      </w:r>
                    </w:p>
                    <w:p w14:paraId="2CC8251E" w14:textId="77777777" w:rsidR="00F16DC6" w:rsidRPr="001C671C" w:rsidRDefault="00F16DC6" w:rsidP="001C671C">
                      <w:pPr>
                        <w:pStyle w:val="ListParagraph"/>
                        <w:numPr>
                          <w:ilvl w:val="0"/>
                          <w:numId w:val="1"/>
                        </w:numPr>
                        <w:rPr>
                          <w:b/>
                          <w:bCs/>
                        </w:rPr>
                      </w:pPr>
                      <w:r w:rsidRPr="001C671C">
                        <w:rPr>
                          <w:b/>
                          <w:bCs/>
                        </w:rPr>
                        <w:t>Information sharing.</w:t>
                      </w:r>
                      <w:r w:rsidRPr="00291ED1">
                        <w:t xml:space="preserve"> They develop interoperable data systems that uphold privacy, support continuity of services across sectors, and empower Indigenous data sovereignty. There is an opportunity to collaborate with PHNs to share and expand datasets, enhancing system integration and culturally responsive care.</w:t>
                      </w:r>
                    </w:p>
                  </w:txbxContent>
                </v:textbox>
              </v:roundrect>
            </w:pict>
          </mc:Fallback>
        </mc:AlternateContent>
      </w:r>
    </w:p>
    <w:p w14:paraId="0CB4DFF7" w14:textId="77777777" w:rsidR="00A702B6" w:rsidRPr="00A702B6" w:rsidRDefault="00A702B6" w:rsidP="001C671C">
      <w:pPr>
        <w:sectPr w:rsidR="00A702B6" w:rsidRPr="00A702B6" w:rsidSect="00FC6E29">
          <w:headerReference w:type="first" r:id="rId18"/>
          <w:pgSz w:w="11906" w:h="16838"/>
          <w:pgMar w:top="1440" w:right="1440" w:bottom="1440" w:left="1440" w:header="708" w:footer="708" w:gutter="0"/>
          <w:cols w:space="708"/>
          <w:titlePg/>
          <w:docGrid w:linePitch="360"/>
        </w:sectPr>
      </w:pPr>
    </w:p>
    <w:p w14:paraId="342B5764" w14:textId="6A6B1341" w:rsidR="00546CF6" w:rsidRPr="00227E41" w:rsidRDefault="00546CF6" w:rsidP="00227E41">
      <w:pPr>
        <w:pStyle w:val="Heading2"/>
      </w:pPr>
      <w:bookmarkStart w:id="7" w:name="_Toc213403068"/>
      <w:r w:rsidRPr="00227E41">
        <w:lastRenderedPageBreak/>
        <w:t xml:space="preserve">Why </w:t>
      </w:r>
      <w:proofErr w:type="gramStart"/>
      <w:r w:rsidRPr="00227E41">
        <w:t>community controlled</w:t>
      </w:r>
      <w:proofErr w:type="gramEnd"/>
      <w:r w:rsidRPr="00227E41">
        <w:t xml:space="preserve"> commissioning?</w:t>
      </w:r>
      <w:bookmarkEnd w:id="7"/>
    </w:p>
    <w:p w14:paraId="78447D5D" w14:textId="30DBBE82" w:rsidR="00A46729" w:rsidRPr="005D1441" w:rsidRDefault="008129BB" w:rsidP="001C671C">
      <w:r w:rsidRPr="005D1441">
        <w:t xml:space="preserve">Increased investment in the </w:t>
      </w:r>
      <w:proofErr w:type="gramStart"/>
      <w:r w:rsidRPr="005D1441">
        <w:t>community controlled</w:t>
      </w:r>
      <w:proofErr w:type="gramEnd"/>
      <w:r w:rsidRPr="005D1441">
        <w:t xml:space="preserve"> sector </w:t>
      </w:r>
      <w:r w:rsidR="009F713D" w:rsidRPr="005D1441">
        <w:t>aligns wi</w:t>
      </w:r>
      <w:r w:rsidR="00592DCD" w:rsidRPr="005D1441">
        <w:t xml:space="preserve">th Priority </w:t>
      </w:r>
      <w:r w:rsidR="00F84BFA" w:rsidRPr="005D1441">
        <w:t xml:space="preserve">Reform 2 of the National Agreement on Closing the Gap, supports self-determination and contributes to </w:t>
      </w:r>
      <w:r w:rsidR="00CE4FBA" w:rsidRPr="005D1441">
        <w:t xml:space="preserve">improved health outcomes for First Nations people. </w:t>
      </w:r>
      <w:r w:rsidR="00546CF6" w:rsidRPr="005D1441">
        <w:t xml:space="preserve">Community controlled commissioning presents an opportunity to </w:t>
      </w:r>
      <w:r w:rsidR="00C02663" w:rsidRPr="005D1441">
        <w:t>guide</w:t>
      </w:r>
      <w:r w:rsidR="00546CF6" w:rsidRPr="005D1441">
        <w:t xml:space="preserve"> First Nations targeted health programs </w:t>
      </w:r>
      <w:r w:rsidR="00C02663" w:rsidRPr="005D1441">
        <w:t>in a new and responsive way.</w:t>
      </w:r>
      <w:r w:rsidR="00BF54BF" w:rsidRPr="005D1441">
        <w:t xml:space="preserve"> </w:t>
      </w:r>
    </w:p>
    <w:p w14:paraId="0ACAA016" w14:textId="0494804A" w:rsidR="00BF54BF" w:rsidRPr="001C671C" w:rsidRDefault="00BF54BF" w:rsidP="001C671C">
      <w:r w:rsidRPr="001C671C">
        <w:t xml:space="preserve">A regional approach </w:t>
      </w:r>
      <w:r w:rsidR="004D6FC4" w:rsidRPr="001C671C">
        <w:t xml:space="preserve">enables </w:t>
      </w:r>
      <w:r w:rsidR="005F2AD9" w:rsidRPr="001C671C">
        <w:t>service planning to be more closely aligned with the communities served</w:t>
      </w:r>
      <w:r w:rsidR="00F15AD0" w:rsidRPr="001C671C">
        <w:t xml:space="preserve">, allowing for greater </w:t>
      </w:r>
      <w:r w:rsidR="001C1F04" w:rsidRPr="001C671C">
        <w:t xml:space="preserve">ties </w:t>
      </w:r>
      <w:r w:rsidR="00EE26D3" w:rsidRPr="001C671C">
        <w:t>to local health needs, cultural contexts and service gaps. It supports the develop</w:t>
      </w:r>
      <w:r w:rsidR="00D61790" w:rsidRPr="001C671C">
        <w:t xml:space="preserve">ment of embedded partnerships, fosters community trust, enhances workforce retention through local employment, and promotes innovation tailored to </w:t>
      </w:r>
      <w:r w:rsidR="00A46729" w:rsidRPr="001C671C">
        <w:t>distinct regions. Regional models can adapt more quickly to emerging issues, reduce administrative complexity and improve accountability through more direct engagement with service providers.</w:t>
      </w:r>
    </w:p>
    <w:p w14:paraId="03461F4C" w14:textId="1A6C15F4" w:rsidR="00546CF6" w:rsidRPr="001C671C" w:rsidRDefault="00C02663" w:rsidP="001C671C">
      <w:r w:rsidRPr="001C671C">
        <w:t>The enablers offered by First Nations led organisations, include, but are not limited to, the following:</w:t>
      </w:r>
    </w:p>
    <w:p w14:paraId="644E34FC" w14:textId="77777777" w:rsidR="00D169FB" w:rsidRPr="001C671C" w:rsidRDefault="00D169FB" w:rsidP="001C671C">
      <w:pPr>
        <w:pStyle w:val="ListBullet"/>
      </w:pPr>
      <w:r w:rsidRPr="001C671C">
        <w:t xml:space="preserve">planning, funding, and management of services ensures these services meet the specific needs of </w:t>
      </w:r>
      <w:proofErr w:type="gramStart"/>
      <w:r w:rsidRPr="001C671C">
        <w:t>community;</w:t>
      </w:r>
      <w:proofErr w:type="gramEnd"/>
    </w:p>
    <w:p w14:paraId="27538DC0" w14:textId="77777777" w:rsidR="00D169FB" w:rsidRPr="001C671C" w:rsidRDefault="00D169FB" w:rsidP="001C671C">
      <w:pPr>
        <w:pStyle w:val="ListBullet"/>
      </w:pPr>
      <w:r w:rsidRPr="001C671C">
        <w:t xml:space="preserve">decision making about services and supports will be made by Aboriginal and Torres Strait Islander </w:t>
      </w:r>
      <w:proofErr w:type="gramStart"/>
      <w:r w:rsidRPr="001C671C">
        <w:t>Communities;</w:t>
      </w:r>
      <w:proofErr w:type="gramEnd"/>
    </w:p>
    <w:p w14:paraId="4B71CF4C" w14:textId="77777777" w:rsidR="00D169FB" w:rsidRPr="001C671C" w:rsidRDefault="00D169FB" w:rsidP="001C671C">
      <w:pPr>
        <w:pStyle w:val="ListBullet"/>
      </w:pPr>
      <w:r w:rsidRPr="001C671C">
        <w:t xml:space="preserve">nuanced understanding of health needs and aspirations which nurture and protect community wellbeing is a core </w:t>
      </w:r>
      <w:proofErr w:type="gramStart"/>
      <w:r w:rsidRPr="001C671C">
        <w:t>tenet;</w:t>
      </w:r>
      <w:proofErr w:type="gramEnd"/>
    </w:p>
    <w:p w14:paraId="682A7A90" w14:textId="77777777" w:rsidR="00D169FB" w:rsidRPr="001C671C" w:rsidRDefault="00D169FB" w:rsidP="001C671C">
      <w:pPr>
        <w:pStyle w:val="ListBullet"/>
      </w:pPr>
      <w:r w:rsidRPr="001C671C">
        <w:t xml:space="preserve">profound connections to culture, language, and </w:t>
      </w:r>
      <w:proofErr w:type="gramStart"/>
      <w:r w:rsidRPr="001C671C">
        <w:t>land;</w:t>
      </w:r>
      <w:proofErr w:type="gramEnd"/>
    </w:p>
    <w:p w14:paraId="40ACCBFE" w14:textId="77777777" w:rsidR="00D169FB" w:rsidRPr="001C671C" w:rsidRDefault="00D169FB" w:rsidP="001C671C">
      <w:pPr>
        <w:pStyle w:val="ListBullet"/>
      </w:pPr>
      <w:r w:rsidRPr="001C671C">
        <w:t>responsive to the needs of community but are also an expression of the community's aspirations and values; and</w:t>
      </w:r>
    </w:p>
    <w:p w14:paraId="401A9568" w14:textId="29D2D6A7" w:rsidR="00D169FB" w:rsidRPr="001C671C" w:rsidRDefault="00D169FB" w:rsidP="001C671C">
      <w:pPr>
        <w:pStyle w:val="ListBullet"/>
      </w:pPr>
      <w:r w:rsidRPr="001C671C">
        <w:t xml:space="preserve">understanding of the holistic concept of </w:t>
      </w:r>
      <w:proofErr w:type="spellStart"/>
      <w:r w:rsidRPr="001C671C">
        <w:t>health,</w:t>
      </w:r>
      <w:proofErr w:type="spellEnd"/>
      <w:r w:rsidRPr="001C671C">
        <w:t xml:space="preserve"> encompassing physical, social, emotional, spiritual, and cultural well-being of the whole community.</w:t>
      </w:r>
    </w:p>
    <w:p w14:paraId="67D4903A" w14:textId="5DAE5029" w:rsidR="00C416D6" w:rsidRPr="00227E41" w:rsidRDefault="00C416D6" w:rsidP="00227E41">
      <w:pPr>
        <w:pStyle w:val="Heading2"/>
      </w:pPr>
      <w:bookmarkStart w:id="8" w:name="_Toc213403069"/>
      <w:r w:rsidRPr="00227E41">
        <w:t>ITC across the commissioning cycle</w:t>
      </w:r>
      <w:bookmarkEnd w:id="8"/>
    </w:p>
    <w:p w14:paraId="26B9CA9D" w14:textId="73BFCF1C" w:rsidR="000C60C7" w:rsidRPr="001C671C" w:rsidRDefault="000C60C7" w:rsidP="001C671C">
      <w:r w:rsidRPr="001C671C">
        <w:t xml:space="preserve">The commissioning body leads, connects, and enables effective delivery of the ITC program across the commissioning cycle – ensuring that chronic disease management and care for </w:t>
      </w:r>
      <w:r w:rsidR="009426CC" w:rsidRPr="001C671C">
        <w:t>Aboriginal and Torres Strait Islander</w:t>
      </w:r>
      <w:r w:rsidRPr="001C671C">
        <w:t xml:space="preserve"> people is locally relevant, culturally safe and accessible no matter where a person enters the health system.</w:t>
      </w:r>
    </w:p>
    <w:p w14:paraId="314AE7B4" w14:textId="6A34C5D8" w:rsidR="00944B88" w:rsidRPr="001C671C" w:rsidRDefault="00944B88" w:rsidP="001C671C">
      <w:r w:rsidRPr="001C671C">
        <w:t xml:space="preserve">The </w:t>
      </w:r>
      <w:r w:rsidR="00B94A28" w:rsidRPr="001C671C">
        <w:t xml:space="preserve">table below provides an example of </w:t>
      </w:r>
      <w:r w:rsidR="00021AD5" w:rsidRPr="001C671C">
        <w:t>th</w:t>
      </w:r>
      <w:r w:rsidRPr="001C671C">
        <w:t xml:space="preserve">e </w:t>
      </w:r>
      <w:r w:rsidR="00B94A28" w:rsidRPr="001C671C">
        <w:t xml:space="preserve">key roles and functions </w:t>
      </w:r>
      <w:r w:rsidRPr="001C671C">
        <w:t xml:space="preserve">of commissioning bodies </w:t>
      </w:r>
      <w:r w:rsidR="00B94A28" w:rsidRPr="001C671C">
        <w:t>at each stage of the commissioning c</w:t>
      </w:r>
      <w:r w:rsidR="00BD2205" w:rsidRPr="001C671C">
        <w:t>yc</w:t>
      </w:r>
      <w:r w:rsidR="00B94A28" w:rsidRPr="001C671C">
        <w:t xml:space="preserve">le, broken down into </w:t>
      </w:r>
      <w:r w:rsidR="00BD2205" w:rsidRPr="001C671C">
        <w:t>steps</w:t>
      </w:r>
      <w:r w:rsidR="00976CBD" w:rsidRPr="001C671C">
        <w:t xml:space="preserve"> in delivering the ITC program.</w:t>
      </w:r>
      <w:r w:rsidR="00AA7B65" w:rsidRPr="001C671C">
        <w:t xml:space="preserve"> </w:t>
      </w:r>
      <w:r w:rsidR="002754E5" w:rsidRPr="001C671C">
        <w:t xml:space="preserve">A stakeholder map which outlines </w:t>
      </w:r>
      <w:r w:rsidR="000645BA" w:rsidRPr="001C671C">
        <w:t>how the commissioning body may interact with other organisations at these sta</w:t>
      </w:r>
      <w:r w:rsidR="00255C98" w:rsidRPr="001C671C">
        <w:t xml:space="preserve">ges can be found at Appendix 1. </w:t>
      </w:r>
    </w:p>
    <w:tbl>
      <w:tblPr>
        <w:tblStyle w:val="ListTable3-Accent21"/>
        <w:tblW w:w="0" w:type="auto"/>
        <w:tblInd w:w="-5" w:type="dxa"/>
        <w:tblBorders>
          <w:top w:val="single" w:sz="4" w:space="0" w:color="003C5F" w:themeColor="accent3" w:themeShade="80"/>
          <w:left w:val="single" w:sz="4" w:space="0" w:color="003C5F" w:themeColor="accent3" w:themeShade="80"/>
          <w:bottom w:val="single" w:sz="4" w:space="0" w:color="003C5F" w:themeColor="accent3" w:themeShade="80"/>
          <w:right w:val="single" w:sz="4" w:space="0" w:color="003C5F" w:themeColor="accent3" w:themeShade="80"/>
          <w:insideH w:val="single" w:sz="4" w:space="0" w:color="003C5F" w:themeColor="accent3" w:themeShade="80"/>
          <w:insideV w:val="single" w:sz="4" w:space="0" w:color="003C5F" w:themeColor="accent3" w:themeShade="80"/>
        </w:tblBorders>
        <w:tblLook w:val="04A0" w:firstRow="1" w:lastRow="0" w:firstColumn="1" w:lastColumn="0" w:noHBand="0" w:noVBand="1"/>
      </w:tblPr>
      <w:tblGrid>
        <w:gridCol w:w="2120"/>
        <w:gridCol w:w="1934"/>
        <w:gridCol w:w="4967"/>
      </w:tblGrid>
      <w:tr w:rsidR="000C60C7" w:rsidRPr="001C671C" w14:paraId="348BAA4F" w14:textId="77777777" w:rsidTr="5E66343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0" w:type="dxa"/>
            <w:shd w:val="clear" w:color="auto" w:fill="003C5F" w:themeFill="accent3" w:themeFillShade="80"/>
            <w:vAlign w:val="center"/>
          </w:tcPr>
          <w:p w14:paraId="409EAB59" w14:textId="77777777" w:rsidR="000C60C7" w:rsidRPr="001C671C" w:rsidRDefault="000C60C7" w:rsidP="001C671C">
            <w:r w:rsidRPr="001C671C">
              <w:t>Commissioning phase</w:t>
            </w:r>
          </w:p>
        </w:tc>
        <w:tc>
          <w:tcPr>
            <w:tcW w:w="1934" w:type="dxa"/>
            <w:shd w:val="clear" w:color="auto" w:fill="003C5F" w:themeFill="accent3" w:themeFillShade="80"/>
            <w:vAlign w:val="center"/>
          </w:tcPr>
          <w:p w14:paraId="222045A8" w14:textId="77777777" w:rsidR="000C60C7" w:rsidRPr="001C671C" w:rsidRDefault="000C60C7" w:rsidP="001C671C">
            <w:pPr>
              <w:cnfStyle w:val="100000000000" w:firstRow="1" w:lastRow="0" w:firstColumn="0" w:lastColumn="0" w:oddVBand="0" w:evenVBand="0" w:oddHBand="0" w:evenHBand="0" w:firstRowFirstColumn="0" w:firstRowLastColumn="0" w:lastRowFirstColumn="0" w:lastRowLastColumn="0"/>
            </w:pPr>
            <w:r w:rsidRPr="001C671C">
              <w:t xml:space="preserve">Function </w:t>
            </w:r>
          </w:p>
        </w:tc>
        <w:tc>
          <w:tcPr>
            <w:tcW w:w="4967" w:type="dxa"/>
            <w:shd w:val="clear" w:color="auto" w:fill="003C5F" w:themeFill="accent3" w:themeFillShade="80"/>
            <w:vAlign w:val="center"/>
          </w:tcPr>
          <w:p w14:paraId="4B1D0D15" w14:textId="77777777" w:rsidR="000C60C7" w:rsidRPr="001C671C" w:rsidRDefault="000C60C7" w:rsidP="001C671C">
            <w:pPr>
              <w:cnfStyle w:val="100000000000" w:firstRow="1" w:lastRow="0" w:firstColumn="0" w:lastColumn="0" w:oddVBand="0" w:evenVBand="0" w:oddHBand="0" w:evenHBand="0" w:firstRowFirstColumn="0" w:firstRowLastColumn="0" w:lastRowFirstColumn="0" w:lastRowLastColumn="0"/>
            </w:pPr>
            <w:r w:rsidRPr="001C671C">
              <w:t>Responsibilities</w:t>
            </w:r>
          </w:p>
        </w:tc>
      </w:tr>
      <w:tr w:rsidR="000C60C7" w:rsidRPr="000C60C7" w14:paraId="6B5FAEC5"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val="restart"/>
          </w:tcPr>
          <w:p w14:paraId="6D115DB5" w14:textId="77777777" w:rsidR="000C60C7" w:rsidRPr="001C671C" w:rsidRDefault="000C60C7" w:rsidP="001C671C">
            <w:pPr>
              <w:pStyle w:val="Tablelistnumber"/>
            </w:pPr>
            <w:r w:rsidRPr="001C671C">
              <w:t>Strategic planning</w:t>
            </w:r>
          </w:p>
        </w:tc>
        <w:tc>
          <w:tcPr>
            <w:tcW w:w="1934" w:type="dxa"/>
          </w:tcPr>
          <w:p w14:paraId="4E44CDC2" w14:textId="74650B11" w:rsidR="000C60C7" w:rsidRPr="0075187C" w:rsidRDefault="000C60C7" w:rsidP="001C671C">
            <w:pPr>
              <w:cnfStyle w:val="000000100000" w:firstRow="0" w:lastRow="0" w:firstColumn="0" w:lastColumn="0" w:oddVBand="0" w:evenVBand="0" w:oddHBand="1" w:evenHBand="0" w:firstRowFirstColumn="0" w:firstRowLastColumn="0" w:lastRowFirstColumn="0" w:lastRowLastColumn="0"/>
            </w:pPr>
            <w:r w:rsidRPr="0075187C">
              <w:t>Needs Assessment</w:t>
            </w:r>
          </w:p>
        </w:tc>
        <w:tc>
          <w:tcPr>
            <w:tcW w:w="4967" w:type="dxa"/>
          </w:tcPr>
          <w:p w14:paraId="40965F9F" w14:textId="652D64A3"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 xml:space="preserve">Analyse </w:t>
            </w:r>
            <w:r w:rsidR="002E0F2D" w:rsidRPr="001C671C">
              <w:t>health</w:t>
            </w:r>
            <w:r w:rsidRPr="001C671C">
              <w:t xml:space="preserve"> and service </w:t>
            </w:r>
            <w:r w:rsidR="002E0F2D" w:rsidRPr="001C671C">
              <w:t>patterns</w:t>
            </w:r>
            <w:r w:rsidRPr="001C671C">
              <w:t xml:space="preserve"> to assess chronic disease burden and </w:t>
            </w:r>
            <w:r w:rsidR="002E0F2D" w:rsidRPr="001C671C">
              <w:t xml:space="preserve">design </w:t>
            </w:r>
            <w:r w:rsidR="00813D74" w:rsidRPr="001C671C">
              <w:t>innovative approaches to realise community aspirations and instil Aboriginal and Torres Strait Islander worldviews, cultural practices and values within program design</w:t>
            </w:r>
            <w:r w:rsidRPr="001C671C">
              <w:t>.</w:t>
            </w:r>
          </w:p>
          <w:p w14:paraId="63DF2FED"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lastRenderedPageBreak/>
              <w:t>Map existing services, workforce and assets.</w:t>
            </w:r>
          </w:p>
          <w:p w14:paraId="043E76C9"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Engage stakeholders and First Nations communities to validate findings.</w:t>
            </w:r>
          </w:p>
        </w:tc>
      </w:tr>
      <w:tr w:rsidR="009D5B75" w:rsidRPr="000C60C7" w14:paraId="41FDEBEF"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tcPr>
          <w:p w14:paraId="50C0ACC8" w14:textId="77777777" w:rsidR="000C60C7" w:rsidRPr="00976CBD" w:rsidRDefault="000C60C7" w:rsidP="001C671C"/>
        </w:tc>
        <w:tc>
          <w:tcPr>
            <w:tcW w:w="1934" w:type="dxa"/>
          </w:tcPr>
          <w:p w14:paraId="0AB1602F" w14:textId="77777777"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00976CBD">
              <w:t>Priority setting</w:t>
            </w:r>
          </w:p>
        </w:tc>
        <w:tc>
          <w:tcPr>
            <w:tcW w:w="4967" w:type="dxa"/>
          </w:tcPr>
          <w:p w14:paraId="51C39149"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Identify target conditions based on need and community priorities.</w:t>
            </w:r>
          </w:p>
          <w:p w14:paraId="56A98FC9"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Align with strategic health plans and equity goals.</w:t>
            </w:r>
          </w:p>
        </w:tc>
      </w:tr>
      <w:tr w:rsidR="000C60C7" w:rsidRPr="000C60C7" w14:paraId="62932295"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tcPr>
          <w:p w14:paraId="45510877" w14:textId="77777777" w:rsidR="000C60C7" w:rsidRPr="00976CBD" w:rsidRDefault="000C60C7" w:rsidP="001C671C"/>
        </w:tc>
        <w:tc>
          <w:tcPr>
            <w:tcW w:w="1934" w:type="dxa"/>
          </w:tcPr>
          <w:p w14:paraId="50BE9280"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Stakeholder engagement</w:t>
            </w:r>
          </w:p>
        </w:tc>
        <w:tc>
          <w:tcPr>
            <w:tcW w:w="4967" w:type="dxa"/>
          </w:tcPr>
          <w:p w14:paraId="3A07071A"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Establish inclusive advisory structures (clinical, consumer, cultural).</w:t>
            </w:r>
          </w:p>
          <w:p w14:paraId="3AA838AD"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Ensure Aboriginal and Torres Strait Islander leadership is embedded in planning.</w:t>
            </w:r>
          </w:p>
        </w:tc>
      </w:tr>
      <w:tr w:rsidR="000C60C7" w:rsidRPr="000C60C7" w14:paraId="06C70F78"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val="restart"/>
          </w:tcPr>
          <w:p w14:paraId="41A290E2" w14:textId="77777777" w:rsidR="000C60C7" w:rsidRPr="001C671C" w:rsidRDefault="000C60C7" w:rsidP="001C671C">
            <w:pPr>
              <w:pStyle w:val="Tablelistnumber"/>
            </w:pPr>
            <w:r w:rsidRPr="001C671C">
              <w:t>Service design</w:t>
            </w:r>
          </w:p>
        </w:tc>
        <w:tc>
          <w:tcPr>
            <w:tcW w:w="1934" w:type="dxa"/>
          </w:tcPr>
          <w:p w14:paraId="149D1761" w14:textId="636682C2"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00976CBD">
              <w:t>Model of care</w:t>
            </w:r>
          </w:p>
        </w:tc>
        <w:tc>
          <w:tcPr>
            <w:tcW w:w="4967" w:type="dxa"/>
          </w:tcPr>
          <w:p w14:paraId="69969F94" w14:textId="5FA30E5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 xml:space="preserve">Define evidence-informed, culturally </w:t>
            </w:r>
            <w:r w:rsidR="00EA769C" w:rsidRPr="001C671C">
              <w:t>anchored</w:t>
            </w:r>
            <w:r w:rsidRPr="001C671C">
              <w:t xml:space="preserve"> care models</w:t>
            </w:r>
            <w:r w:rsidR="00EA769C" w:rsidRPr="001C671C">
              <w:t xml:space="preserve"> that are responsive, collaborative, equitab</w:t>
            </w:r>
            <w:r w:rsidR="00B87E0D" w:rsidRPr="001C671C">
              <w:t>le and emphasise self-determination</w:t>
            </w:r>
            <w:r w:rsidRPr="001C671C">
              <w:t>.</w:t>
            </w:r>
          </w:p>
          <w:p w14:paraId="5274EB93" w14:textId="2EF533FD"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 xml:space="preserve">Include </w:t>
            </w:r>
            <w:r w:rsidR="004861F1" w:rsidRPr="001C671C">
              <w:t xml:space="preserve">care coordination and supplementary services, </w:t>
            </w:r>
            <w:r w:rsidR="008A0184" w:rsidRPr="001C671C">
              <w:t xml:space="preserve">client advocacy </w:t>
            </w:r>
            <w:r w:rsidRPr="001C671C">
              <w:t>and self-management support.</w:t>
            </w:r>
          </w:p>
          <w:p w14:paraId="6A7E3513" w14:textId="558CAA71"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 xml:space="preserve">Tailor models to suit local context and </w:t>
            </w:r>
            <w:r w:rsidR="00DC0097" w:rsidRPr="001C671C">
              <w:t xml:space="preserve">ensure equity </w:t>
            </w:r>
            <w:r w:rsidR="00760BCE" w:rsidRPr="001C671C">
              <w:t>of access for</w:t>
            </w:r>
            <w:r w:rsidR="00B55258" w:rsidRPr="001C671C">
              <w:t xml:space="preserve"> the </w:t>
            </w:r>
            <w:r w:rsidRPr="001C671C">
              <w:t>population.</w:t>
            </w:r>
          </w:p>
        </w:tc>
      </w:tr>
      <w:tr w:rsidR="009D5B75" w:rsidRPr="000C60C7" w14:paraId="458EA2AD"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tcPr>
          <w:p w14:paraId="1DA921D9" w14:textId="77777777" w:rsidR="000C60C7" w:rsidRPr="00976CBD" w:rsidRDefault="000C60C7" w:rsidP="001C671C"/>
        </w:tc>
        <w:tc>
          <w:tcPr>
            <w:tcW w:w="1934" w:type="dxa"/>
          </w:tcPr>
          <w:p w14:paraId="7C843E98"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Performance framework</w:t>
            </w:r>
          </w:p>
        </w:tc>
        <w:tc>
          <w:tcPr>
            <w:tcW w:w="4967" w:type="dxa"/>
          </w:tcPr>
          <w:p w14:paraId="78625955" w14:textId="00B71985"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Comply with the requirements of the grant agreement offered by the department</w:t>
            </w:r>
            <w:r w:rsidR="00B210F9" w:rsidRPr="001C671C">
              <w:t xml:space="preserve"> and the ITC program implementation guidelines</w:t>
            </w:r>
            <w:r w:rsidRPr="001C671C">
              <w:t>.</w:t>
            </w:r>
          </w:p>
          <w:p w14:paraId="700A057E" w14:textId="6EB348C8"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Establish outcomes and KPIs across clinical, access, equity, quality of life and experience domains.</w:t>
            </w:r>
          </w:p>
          <w:p w14:paraId="4B81971A"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 xml:space="preserve">Data solutions and integration. </w:t>
            </w:r>
          </w:p>
        </w:tc>
      </w:tr>
      <w:tr w:rsidR="000C60C7" w:rsidRPr="000C60C7" w14:paraId="0F09C31D"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tcPr>
          <w:p w14:paraId="0C03A5B6" w14:textId="77777777" w:rsidR="000C60C7" w:rsidRPr="00976CBD" w:rsidRDefault="000C60C7" w:rsidP="001C671C"/>
        </w:tc>
        <w:tc>
          <w:tcPr>
            <w:tcW w:w="1934" w:type="dxa"/>
          </w:tcPr>
          <w:p w14:paraId="02F8E8F3" w14:textId="1999667E" w:rsidR="000C60C7" w:rsidRPr="0075187C" w:rsidRDefault="000C60C7" w:rsidP="001C671C">
            <w:pPr>
              <w:cnfStyle w:val="000000000000" w:firstRow="0" w:lastRow="0" w:firstColumn="0" w:lastColumn="0" w:oddVBand="0" w:evenVBand="0" w:oddHBand="0" w:evenHBand="0" w:firstRowFirstColumn="0" w:firstRowLastColumn="0" w:lastRowFirstColumn="0" w:lastRowLastColumn="0"/>
            </w:pPr>
            <w:r w:rsidRPr="0075187C">
              <w:t>Co</w:t>
            </w:r>
            <w:r w:rsidR="00B55258" w:rsidRPr="0075187C">
              <w:t>llaborative design</w:t>
            </w:r>
          </w:p>
        </w:tc>
        <w:tc>
          <w:tcPr>
            <w:tcW w:w="4967" w:type="dxa"/>
          </w:tcPr>
          <w:p w14:paraId="220D5DBD"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Co-design models with First Nations clients, communities and service providers.</w:t>
            </w:r>
          </w:p>
          <w:p w14:paraId="1B9014A8" w14:textId="6EFC079B"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Ensure culturally responsive design processes and governance.</w:t>
            </w:r>
          </w:p>
          <w:p w14:paraId="75D1DC9F" w14:textId="5C16EFBB" w:rsidR="0059042D" w:rsidRPr="001C671C" w:rsidRDefault="0059042D" w:rsidP="001C671C">
            <w:pPr>
              <w:pStyle w:val="ListBullet2"/>
              <w:cnfStyle w:val="000000000000" w:firstRow="0" w:lastRow="0" w:firstColumn="0" w:lastColumn="0" w:oddVBand="0" w:evenVBand="0" w:oddHBand="0" w:evenHBand="0" w:firstRowFirstColumn="0" w:firstRowLastColumn="0" w:lastRowFirstColumn="0" w:lastRowLastColumn="0"/>
            </w:pPr>
            <w:r w:rsidRPr="001C671C">
              <w:t xml:space="preserve">Collaborate with </w:t>
            </w:r>
            <w:r w:rsidR="002B5B4C" w:rsidRPr="001C671C">
              <w:t xml:space="preserve">stakeholders to </w:t>
            </w:r>
            <w:r w:rsidR="00C4744F" w:rsidRPr="001C671C">
              <w:t>i</w:t>
            </w:r>
            <w:r w:rsidRPr="001C671C">
              <w:t xml:space="preserve">ntegrate system-level data </w:t>
            </w:r>
            <w:r w:rsidR="00C4744F" w:rsidRPr="001C671C">
              <w:t>on private GP practices, prioritising areas with high First Nations populations</w:t>
            </w:r>
            <w:r w:rsidR="00904DE7" w:rsidRPr="001C671C">
              <w:t xml:space="preserve"> to improve efficiency, cultural safety and </w:t>
            </w:r>
            <w:r w:rsidRPr="001C671C">
              <w:t>equity of access.</w:t>
            </w:r>
          </w:p>
        </w:tc>
      </w:tr>
      <w:tr w:rsidR="000C60C7" w:rsidRPr="000C60C7" w14:paraId="0726AAA8"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val="restart"/>
          </w:tcPr>
          <w:p w14:paraId="048EF30D" w14:textId="55BCB553" w:rsidR="000C60C7" w:rsidRPr="001C671C" w:rsidRDefault="000C60C7" w:rsidP="001C671C">
            <w:pPr>
              <w:pStyle w:val="Tablelistnumber"/>
            </w:pPr>
            <w:r w:rsidRPr="001C671C">
              <w:t>Procurement and contracting</w:t>
            </w:r>
          </w:p>
        </w:tc>
        <w:tc>
          <w:tcPr>
            <w:tcW w:w="1934" w:type="dxa"/>
          </w:tcPr>
          <w:p w14:paraId="7B0EE015" w14:textId="0FD84775" w:rsidR="000C60C7" w:rsidRPr="0075187C" w:rsidRDefault="00DF0E00" w:rsidP="001C671C">
            <w:pPr>
              <w:cnfStyle w:val="000000100000" w:firstRow="0" w:lastRow="0" w:firstColumn="0" w:lastColumn="0" w:oddVBand="0" w:evenVBand="0" w:oddHBand="1" w:evenHBand="0" w:firstRowFirstColumn="0" w:firstRowLastColumn="0" w:lastRowFirstColumn="0" w:lastRowLastColumn="0"/>
            </w:pPr>
            <w:r w:rsidRPr="0075187C">
              <w:t xml:space="preserve">Improve access to culturally safe mainstream </w:t>
            </w:r>
            <w:r w:rsidRPr="0075187C">
              <w:lastRenderedPageBreak/>
              <w:t>primary health care</w:t>
            </w:r>
            <w:r w:rsidR="00AB3F94" w:rsidRPr="0075187C">
              <w:t xml:space="preserve"> </w:t>
            </w:r>
          </w:p>
        </w:tc>
        <w:tc>
          <w:tcPr>
            <w:tcW w:w="4967" w:type="dxa"/>
          </w:tcPr>
          <w:p w14:paraId="67FFF6D0" w14:textId="0AF4C18C" w:rsidR="001B498A" w:rsidRPr="001C671C" w:rsidRDefault="003004B3" w:rsidP="001C671C">
            <w:pPr>
              <w:pStyle w:val="ListBullet2"/>
              <w:cnfStyle w:val="000000100000" w:firstRow="0" w:lastRow="0" w:firstColumn="0" w:lastColumn="0" w:oddVBand="0" w:evenVBand="0" w:oddHBand="1" w:evenHBand="0" w:firstRowFirstColumn="0" w:firstRowLastColumn="0" w:lastRowFirstColumn="0" w:lastRowLastColumn="0"/>
            </w:pPr>
            <w:r w:rsidRPr="001C671C">
              <w:lastRenderedPageBreak/>
              <w:t xml:space="preserve">Identify cultural capability deficits </w:t>
            </w:r>
            <w:r w:rsidR="00A8629F" w:rsidRPr="001C671C">
              <w:t>across</w:t>
            </w:r>
            <w:r w:rsidRPr="001C671C">
              <w:t xml:space="preserve"> mainstream primary care, </w:t>
            </w:r>
            <w:r w:rsidR="00760BCE" w:rsidRPr="001C671C">
              <w:t xml:space="preserve">with a focus on </w:t>
            </w:r>
            <w:r w:rsidR="00477C20" w:rsidRPr="001C671C">
              <w:t>safeguarding</w:t>
            </w:r>
            <w:r w:rsidR="00760BCE" w:rsidRPr="001C671C">
              <w:t xml:space="preserve"> program entry</w:t>
            </w:r>
            <w:r w:rsidR="00477C20" w:rsidRPr="001C671C">
              <w:t xml:space="preserve"> and </w:t>
            </w:r>
            <w:r w:rsidR="00760BCE" w:rsidRPr="001C671C">
              <w:t>for</w:t>
            </w:r>
            <w:r w:rsidRPr="001C671C">
              <w:t xml:space="preserve"> clients </w:t>
            </w:r>
            <w:r w:rsidRPr="001C671C">
              <w:lastRenderedPageBreak/>
              <w:t xml:space="preserve">accessing </w:t>
            </w:r>
            <w:r w:rsidR="00760BCE" w:rsidRPr="001C671C">
              <w:t xml:space="preserve">care from </w:t>
            </w:r>
            <w:r w:rsidRPr="001C671C">
              <w:t>private GPs</w:t>
            </w:r>
            <w:r w:rsidR="00A8629F" w:rsidRPr="001C671C">
              <w:t xml:space="preserve"> and mainstream services.</w:t>
            </w:r>
          </w:p>
          <w:p w14:paraId="0F960E21" w14:textId="6A5207BE"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Support innovation and integrated care partnerships.</w:t>
            </w:r>
          </w:p>
          <w:p w14:paraId="0AA8C1FD" w14:textId="1D91C4C8"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Ensure client choice is maintained</w:t>
            </w:r>
            <w:r w:rsidR="006B7C53" w:rsidRPr="001C671C">
              <w:t xml:space="preserve"> across all health services </w:t>
            </w:r>
            <w:r w:rsidR="00B813AA" w:rsidRPr="001C671C">
              <w:t xml:space="preserve">(GPs, ACCHSs, allied </w:t>
            </w:r>
            <w:proofErr w:type="spellStart"/>
            <w:r w:rsidR="00B813AA" w:rsidRPr="001C671C">
              <w:t>health,</w:t>
            </w:r>
            <w:proofErr w:type="spellEnd"/>
            <w:r w:rsidR="00B813AA" w:rsidRPr="001C671C">
              <w:t xml:space="preserve"> specialists)</w:t>
            </w:r>
            <w:r w:rsidRPr="001C671C">
              <w:t xml:space="preserve"> </w:t>
            </w:r>
            <w:r w:rsidR="00BD3909" w:rsidRPr="001C671C">
              <w:t>when</w:t>
            </w:r>
            <w:r w:rsidRPr="001C671C">
              <w:t xml:space="preserve"> approaching the </w:t>
            </w:r>
            <w:r w:rsidR="00873F07" w:rsidRPr="001C671C">
              <w:t>health</w:t>
            </w:r>
            <w:r w:rsidRPr="001C671C">
              <w:t xml:space="preserve"> sector.</w:t>
            </w:r>
          </w:p>
        </w:tc>
      </w:tr>
      <w:tr w:rsidR="009D5B75" w:rsidRPr="000C60C7" w14:paraId="49C4BE32"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tcPr>
          <w:p w14:paraId="716D94CB" w14:textId="77777777" w:rsidR="000C60C7" w:rsidRPr="00976CBD" w:rsidRDefault="000C60C7" w:rsidP="001C671C"/>
        </w:tc>
        <w:tc>
          <w:tcPr>
            <w:tcW w:w="1934" w:type="dxa"/>
          </w:tcPr>
          <w:p w14:paraId="13F21E91" w14:textId="77777777"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00976CBD">
              <w:t xml:space="preserve">Procurement </w:t>
            </w:r>
          </w:p>
        </w:tc>
        <w:tc>
          <w:tcPr>
            <w:tcW w:w="4967" w:type="dxa"/>
          </w:tcPr>
          <w:p w14:paraId="4A8B6D07"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Run transparent, outcomes-focused procurement processes.</w:t>
            </w:r>
          </w:p>
          <w:p w14:paraId="1FFF8A7E" w14:textId="25AEADE9" w:rsidR="000C60C7" w:rsidRPr="001C671C" w:rsidRDefault="00EF4CE8" w:rsidP="001C671C">
            <w:pPr>
              <w:pStyle w:val="ListBullet2"/>
              <w:cnfStyle w:val="000000000000" w:firstRow="0" w:lastRow="0" w:firstColumn="0" w:lastColumn="0" w:oddVBand="0" w:evenVBand="0" w:oddHBand="0" w:evenHBand="0" w:firstRowFirstColumn="0" w:firstRowLastColumn="0" w:lastRowFirstColumn="0" w:lastRowLastColumn="0"/>
            </w:pPr>
            <w:r w:rsidRPr="001C671C">
              <w:t>Consider</w:t>
            </w:r>
            <w:r w:rsidR="000C60C7" w:rsidRPr="001C671C">
              <w:t xml:space="preserve"> cultural safety, </w:t>
            </w:r>
            <w:r w:rsidRPr="001C671C">
              <w:t>program linkages</w:t>
            </w:r>
            <w:r w:rsidR="00CB2681" w:rsidRPr="001C671C">
              <w:t xml:space="preserve">, </w:t>
            </w:r>
            <w:r w:rsidR="000C60C7" w:rsidRPr="001C671C">
              <w:t>Indigenous data sovereignty and sharing</w:t>
            </w:r>
            <w:r w:rsidR="00CB2681" w:rsidRPr="001C671C">
              <w:t xml:space="preserve"> in planning</w:t>
            </w:r>
            <w:r w:rsidR="000C60C7" w:rsidRPr="001C671C">
              <w:t>.</w:t>
            </w:r>
          </w:p>
          <w:p w14:paraId="71446126" w14:textId="77777777" w:rsidR="00B57F2B" w:rsidRPr="001C671C" w:rsidRDefault="00332B81" w:rsidP="001C671C">
            <w:pPr>
              <w:pStyle w:val="ListBullet2"/>
              <w:cnfStyle w:val="000000000000" w:firstRow="0" w:lastRow="0" w:firstColumn="0" w:lastColumn="0" w:oddVBand="0" w:evenVBand="0" w:oddHBand="0" w:evenHBand="0" w:firstRowFirstColumn="0" w:firstRowLastColumn="0" w:lastRowFirstColumn="0" w:lastRowLastColumn="0"/>
            </w:pPr>
            <w:r w:rsidRPr="001C671C">
              <w:t xml:space="preserve">Uphold high probity standards </w:t>
            </w:r>
            <w:r w:rsidR="00472183" w:rsidRPr="001C671C">
              <w:t>and o</w:t>
            </w:r>
            <w:r w:rsidR="00B5338D" w:rsidRPr="001C671C">
              <w:t xml:space="preserve">btain independent </w:t>
            </w:r>
            <w:r w:rsidR="0028363D" w:rsidRPr="001C671C">
              <w:t>probity advice if required</w:t>
            </w:r>
            <w:r w:rsidR="00B57F2B" w:rsidRPr="001C671C">
              <w:t>.</w:t>
            </w:r>
          </w:p>
          <w:p w14:paraId="61E282E7" w14:textId="5B695B08" w:rsidR="00ED68FF" w:rsidRPr="001C671C" w:rsidRDefault="00B57F2B" w:rsidP="001C671C">
            <w:pPr>
              <w:pStyle w:val="ListBullet2"/>
              <w:cnfStyle w:val="000000000000" w:firstRow="0" w:lastRow="0" w:firstColumn="0" w:lastColumn="0" w:oddVBand="0" w:evenVBand="0" w:oddHBand="0" w:evenHBand="0" w:firstRowFirstColumn="0" w:firstRowLastColumn="0" w:lastRowFirstColumn="0" w:lastRowLastColumn="0"/>
            </w:pPr>
            <w:r w:rsidRPr="001C671C">
              <w:t xml:space="preserve">Apply robust methods to ensure </w:t>
            </w:r>
            <w:r w:rsidR="006C3EF7" w:rsidRPr="001C671C">
              <w:t>conflicts of interest identified</w:t>
            </w:r>
            <w:r w:rsidR="00A96EA5" w:rsidRPr="001C671C">
              <w:t>, recorded</w:t>
            </w:r>
            <w:r w:rsidR="006C3EF7" w:rsidRPr="001C671C">
              <w:t xml:space="preserve"> and managed.</w:t>
            </w:r>
            <w:r w:rsidR="00B85842" w:rsidRPr="001C671C">
              <w:t xml:space="preserve"> </w:t>
            </w:r>
          </w:p>
        </w:tc>
      </w:tr>
      <w:tr w:rsidR="000C60C7" w:rsidRPr="000C60C7" w14:paraId="71B49DD4"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tcPr>
          <w:p w14:paraId="1BC15BAF" w14:textId="77777777" w:rsidR="000C60C7" w:rsidRPr="00976CBD" w:rsidRDefault="000C60C7" w:rsidP="001C671C"/>
        </w:tc>
        <w:tc>
          <w:tcPr>
            <w:tcW w:w="1934" w:type="dxa"/>
          </w:tcPr>
          <w:p w14:paraId="63E7020B"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Contract management</w:t>
            </w:r>
          </w:p>
        </w:tc>
        <w:tc>
          <w:tcPr>
            <w:tcW w:w="4967" w:type="dxa"/>
          </w:tcPr>
          <w:p w14:paraId="1CCBEBE9" w14:textId="28485E85" w:rsidR="00E20B55" w:rsidRPr="001C671C" w:rsidRDefault="00E20B55" w:rsidP="001C671C">
            <w:pPr>
              <w:pStyle w:val="ListBullet2"/>
              <w:cnfStyle w:val="000000100000" w:firstRow="0" w:lastRow="0" w:firstColumn="0" w:lastColumn="0" w:oddVBand="0" w:evenVBand="0" w:oddHBand="1" w:evenHBand="0" w:firstRowFirstColumn="0" w:firstRowLastColumn="0" w:lastRowFirstColumn="0" w:lastRowLastColumn="0"/>
            </w:pPr>
            <w:r w:rsidRPr="001C671C">
              <w:t>Adopt culturally anchored, relational approaches to commissioning health services and managing contracts.</w:t>
            </w:r>
          </w:p>
          <w:p w14:paraId="3046460D" w14:textId="79892135"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Monitor performance, manage risks</w:t>
            </w:r>
            <w:r w:rsidR="00042E32" w:rsidRPr="001C671C">
              <w:t>.</w:t>
            </w:r>
          </w:p>
          <w:p w14:paraId="12FA2356" w14:textId="71D31DA5"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Treat underperformance with strength</w:t>
            </w:r>
            <w:r w:rsidR="00042E32" w:rsidRPr="001C671C">
              <w:t>s</w:t>
            </w:r>
            <w:r w:rsidRPr="001C671C">
              <w:t>-based approaches.</w:t>
            </w:r>
          </w:p>
          <w:p w14:paraId="212A6014"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Enable responsive contract variations based on outcomes and feedback.</w:t>
            </w:r>
          </w:p>
        </w:tc>
      </w:tr>
      <w:tr w:rsidR="000C60C7" w:rsidRPr="000C60C7" w14:paraId="57A68266"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val="restart"/>
          </w:tcPr>
          <w:p w14:paraId="3917C18E" w14:textId="77777777" w:rsidR="000C60C7" w:rsidRPr="001C671C" w:rsidRDefault="000C60C7" w:rsidP="001C671C">
            <w:pPr>
              <w:pStyle w:val="Tablelistnumber"/>
            </w:pPr>
            <w:r w:rsidRPr="001C671C">
              <w:t>Monitoring, evaluation and assurance</w:t>
            </w:r>
          </w:p>
        </w:tc>
        <w:tc>
          <w:tcPr>
            <w:tcW w:w="1934" w:type="dxa"/>
          </w:tcPr>
          <w:p w14:paraId="5F694205" w14:textId="77777777"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5E663436">
              <w:t>Performance monitoring</w:t>
            </w:r>
          </w:p>
        </w:tc>
        <w:tc>
          <w:tcPr>
            <w:tcW w:w="4967" w:type="dxa"/>
          </w:tcPr>
          <w:p w14:paraId="6416A70F" w14:textId="2DF4760F"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Implement regular performance monitoring against KPIs.</w:t>
            </w:r>
            <w:r w:rsidR="00DB7978" w:rsidRPr="00227E41">
              <w:rPr>
                <w:rStyle w:val="FootnoteReference"/>
              </w:rPr>
              <w:footnoteReference w:id="3"/>
            </w:r>
          </w:p>
          <w:p w14:paraId="5413E435" w14:textId="4E41BF7B"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Analyse provider and system</w:t>
            </w:r>
            <w:r w:rsidR="006B0851" w:rsidRPr="001C671C">
              <w:t>s</w:t>
            </w:r>
            <w:r w:rsidRPr="001C671C">
              <w:t>-level data.</w:t>
            </w:r>
          </w:p>
          <w:p w14:paraId="74FB8C67"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Require structured reporting and narrative-based good news stories</w:t>
            </w:r>
            <w:r w:rsidR="00F5627D" w:rsidRPr="001C671C">
              <w:t xml:space="preserve"> to align with ITC’s core outcomes</w:t>
            </w:r>
            <w:r w:rsidRPr="001C671C">
              <w:t>.</w:t>
            </w:r>
          </w:p>
          <w:p w14:paraId="1A26A577" w14:textId="4D89DAFD" w:rsidR="00FA008A" w:rsidRPr="001C671C" w:rsidRDefault="00FA008A" w:rsidP="001C671C">
            <w:pPr>
              <w:pStyle w:val="ListBullet2"/>
              <w:cnfStyle w:val="000000000000" w:firstRow="0" w:lastRow="0" w:firstColumn="0" w:lastColumn="0" w:oddVBand="0" w:evenVBand="0" w:oddHBand="0" w:evenHBand="0" w:firstRowFirstColumn="0" w:firstRowLastColumn="0" w:lastRowFirstColumn="0" w:lastRowLastColumn="0"/>
            </w:pPr>
            <w:r w:rsidRPr="001C671C">
              <w:t>Consider and implement platforms (e.g., communication information systems)</w:t>
            </w:r>
            <w:r w:rsidR="006A6091" w:rsidRPr="001C671C">
              <w:t xml:space="preserve"> that efficiently capture information to optimise this process.</w:t>
            </w:r>
          </w:p>
        </w:tc>
      </w:tr>
      <w:tr w:rsidR="009D5B75" w:rsidRPr="000C60C7" w14:paraId="4037DEB8"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tcPr>
          <w:p w14:paraId="29E5576D" w14:textId="77777777" w:rsidR="000C60C7" w:rsidRPr="00976CBD" w:rsidRDefault="000C60C7" w:rsidP="001C671C"/>
        </w:tc>
        <w:tc>
          <w:tcPr>
            <w:tcW w:w="1934" w:type="dxa"/>
          </w:tcPr>
          <w:p w14:paraId="5E57B84D"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 xml:space="preserve">Evaluation </w:t>
            </w:r>
          </w:p>
        </w:tc>
        <w:tc>
          <w:tcPr>
            <w:tcW w:w="4967" w:type="dxa"/>
          </w:tcPr>
          <w:p w14:paraId="66465BA7"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Commission independent evaluations where appropriate.</w:t>
            </w:r>
          </w:p>
          <w:p w14:paraId="34371546" w14:textId="323F2994"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lastRenderedPageBreak/>
              <w:t xml:space="preserve">Use participatory and culturally </w:t>
            </w:r>
            <w:r w:rsidR="003A5D86" w:rsidRPr="001C671C">
              <w:t xml:space="preserve">safe </w:t>
            </w:r>
            <w:r w:rsidRPr="001C671C">
              <w:t>methodologies.</w:t>
            </w:r>
          </w:p>
        </w:tc>
      </w:tr>
      <w:tr w:rsidR="000C60C7" w:rsidRPr="000C60C7" w14:paraId="3F2E59CA"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tcPr>
          <w:p w14:paraId="3A680CD7" w14:textId="77777777" w:rsidR="000C60C7" w:rsidRPr="00976CBD" w:rsidRDefault="000C60C7" w:rsidP="001C671C"/>
        </w:tc>
        <w:tc>
          <w:tcPr>
            <w:tcW w:w="1934" w:type="dxa"/>
          </w:tcPr>
          <w:p w14:paraId="44C15F55" w14:textId="77777777"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00976CBD">
              <w:t>Governance and assurance</w:t>
            </w:r>
          </w:p>
        </w:tc>
        <w:tc>
          <w:tcPr>
            <w:tcW w:w="4967" w:type="dxa"/>
          </w:tcPr>
          <w:p w14:paraId="497327CE" w14:textId="32379A7E" w:rsidR="000C60C7" w:rsidRPr="001C671C" w:rsidRDefault="001C0EBA" w:rsidP="001C671C">
            <w:pPr>
              <w:pStyle w:val="ListBullet2"/>
              <w:cnfStyle w:val="000000000000" w:firstRow="0" w:lastRow="0" w:firstColumn="0" w:lastColumn="0" w:oddVBand="0" w:evenVBand="0" w:oddHBand="0" w:evenHBand="0" w:firstRowFirstColumn="0" w:firstRowLastColumn="0" w:lastRowFirstColumn="0" w:lastRowLastColumn="0"/>
            </w:pPr>
            <w:r w:rsidRPr="001C671C">
              <w:t xml:space="preserve">Ensure that all health workers delivering services to vulnerable clients hold the appropriate qualifications, registrations and have </w:t>
            </w:r>
            <w:r w:rsidR="00E645B3" w:rsidRPr="001C671C">
              <w:t>completed all mandatory safety checks.</w:t>
            </w:r>
          </w:p>
          <w:p w14:paraId="61CAE133"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Use ethical, transparent and accountable practices.</w:t>
            </w:r>
          </w:p>
        </w:tc>
      </w:tr>
      <w:tr w:rsidR="000C60C7" w:rsidRPr="000C60C7" w14:paraId="471A78EF"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val="restart"/>
          </w:tcPr>
          <w:p w14:paraId="70376250" w14:textId="77777777" w:rsidR="000C60C7" w:rsidRPr="001C671C" w:rsidRDefault="000C60C7" w:rsidP="001C671C">
            <w:pPr>
              <w:pStyle w:val="Tablelistnumber"/>
            </w:pPr>
            <w:r w:rsidRPr="001C671C">
              <w:t>Review and improvement</w:t>
            </w:r>
          </w:p>
        </w:tc>
        <w:tc>
          <w:tcPr>
            <w:tcW w:w="1934" w:type="dxa"/>
          </w:tcPr>
          <w:p w14:paraId="17C37F4A"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 xml:space="preserve">Service improvement </w:t>
            </w:r>
          </w:p>
        </w:tc>
        <w:tc>
          <w:tcPr>
            <w:tcW w:w="4967" w:type="dxa"/>
          </w:tcPr>
          <w:p w14:paraId="41F706D6"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Use evidence and feedback to refine service design and delivery.</w:t>
            </w:r>
          </w:p>
          <w:p w14:paraId="3CCE0820"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Facilitate shared learning forums with providers.</w:t>
            </w:r>
          </w:p>
        </w:tc>
      </w:tr>
      <w:tr w:rsidR="009D5B75" w:rsidRPr="000C60C7" w14:paraId="1142B3D0"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tcPr>
          <w:p w14:paraId="5D9E4356" w14:textId="77777777" w:rsidR="000C60C7" w:rsidRPr="00976CBD" w:rsidRDefault="000C60C7" w:rsidP="001C671C"/>
        </w:tc>
        <w:tc>
          <w:tcPr>
            <w:tcW w:w="1934" w:type="dxa"/>
          </w:tcPr>
          <w:p w14:paraId="1B8A2445" w14:textId="77777777"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00976CBD">
              <w:t>Feedback and accountability</w:t>
            </w:r>
          </w:p>
        </w:tc>
        <w:tc>
          <w:tcPr>
            <w:tcW w:w="4967" w:type="dxa"/>
          </w:tcPr>
          <w:p w14:paraId="1D9E1F5E"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Close feedback loops with communities, providers and partners.</w:t>
            </w:r>
          </w:p>
          <w:p w14:paraId="56262ABF"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Publish outcomes and learning where appropriate.</w:t>
            </w:r>
          </w:p>
        </w:tc>
      </w:tr>
      <w:tr w:rsidR="009D5B75" w:rsidRPr="000C60C7" w14:paraId="75303584"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tcPr>
          <w:p w14:paraId="46F8DE8C" w14:textId="77777777" w:rsidR="000C60C7" w:rsidRPr="00976CBD" w:rsidRDefault="000C60C7" w:rsidP="001C671C"/>
        </w:tc>
        <w:tc>
          <w:tcPr>
            <w:tcW w:w="1934" w:type="dxa"/>
          </w:tcPr>
          <w:p w14:paraId="547E6C3C"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Sustainable planning</w:t>
            </w:r>
          </w:p>
        </w:tc>
        <w:tc>
          <w:tcPr>
            <w:tcW w:w="4967" w:type="dxa"/>
          </w:tcPr>
          <w:p w14:paraId="110B2FAA" w14:textId="77777777"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Support long-term viability through workforce, leveraging economies of scale, cross-sector partnerships and health system enablers.</w:t>
            </w:r>
          </w:p>
        </w:tc>
      </w:tr>
      <w:tr w:rsidR="009D5B75" w:rsidRPr="000C60C7" w14:paraId="412E2CE0"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tcPr>
          <w:p w14:paraId="558201F6" w14:textId="77777777" w:rsidR="000C60C7" w:rsidRPr="00976CBD" w:rsidRDefault="000C60C7" w:rsidP="001C671C"/>
        </w:tc>
        <w:tc>
          <w:tcPr>
            <w:tcW w:w="1934" w:type="dxa"/>
          </w:tcPr>
          <w:p w14:paraId="779221B1" w14:textId="77777777"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00976CBD">
              <w:t>Communities of practice</w:t>
            </w:r>
          </w:p>
        </w:tc>
        <w:tc>
          <w:tcPr>
            <w:tcW w:w="4967" w:type="dxa"/>
          </w:tcPr>
          <w:p w14:paraId="3C236FA6" w14:textId="5A20C785"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Establish and su</w:t>
            </w:r>
            <w:r w:rsidR="004C7110" w:rsidRPr="001C671C">
              <w:t>stain</w:t>
            </w:r>
            <w:r w:rsidRPr="001C671C">
              <w:t xml:space="preserve"> </w:t>
            </w:r>
            <w:r w:rsidR="00453140" w:rsidRPr="001C671C">
              <w:t>peer support and professional development activities for ATSIHPOs, Care Coordinators and Outreach Workers</w:t>
            </w:r>
            <w:r w:rsidRPr="001C671C">
              <w:t xml:space="preserve"> across the region.</w:t>
            </w:r>
          </w:p>
          <w:p w14:paraId="367EFFF5"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Enable knowledge sharing, innovation and continuous learning.</w:t>
            </w:r>
          </w:p>
        </w:tc>
      </w:tr>
      <w:tr w:rsidR="000C60C7" w:rsidRPr="000C60C7" w14:paraId="6AE1258B"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tcPr>
          <w:p w14:paraId="237C632C" w14:textId="77777777" w:rsidR="000C60C7" w:rsidRPr="00976CBD" w:rsidRDefault="000C60C7" w:rsidP="001C671C"/>
        </w:tc>
        <w:tc>
          <w:tcPr>
            <w:tcW w:w="1934" w:type="dxa"/>
          </w:tcPr>
          <w:p w14:paraId="75F541A2"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 xml:space="preserve">Advocacy </w:t>
            </w:r>
          </w:p>
        </w:tc>
        <w:tc>
          <w:tcPr>
            <w:tcW w:w="4967" w:type="dxa"/>
          </w:tcPr>
          <w:p w14:paraId="5CE3DBF6" w14:textId="2EAA6FAA" w:rsidR="000C60C7" w:rsidRPr="001C671C" w:rsidRDefault="0058097C" w:rsidP="001C671C">
            <w:pPr>
              <w:pStyle w:val="ListBullet2"/>
              <w:cnfStyle w:val="000000100000" w:firstRow="0" w:lastRow="0" w:firstColumn="0" w:lastColumn="0" w:oddVBand="0" w:evenVBand="0" w:oddHBand="1" w:evenHBand="0" w:firstRowFirstColumn="0" w:firstRowLastColumn="0" w:lastRowFirstColumn="0" w:lastRowLastColumn="0"/>
            </w:pPr>
            <w:r w:rsidRPr="001C671C">
              <w:t>Amplify the</w:t>
            </w:r>
            <w:r w:rsidR="000C60C7" w:rsidRPr="001C671C">
              <w:t xml:space="preserve"> voice </w:t>
            </w:r>
            <w:r w:rsidRPr="001C671C">
              <w:t xml:space="preserve">of </w:t>
            </w:r>
            <w:r w:rsidR="000C60C7" w:rsidRPr="001C671C">
              <w:t>service providers with government funders, and regulators.</w:t>
            </w:r>
          </w:p>
          <w:p w14:paraId="2C7A4CCD" w14:textId="6565988B"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Address policy and regulatory barriers to effective program delivery</w:t>
            </w:r>
            <w:r w:rsidR="00CB2681" w:rsidRPr="001C671C">
              <w:t xml:space="preserve"> which </w:t>
            </w:r>
            <w:r w:rsidR="007402EF" w:rsidRPr="001C671C">
              <w:t>may</w:t>
            </w:r>
            <w:r w:rsidR="009664E5" w:rsidRPr="001C671C">
              <w:t xml:space="preserve"> </w:t>
            </w:r>
            <w:r w:rsidR="00CB2681" w:rsidRPr="001C671C">
              <w:t xml:space="preserve">include </w:t>
            </w:r>
            <w:r w:rsidR="007402EF" w:rsidRPr="001C671C">
              <w:t>working</w:t>
            </w:r>
            <w:r w:rsidR="009664E5" w:rsidRPr="001C671C">
              <w:t xml:space="preserve"> with other primary care providers and networks.</w:t>
            </w:r>
          </w:p>
        </w:tc>
      </w:tr>
      <w:tr w:rsidR="009D5B75" w:rsidRPr="000C60C7" w14:paraId="549149BA" w14:textId="77777777" w:rsidTr="5E663436">
        <w:tc>
          <w:tcPr>
            <w:cnfStyle w:val="001000000000" w:firstRow="0" w:lastRow="0" w:firstColumn="1" w:lastColumn="0" w:oddVBand="0" w:evenVBand="0" w:oddHBand="0" w:evenHBand="0" w:firstRowFirstColumn="0" w:firstRowLastColumn="0" w:lastRowFirstColumn="0" w:lastRowLastColumn="0"/>
            <w:tcW w:w="2120" w:type="dxa"/>
            <w:vMerge w:val="restart"/>
          </w:tcPr>
          <w:p w14:paraId="5A6A33DD" w14:textId="77777777" w:rsidR="000C60C7" w:rsidRPr="001C671C" w:rsidRDefault="000C60C7" w:rsidP="001C671C">
            <w:pPr>
              <w:pStyle w:val="Tablelistnumber"/>
            </w:pPr>
            <w:r w:rsidRPr="001C671C">
              <w:t>Transition management</w:t>
            </w:r>
          </w:p>
        </w:tc>
        <w:tc>
          <w:tcPr>
            <w:tcW w:w="1934" w:type="dxa"/>
          </w:tcPr>
          <w:p w14:paraId="3754948E" w14:textId="77777777" w:rsidR="000C60C7" w:rsidRPr="00976CBD" w:rsidRDefault="000C60C7" w:rsidP="001C671C">
            <w:pPr>
              <w:cnfStyle w:val="000000000000" w:firstRow="0" w:lastRow="0" w:firstColumn="0" w:lastColumn="0" w:oddVBand="0" w:evenVBand="0" w:oddHBand="0" w:evenHBand="0" w:firstRowFirstColumn="0" w:firstRowLastColumn="0" w:lastRowFirstColumn="0" w:lastRowLastColumn="0"/>
            </w:pPr>
            <w:r w:rsidRPr="00976CBD">
              <w:t>Decommissioning</w:t>
            </w:r>
          </w:p>
        </w:tc>
        <w:tc>
          <w:tcPr>
            <w:tcW w:w="4967" w:type="dxa"/>
          </w:tcPr>
          <w:p w14:paraId="42D3DB4F" w14:textId="77777777" w:rsidR="000C60C7" w:rsidRPr="001C671C" w:rsidRDefault="000C60C7" w:rsidP="001C671C">
            <w:pPr>
              <w:pStyle w:val="ListBullet2"/>
              <w:cnfStyle w:val="000000000000" w:firstRow="0" w:lastRow="0" w:firstColumn="0" w:lastColumn="0" w:oddVBand="0" w:evenVBand="0" w:oddHBand="0" w:evenHBand="0" w:firstRowFirstColumn="0" w:firstRowLastColumn="0" w:lastRowFirstColumn="0" w:lastRowLastColumn="0"/>
            </w:pPr>
            <w:r w:rsidRPr="001C671C">
              <w:t>Decisions to be transparent, evidence-based and include input from all providers and affected communities.</w:t>
            </w:r>
          </w:p>
        </w:tc>
      </w:tr>
      <w:tr w:rsidR="000C60C7" w:rsidRPr="000C60C7" w14:paraId="472C1E8C" w14:textId="77777777" w:rsidTr="5E66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dxa"/>
            <w:vMerge/>
          </w:tcPr>
          <w:p w14:paraId="64C65137" w14:textId="77777777" w:rsidR="000C60C7" w:rsidRPr="00976CBD" w:rsidRDefault="000C60C7" w:rsidP="001C671C"/>
        </w:tc>
        <w:tc>
          <w:tcPr>
            <w:tcW w:w="1934" w:type="dxa"/>
          </w:tcPr>
          <w:p w14:paraId="2726935B" w14:textId="77777777" w:rsidR="000C60C7" w:rsidRPr="00976CBD" w:rsidRDefault="000C60C7" w:rsidP="001C671C">
            <w:pPr>
              <w:cnfStyle w:val="000000100000" w:firstRow="0" w:lastRow="0" w:firstColumn="0" w:lastColumn="0" w:oddVBand="0" w:evenVBand="0" w:oddHBand="1" w:evenHBand="0" w:firstRowFirstColumn="0" w:firstRowLastColumn="0" w:lastRowFirstColumn="0" w:lastRowLastColumn="0"/>
            </w:pPr>
            <w:r w:rsidRPr="00976CBD">
              <w:t>Change management</w:t>
            </w:r>
          </w:p>
        </w:tc>
        <w:tc>
          <w:tcPr>
            <w:tcW w:w="4967" w:type="dxa"/>
          </w:tcPr>
          <w:p w14:paraId="0DEFE4E0" w14:textId="6E65CCF0" w:rsidR="000C60C7" w:rsidRPr="001C671C" w:rsidRDefault="000C60C7" w:rsidP="001C671C">
            <w:pPr>
              <w:pStyle w:val="ListBullet2"/>
              <w:cnfStyle w:val="000000100000" w:firstRow="0" w:lastRow="0" w:firstColumn="0" w:lastColumn="0" w:oddVBand="0" w:evenVBand="0" w:oddHBand="1" w:evenHBand="0" w:firstRowFirstColumn="0" w:firstRowLastColumn="0" w:lastRowFirstColumn="0" w:lastRowLastColumn="0"/>
            </w:pPr>
            <w:r w:rsidRPr="001C671C">
              <w:t xml:space="preserve">Communication plans, transition </w:t>
            </w:r>
            <w:r w:rsidR="0040266F" w:rsidRPr="001C671C">
              <w:t>supports and</w:t>
            </w:r>
            <w:r w:rsidRPr="001C671C">
              <w:t xml:space="preserve"> monitoring to avoid service disruption o</w:t>
            </w:r>
            <w:r w:rsidR="00EA78E4" w:rsidRPr="001C671C">
              <w:t>r</w:t>
            </w:r>
            <w:r w:rsidRPr="001C671C">
              <w:t xml:space="preserve"> erosion of trust</w:t>
            </w:r>
            <w:r w:rsidR="00EA78E4" w:rsidRPr="001C671C">
              <w:t>.</w:t>
            </w:r>
          </w:p>
        </w:tc>
      </w:tr>
    </w:tbl>
    <w:p w14:paraId="4A1AEFF0" w14:textId="77777777" w:rsidR="0075187C" w:rsidRPr="00227E41" w:rsidRDefault="0075187C" w:rsidP="00227E41">
      <w:pPr>
        <w:pStyle w:val="Heading3"/>
        <w:sectPr w:rsidR="0075187C" w:rsidRPr="00227E41" w:rsidSect="00FC6E29">
          <w:pgSz w:w="11906" w:h="16838"/>
          <w:pgMar w:top="1440" w:right="1440" w:bottom="1440" w:left="1440" w:header="708" w:footer="708" w:gutter="0"/>
          <w:cols w:space="708"/>
          <w:titlePg/>
          <w:docGrid w:linePitch="360"/>
        </w:sectPr>
      </w:pPr>
    </w:p>
    <w:p w14:paraId="1DFC70E0" w14:textId="4146CA1B" w:rsidR="000C60C7" w:rsidRPr="00227E41" w:rsidRDefault="00C416D6" w:rsidP="00227E41">
      <w:pPr>
        <w:pStyle w:val="Heading2"/>
      </w:pPr>
      <w:bookmarkStart w:id="9" w:name="_Toc213403070"/>
      <w:r w:rsidRPr="00227E41">
        <w:lastRenderedPageBreak/>
        <w:t>Grant management</w:t>
      </w:r>
      <w:bookmarkEnd w:id="9"/>
      <w:r w:rsidR="000C60C7" w:rsidRPr="00227E41">
        <w:t xml:space="preserve"> </w:t>
      </w:r>
    </w:p>
    <w:p w14:paraId="5BC9D745" w14:textId="3AF46345" w:rsidR="000C60C7" w:rsidRPr="001C671C" w:rsidRDefault="000C60C7" w:rsidP="001C671C">
      <w:r w:rsidRPr="001C671C">
        <w:t xml:space="preserve">The commissioning body will enter into a legally binding grant agreement with the Commonwealth and must comply with its terms and conditions. Sample grant agreements are available on the </w:t>
      </w:r>
      <w:hyperlink r:id="rId19" w:tooltip="Link to the Grants Toolkit on the Department of Finance website" w:history="1">
        <w:r w:rsidRPr="001C671C">
          <w:rPr>
            <w:rStyle w:val="Hyperlink"/>
          </w:rPr>
          <w:t>Department of Finance’s website</w:t>
        </w:r>
      </w:hyperlink>
      <w:r w:rsidRPr="001C671C">
        <w:t xml:space="preserve">. </w:t>
      </w:r>
      <w:r w:rsidR="00DC063E" w:rsidRPr="001C671C">
        <w:t xml:space="preserve">The </w:t>
      </w:r>
      <w:hyperlink r:id="rId20" w:tooltip="Link to the Archived Grant Opportunity View for Integrated Team Care (GO6837) on Grant Connect" w:history="1">
        <w:r w:rsidR="00DC063E" w:rsidRPr="001C671C">
          <w:rPr>
            <w:rStyle w:val="Hyperlink"/>
          </w:rPr>
          <w:t>Grant Opportunity Guidelines</w:t>
        </w:r>
      </w:hyperlink>
      <w:r w:rsidR="00DC063E" w:rsidRPr="001C671C">
        <w:t xml:space="preserve"> </w:t>
      </w:r>
      <w:r w:rsidR="00C70D3D" w:rsidRPr="001C671C">
        <w:t xml:space="preserve">for the ITC program outline the objectives of the program </w:t>
      </w:r>
      <w:r w:rsidR="00F02665" w:rsidRPr="001C671C">
        <w:t xml:space="preserve">and can be accessed by creating an account on Grant Connect. </w:t>
      </w:r>
    </w:p>
    <w:p w14:paraId="695455B8" w14:textId="71680288" w:rsidR="000C60C7" w:rsidRPr="001C671C" w:rsidRDefault="000C60C7" w:rsidP="001C671C">
      <w:r w:rsidRPr="001C671C">
        <w:t xml:space="preserve">Commissioning bodies can expect the following reporting obligations to the Commonwealth </w:t>
      </w:r>
      <w:r w:rsidR="00700C4E" w:rsidRPr="001C671C">
        <w:t xml:space="preserve">to </w:t>
      </w:r>
      <w:r w:rsidRPr="001C671C">
        <w:t>apply across the program milestones.</w:t>
      </w:r>
    </w:p>
    <w:tbl>
      <w:tblPr>
        <w:tblStyle w:val="ListTable3-Accent21"/>
        <w:tblW w:w="0" w:type="auto"/>
        <w:tblInd w:w="-5" w:type="dxa"/>
        <w:tblLook w:val="04A0" w:firstRow="1" w:lastRow="0" w:firstColumn="1" w:lastColumn="0" w:noHBand="0" w:noVBand="1"/>
      </w:tblPr>
      <w:tblGrid>
        <w:gridCol w:w="3005"/>
        <w:gridCol w:w="5926"/>
      </w:tblGrid>
      <w:tr w:rsidR="000C60C7" w:rsidRPr="000C60C7" w14:paraId="606501B1" w14:textId="77777777" w:rsidTr="00CF214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05" w:type="dxa"/>
            <w:tcBorders>
              <w:top w:val="single" w:sz="4" w:space="0" w:color="0E6B9A"/>
              <w:left w:val="single" w:sz="4" w:space="0" w:color="0E6B9A"/>
              <w:bottom w:val="single" w:sz="4" w:space="0" w:color="0E6B9A"/>
              <w:right w:val="single" w:sz="4" w:space="0" w:color="0E6B9A"/>
            </w:tcBorders>
            <w:shd w:val="clear" w:color="auto" w:fill="0E6B9A"/>
          </w:tcPr>
          <w:p w14:paraId="63696402" w14:textId="3A78CD66" w:rsidR="000C60C7" w:rsidRPr="001C671C" w:rsidRDefault="000C60C7" w:rsidP="001C671C">
            <w:r w:rsidRPr="001C671C">
              <w:t>Report type</w:t>
            </w:r>
          </w:p>
        </w:tc>
        <w:tc>
          <w:tcPr>
            <w:tcW w:w="5926" w:type="dxa"/>
            <w:tcBorders>
              <w:top w:val="single" w:sz="4" w:space="0" w:color="0E6B9A"/>
              <w:left w:val="single" w:sz="4" w:space="0" w:color="0E6B9A"/>
              <w:bottom w:val="single" w:sz="4" w:space="0" w:color="0E6B9A"/>
              <w:right w:val="single" w:sz="4" w:space="0" w:color="0E6B9A"/>
            </w:tcBorders>
            <w:shd w:val="clear" w:color="auto" w:fill="0E6B9A"/>
          </w:tcPr>
          <w:p w14:paraId="5D2E9DB5" w14:textId="476C8D35" w:rsidR="000C60C7" w:rsidRPr="001C671C" w:rsidRDefault="000C60C7" w:rsidP="001C671C">
            <w:pPr>
              <w:cnfStyle w:val="100000000000" w:firstRow="1" w:lastRow="0" w:firstColumn="0" w:lastColumn="0" w:oddVBand="0" w:evenVBand="0" w:oddHBand="0" w:evenHBand="0" w:firstRowFirstColumn="0" w:firstRowLastColumn="0" w:lastRowFirstColumn="0" w:lastRowLastColumn="0"/>
            </w:pPr>
            <w:r w:rsidRPr="000C60C7">
              <w:t>Details</w:t>
            </w:r>
          </w:p>
        </w:tc>
      </w:tr>
      <w:tr w:rsidR="000C60C7" w:rsidRPr="000C60C7" w14:paraId="3DE14623" w14:textId="77777777" w:rsidTr="000C6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0E6B9A"/>
              <w:left w:val="single" w:sz="4" w:space="0" w:color="0E6B9A"/>
              <w:bottom w:val="single" w:sz="4" w:space="0" w:color="0E6B9A"/>
              <w:right w:val="single" w:sz="4" w:space="0" w:color="0E6B9A"/>
            </w:tcBorders>
          </w:tcPr>
          <w:p w14:paraId="1DFED472" w14:textId="77777777" w:rsidR="000C60C7" w:rsidRPr="00976CBD" w:rsidRDefault="000C60C7" w:rsidP="001C671C">
            <w:pPr>
              <w:rPr>
                <w:sz w:val="20"/>
                <w:szCs w:val="22"/>
              </w:rPr>
            </w:pPr>
            <w:r w:rsidRPr="001C671C">
              <w:t>Needs assessment</w:t>
            </w:r>
            <w:r w:rsidRPr="00227E41">
              <w:rPr>
                <w:vertAlign w:val="superscript"/>
              </w:rPr>
              <w:footnoteReference w:id="4"/>
            </w:r>
          </w:p>
        </w:tc>
        <w:tc>
          <w:tcPr>
            <w:tcW w:w="5926" w:type="dxa"/>
            <w:tcBorders>
              <w:top w:val="single" w:sz="4" w:space="0" w:color="0E6B9A"/>
              <w:left w:val="single" w:sz="4" w:space="0" w:color="0E6B9A"/>
              <w:bottom w:val="single" w:sz="4" w:space="0" w:color="0E6B9A"/>
              <w:right w:val="single" w:sz="4" w:space="0" w:color="0E6B9A"/>
            </w:tcBorders>
          </w:tcPr>
          <w:p w14:paraId="5428D787"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A regional assessment using quantitative and qualitative data to identify health gaps and demonstrate how the ITC program will address them. Ensures an evidence-based, targeted approach aligned with local needs and health infrastructure/pathways.</w:t>
            </w:r>
          </w:p>
        </w:tc>
      </w:tr>
      <w:tr w:rsidR="000C60C7" w:rsidRPr="000C60C7" w14:paraId="5BCAC73C" w14:textId="77777777" w:rsidTr="000C60C7">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0E6B9A"/>
              <w:left w:val="single" w:sz="4" w:space="0" w:color="0E6B9A"/>
              <w:bottom w:val="single" w:sz="4" w:space="0" w:color="0E6B9A"/>
              <w:right w:val="single" w:sz="4" w:space="0" w:color="0E6B9A"/>
            </w:tcBorders>
          </w:tcPr>
          <w:p w14:paraId="064C7C5E" w14:textId="77777777" w:rsidR="000C60C7" w:rsidRPr="001C671C" w:rsidRDefault="000C60C7" w:rsidP="001C671C">
            <w:r w:rsidRPr="001C671C">
              <w:t>Activity work plan</w:t>
            </w:r>
          </w:p>
        </w:tc>
        <w:tc>
          <w:tcPr>
            <w:tcW w:w="5926" w:type="dxa"/>
            <w:tcBorders>
              <w:top w:val="single" w:sz="4" w:space="0" w:color="0E6B9A"/>
              <w:left w:val="single" w:sz="4" w:space="0" w:color="0E6B9A"/>
              <w:bottom w:val="single" w:sz="4" w:space="0" w:color="0E6B9A"/>
              <w:right w:val="single" w:sz="4" w:space="0" w:color="0E6B9A"/>
            </w:tcBorders>
          </w:tcPr>
          <w:p w14:paraId="3F4BD8D9"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A detailed plan and budget outlining objectives, key activities, timelines, and funding allocations for each financial year of the Activity Period. This should demonstrate alignment with grant outcomes and responsible use of funds.</w:t>
            </w:r>
          </w:p>
        </w:tc>
      </w:tr>
      <w:tr w:rsidR="000C60C7" w:rsidRPr="000C60C7" w14:paraId="71354330" w14:textId="77777777" w:rsidTr="000C6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0E6B9A"/>
              <w:left w:val="single" w:sz="4" w:space="0" w:color="0E6B9A"/>
              <w:bottom w:val="single" w:sz="4" w:space="0" w:color="0E6B9A"/>
              <w:right w:val="single" w:sz="4" w:space="0" w:color="0E6B9A"/>
            </w:tcBorders>
          </w:tcPr>
          <w:p w14:paraId="0D4A30CD" w14:textId="77777777" w:rsidR="000C60C7" w:rsidRPr="001C671C" w:rsidRDefault="000C60C7" w:rsidP="001C671C">
            <w:r w:rsidRPr="001C671C">
              <w:t>Performance reports</w:t>
            </w:r>
          </w:p>
        </w:tc>
        <w:tc>
          <w:tcPr>
            <w:tcW w:w="5926" w:type="dxa"/>
            <w:tcBorders>
              <w:top w:val="single" w:sz="4" w:space="0" w:color="0E6B9A"/>
              <w:left w:val="single" w:sz="4" w:space="0" w:color="0E6B9A"/>
              <w:bottom w:val="single" w:sz="4" w:space="0" w:color="0E6B9A"/>
              <w:right w:val="single" w:sz="4" w:space="0" w:color="0E6B9A"/>
            </w:tcBorders>
          </w:tcPr>
          <w:p w14:paraId="723EE071"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 xml:space="preserve">Twelve-month performance reports detailing progress against objectives/KPIs, key achievements, challenges, and any variations to the Activity Work Plan, ensuring accountability and continuous improvement for each financial year. </w:t>
            </w:r>
          </w:p>
        </w:tc>
      </w:tr>
      <w:tr w:rsidR="000C60C7" w:rsidRPr="000C60C7" w14:paraId="5A46D2E0" w14:textId="77777777" w:rsidTr="000C60C7">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0E6B9A"/>
              <w:left w:val="single" w:sz="4" w:space="0" w:color="0E6B9A"/>
              <w:bottom w:val="single" w:sz="4" w:space="0" w:color="0E6B9A"/>
              <w:right w:val="single" w:sz="4" w:space="0" w:color="0E6B9A"/>
            </w:tcBorders>
          </w:tcPr>
          <w:p w14:paraId="235F7742" w14:textId="77777777" w:rsidR="000C60C7" w:rsidRPr="001C671C" w:rsidRDefault="000C60C7" w:rsidP="001C671C">
            <w:r w:rsidRPr="001C671C">
              <w:t>Final report</w:t>
            </w:r>
          </w:p>
        </w:tc>
        <w:tc>
          <w:tcPr>
            <w:tcW w:w="5926" w:type="dxa"/>
            <w:tcBorders>
              <w:top w:val="single" w:sz="4" w:space="0" w:color="0E6B9A"/>
              <w:left w:val="single" w:sz="4" w:space="0" w:color="0E6B9A"/>
              <w:bottom w:val="single" w:sz="4" w:space="0" w:color="0E6B9A"/>
              <w:right w:val="single" w:sz="4" w:space="0" w:color="0E6B9A"/>
            </w:tcBorders>
          </w:tcPr>
          <w:p w14:paraId="206EEB55" w14:textId="7DA5275A"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A comprehensive summary of program outcomes at completion of the grant period, including</w:t>
            </w:r>
            <w:r w:rsidR="000201C8" w:rsidRPr="001C671C">
              <w:t xml:space="preserve"> any</w:t>
            </w:r>
            <w:r w:rsidRPr="001C671C">
              <w:t xml:space="preserve"> </w:t>
            </w:r>
            <w:r w:rsidR="000201C8" w:rsidRPr="001C671C">
              <w:t>formal</w:t>
            </w:r>
            <w:r w:rsidRPr="001C671C">
              <w:t xml:space="preserve"> evaluation</w:t>
            </w:r>
            <w:r w:rsidR="000201C8" w:rsidRPr="001C671C">
              <w:t>s</w:t>
            </w:r>
            <w:r w:rsidRPr="001C671C">
              <w:t>, key findings and lessons learn</w:t>
            </w:r>
            <w:r w:rsidR="000201C8" w:rsidRPr="001C671C">
              <w:t>t</w:t>
            </w:r>
            <w:r w:rsidRPr="001C671C">
              <w:t xml:space="preserve"> </w:t>
            </w:r>
            <w:r w:rsidR="000201C8" w:rsidRPr="001C671C">
              <w:t>for the</w:t>
            </w:r>
            <w:r w:rsidRPr="001C671C">
              <w:t xml:space="preserve"> grant activity across the entire grant period.</w:t>
            </w:r>
          </w:p>
        </w:tc>
      </w:tr>
      <w:tr w:rsidR="000C60C7" w:rsidRPr="000C60C7" w14:paraId="329219E9" w14:textId="77777777" w:rsidTr="000C6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0E6B9A"/>
              <w:left w:val="single" w:sz="4" w:space="0" w:color="0E6B9A"/>
              <w:bottom w:val="single" w:sz="4" w:space="0" w:color="0E6B9A"/>
              <w:right w:val="single" w:sz="4" w:space="0" w:color="0E6B9A"/>
            </w:tcBorders>
          </w:tcPr>
          <w:p w14:paraId="6A14C1A6" w14:textId="77777777" w:rsidR="000C60C7" w:rsidRPr="001C671C" w:rsidRDefault="000C60C7" w:rsidP="001C671C">
            <w:r w:rsidRPr="001C671C">
              <w:t>Commissioning services report</w:t>
            </w:r>
          </w:p>
        </w:tc>
        <w:tc>
          <w:tcPr>
            <w:tcW w:w="5926" w:type="dxa"/>
            <w:tcBorders>
              <w:top w:val="single" w:sz="4" w:space="0" w:color="0E6B9A"/>
              <w:left w:val="single" w:sz="4" w:space="0" w:color="0E6B9A"/>
              <w:bottom w:val="single" w:sz="4" w:space="0" w:color="0E6B9A"/>
              <w:right w:val="single" w:sz="4" w:space="0" w:color="0E6B9A"/>
            </w:tcBorders>
          </w:tcPr>
          <w:p w14:paraId="3955FB2F"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An up-to-date register of all stakeholders and service providers contracted under the ITC program. This list must be maintained and made available to the department upon request, ensuring transparency in procurement and partnership arrangements.</w:t>
            </w:r>
          </w:p>
        </w:tc>
      </w:tr>
      <w:tr w:rsidR="000C60C7" w:rsidRPr="000C60C7" w14:paraId="5C4D7F64" w14:textId="77777777" w:rsidTr="000C60C7">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0E6B9A"/>
              <w:left w:val="single" w:sz="4" w:space="0" w:color="0E6B9A"/>
              <w:bottom w:val="single" w:sz="4" w:space="0" w:color="0E6B9A"/>
              <w:right w:val="single" w:sz="4" w:space="0" w:color="0E6B9A"/>
            </w:tcBorders>
          </w:tcPr>
          <w:p w14:paraId="29F8BF56" w14:textId="77777777" w:rsidR="000C60C7" w:rsidRPr="001C671C" w:rsidRDefault="000C60C7" w:rsidP="001C671C">
            <w:r w:rsidRPr="001C671C">
              <w:lastRenderedPageBreak/>
              <w:t>Audited income and expenditure statements</w:t>
            </w:r>
          </w:p>
        </w:tc>
        <w:tc>
          <w:tcPr>
            <w:tcW w:w="5926" w:type="dxa"/>
            <w:tcBorders>
              <w:top w:val="single" w:sz="4" w:space="0" w:color="0E6B9A"/>
              <w:left w:val="single" w:sz="4" w:space="0" w:color="0E6B9A"/>
              <w:bottom w:val="single" w:sz="4" w:space="0" w:color="0E6B9A"/>
              <w:right w:val="single" w:sz="4" w:space="0" w:color="0E6B9A"/>
            </w:tcBorders>
          </w:tcPr>
          <w:p w14:paraId="46D108DA"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Financial acquittal reports for the same period as the performance report and final report. This includes a certified financial statement detailing all income and expenditure related to the program, audited by an independent qualified auditor. Must include a signed financial declaration confirming funds were used in accordance with the grant agreement.</w:t>
            </w:r>
          </w:p>
        </w:tc>
      </w:tr>
    </w:tbl>
    <w:p w14:paraId="08392528" w14:textId="77777777" w:rsidR="000C60C7" w:rsidRPr="00227E41" w:rsidRDefault="000C60C7" w:rsidP="00227E41">
      <w:pPr>
        <w:pStyle w:val="Heading2"/>
      </w:pPr>
      <w:bookmarkStart w:id="10" w:name="_Toc213403071"/>
      <w:r w:rsidRPr="00227E41">
        <w:t>Supporting documents</w:t>
      </w:r>
      <w:bookmarkEnd w:id="10"/>
    </w:p>
    <w:p w14:paraId="13532675" w14:textId="1BB5B4FC" w:rsidR="000C60C7" w:rsidRPr="001C671C" w:rsidRDefault="000C60C7" w:rsidP="001C671C">
      <w:r w:rsidRPr="001C671C">
        <w:t xml:space="preserve">A collection of resources has been developed </w:t>
      </w:r>
      <w:r w:rsidR="00143C57" w:rsidRPr="001C671C">
        <w:t xml:space="preserve">by </w:t>
      </w:r>
      <w:r w:rsidRPr="001C671C">
        <w:t xml:space="preserve">PHNs as experienced commissioning bodies. </w:t>
      </w:r>
    </w:p>
    <w:p w14:paraId="3482E40B" w14:textId="2A720B36" w:rsidR="000C60C7" w:rsidRPr="001C671C" w:rsidRDefault="000C60C7" w:rsidP="00CF2141">
      <w:r w:rsidRPr="001C671C">
        <w:t xml:space="preserve">Organisations may find them useful for self-assessing capacity and capability, or to support strategic planning efforts at </w:t>
      </w:r>
      <w:hyperlink r:id="rId21" w:tooltip="Link to the Primary Health Networks (PHN) collection of administrative and guidance documents" w:history="1">
        <w:r w:rsidRPr="001C671C">
          <w:rPr>
            <w:rStyle w:val="Hyperlink"/>
          </w:rPr>
          <w:t>https://www.health.gov.au/resources/collections/primary-health-networks-phn-collection-of-administrative-and-guidance-documents</w:t>
        </w:r>
      </w:hyperlink>
      <w:r w:rsidRPr="001C671C">
        <w:t xml:space="preserve">. </w:t>
      </w:r>
      <w:r w:rsidR="00003D84" w:rsidRPr="001C671C">
        <w:t xml:space="preserve">These resources </w:t>
      </w:r>
      <w:r w:rsidR="006E6767" w:rsidRPr="001C671C">
        <w:t>were</w:t>
      </w:r>
      <w:r w:rsidR="00003D84" w:rsidRPr="001C671C">
        <w:t xml:space="preserve"> developed with the broader PHN comm</w:t>
      </w:r>
      <w:r w:rsidR="008F5795" w:rsidRPr="001C671C">
        <w:t>issioning model in mind.</w:t>
      </w:r>
      <w:r w:rsidR="00D73CA9" w:rsidRPr="001C671C">
        <w:t xml:space="preserve"> Please note that</w:t>
      </w:r>
      <w:r w:rsidR="008F5795" w:rsidRPr="001C671C">
        <w:t xml:space="preserve"> ITC is a distinct </w:t>
      </w:r>
      <w:r w:rsidR="00D73CA9" w:rsidRPr="001C671C">
        <w:t xml:space="preserve">standalone </w:t>
      </w:r>
      <w:r w:rsidR="008F5795" w:rsidRPr="001C671C">
        <w:t xml:space="preserve">program </w:t>
      </w:r>
      <w:r w:rsidR="00ED69EB" w:rsidRPr="001C671C">
        <w:t xml:space="preserve">with a specific </w:t>
      </w:r>
      <w:r w:rsidR="008F5795" w:rsidRPr="001C671C">
        <w:t xml:space="preserve">focus on </w:t>
      </w:r>
      <w:r w:rsidR="00ED69EB" w:rsidRPr="001C671C">
        <w:t xml:space="preserve">First Nations </w:t>
      </w:r>
      <w:r w:rsidR="008F5795" w:rsidRPr="001C671C">
        <w:t>chronic disease outcomes only.</w:t>
      </w:r>
    </w:p>
    <w:p w14:paraId="1C73442D" w14:textId="77777777" w:rsidR="000C60C7" w:rsidRPr="001C671C" w:rsidRDefault="000C60C7" w:rsidP="001C671C">
      <w:pPr>
        <w:sectPr w:rsidR="000C60C7" w:rsidRPr="001C671C" w:rsidSect="00FC6E29">
          <w:pgSz w:w="11906" w:h="16838"/>
          <w:pgMar w:top="1440" w:right="1440" w:bottom="1440" w:left="1440" w:header="708" w:footer="708" w:gutter="0"/>
          <w:cols w:space="708"/>
          <w:titlePg/>
          <w:docGrid w:linePitch="360"/>
        </w:sectPr>
      </w:pPr>
    </w:p>
    <w:p w14:paraId="5911FCE3" w14:textId="77777777" w:rsidR="000C60C7" w:rsidRPr="001C671C" w:rsidRDefault="000C60C7" w:rsidP="001C671C">
      <w:pPr>
        <w:sectPr w:rsidR="000C60C7" w:rsidRPr="001C671C" w:rsidSect="0053136A">
          <w:headerReference w:type="default" r:id="rId22"/>
          <w:footerReference w:type="default" r:id="rId23"/>
          <w:type w:val="continuous"/>
          <w:pgSz w:w="11906" w:h="16838"/>
          <w:pgMar w:top="1701" w:right="1418" w:bottom="1418" w:left="1418" w:header="1077" w:footer="709" w:gutter="0"/>
          <w:cols w:space="708"/>
          <w:docGrid w:linePitch="360"/>
        </w:sectPr>
      </w:pPr>
    </w:p>
    <w:p w14:paraId="74D3D618" w14:textId="4CE4A4AD" w:rsidR="000C60C7" w:rsidRPr="00227E41" w:rsidRDefault="00DB3CAB" w:rsidP="00FB01BF">
      <w:pPr>
        <w:pStyle w:val="Heading1"/>
      </w:pPr>
      <w:bookmarkStart w:id="11" w:name="_Toc213403072"/>
      <w:r w:rsidRPr="00227E41">
        <w:lastRenderedPageBreak/>
        <w:t xml:space="preserve">Appendix 1 - </w:t>
      </w:r>
      <w:r w:rsidR="000C60C7" w:rsidRPr="00227E41">
        <w:t xml:space="preserve">Commissioning </w:t>
      </w:r>
      <w:r w:rsidR="00F50815" w:rsidRPr="00227E41">
        <w:t>stakeholder map</w:t>
      </w:r>
      <w:r w:rsidR="000C60C7" w:rsidRPr="00227E41">
        <w:t xml:space="preserve"> for </w:t>
      </w:r>
      <w:r w:rsidR="00F50815" w:rsidRPr="00227E41">
        <w:t xml:space="preserve">the </w:t>
      </w:r>
      <w:r w:rsidR="000C60C7" w:rsidRPr="00227E41">
        <w:t>ITC program</w:t>
      </w:r>
      <w:bookmarkEnd w:id="11"/>
    </w:p>
    <w:p w14:paraId="7DC9562B" w14:textId="77777777" w:rsidR="000C60C7" w:rsidRPr="001C671C" w:rsidRDefault="000C60C7" w:rsidP="001C671C">
      <w:r w:rsidRPr="001C671C">
        <w:t xml:space="preserve">This example illustrates how various health stakeholders may collaborate to support the ITC program by interacting with the commissioning body. It is not exhaustive, and commissioning bodies may adapt their approaches to reflect local priorities, health infrastructure and existing provider relationships. </w:t>
      </w:r>
    </w:p>
    <w:tbl>
      <w:tblPr>
        <w:tblStyle w:val="GridTable5Dark-Accent2"/>
        <w:tblW w:w="0" w:type="auto"/>
        <w:tblLook w:val="04A0" w:firstRow="1" w:lastRow="0" w:firstColumn="1" w:lastColumn="0" w:noHBand="0" w:noVBand="1"/>
      </w:tblPr>
      <w:tblGrid>
        <w:gridCol w:w="2026"/>
        <w:gridCol w:w="2494"/>
        <w:gridCol w:w="2174"/>
        <w:gridCol w:w="2172"/>
        <w:gridCol w:w="2174"/>
        <w:gridCol w:w="2173"/>
        <w:gridCol w:w="2175"/>
      </w:tblGrid>
      <w:tr w:rsidR="000C60C7" w:rsidRPr="00A33041" w14:paraId="26CE660E" w14:textId="77777777" w:rsidTr="00411433">
        <w:trPr>
          <w:cnfStyle w:val="100000000000" w:firstRow="1" w:lastRow="0" w:firstColumn="0" w:lastColumn="0" w:oddVBand="0" w:evenVBand="0" w:oddHBand="0" w:evenHBand="0" w:firstRowFirstColumn="0" w:firstRowLastColumn="0" w:lastRowFirstColumn="0" w:lastRowLastColumn="0"/>
          <w:trHeight w:val="1041"/>
          <w:tblHeader/>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4BAC5FEA" w14:textId="77777777" w:rsidR="000C60C7" w:rsidRPr="00A33041" w:rsidRDefault="000C60C7" w:rsidP="001C671C">
            <w:r w:rsidRPr="00A33041">
              <w:t>Function / Role</w:t>
            </w:r>
          </w:p>
        </w:tc>
        <w:tc>
          <w:tcPr>
            <w:tcW w:w="2497" w:type="dxa"/>
            <w:shd w:val="clear" w:color="auto" w:fill="003C5F" w:themeFill="accent3" w:themeFillShade="80"/>
            <w:vAlign w:val="center"/>
          </w:tcPr>
          <w:p w14:paraId="2EE8775D" w14:textId="77777777" w:rsidR="000C60C7" w:rsidRPr="00A33041" w:rsidRDefault="000C60C7" w:rsidP="001C671C">
            <w:pPr>
              <w:cnfStyle w:val="100000000000" w:firstRow="1" w:lastRow="0" w:firstColumn="0" w:lastColumn="0" w:oddVBand="0" w:evenVBand="0" w:oddHBand="0" w:evenHBand="0" w:firstRowFirstColumn="0" w:firstRowLastColumn="0" w:lastRowFirstColumn="0" w:lastRowLastColumn="0"/>
            </w:pPr>
            <w:r w:rsidRPr="00A33041">
              <w:t>Commissioning body (e.g., PHNs, ACCOs)</w:t>
            </w:r>
          </w:p>
        </w:tc>
        <w:tc>
          <w:tcPr>
            <w:tcW w:w="2175" w:type="dxa"/>
            <w:shd w:val="clear" w:color="auto" w:fill="003C5F" w:themeFill="accent3" w:themeFillShade="80"/>
            <w:vAlign w:val="center"/>
          </w:tcPr>
          <w:p w14:paraId="2737FF15" w14:textId="77777777" w:rsidR="000C60C7" w:rsidRPr="00A33041" w:rsidRDefault="000C60C7" w:rsidP="001C671C">
            <w:pPr>
              <w:cnfStyle w:val="100000000000" w:firstRow="1" w:lastRow="0" w:firstColumn="0" w:lastColumn="0" w:oddVBand="0" w:evenVBand="0" w:oddHBand="0" w:evenHBand="0" w:firstRowFirstColumn="0" w:firstRowLastColumn="0" w:lastRowFirstColumn="0" w:lastRowLastColumn="0"/>
            </w:pPr>
            <w:r w:rsidRPr="00A33041">
              <w:t>PHN (outside of commissioning)</w:t>
            </w:r>
          </w:p>
        </w:tc>
        <w:tc>
          <w:tcPr>
            <w:tcW w:w="2175" w:type="dxa"/>
            <w:shd w:val="clear" w:color="auto" w:fill="003C5F" w:themeFill="accent3" w:themeFillShade="80"/>
            <w:vAlign w:val="center"/>
          </w:tcPr>
          <w:p w14:paraId="2A41895E" w14:textId="77777777" w:rsidR="000C60C7" w:rsidRPr="00A33041" w:rsidRDefault="000C60C7" w:rsidP="001C671C">
            <w:pPr>
              <w:cnfStyle w:val="100000000000" w:firstRow="1" w:lastRow="0" w:firstColumn="0" w:lastColumn="0" w:oddVBand="0" w:evenVBand="0" w:oddHBand="0" w:evenHBand="0" w:firstRowFirstColumn="0" w:firstRowLastColumn="0" w:lastRowFirstColumn="0" w:lastRowLastColumn="0"/>
            </w:pPr>
            <w:r w:rsidRPr="00A33041">
              <w:t>Mainstream health services and GPs</w:t>
            </w:r>
          </w:p>
        </w:tc>
        <w:tc>
          <w:tcPr>
            <w:tcW w:w="2175" w:type="dxa"/>
            <w:shd w:val="clear" w:color="auto" w:fill="003C5F" w:themeFill="accent3" w:themeFillShade="80"/>
            <w:vAlign w:val="center"/>
          </w:tcPr>
          <w:p w14:paraId="2F3FB297" w14:textId="77777777" w:rsidR="000C60C7" w:rsidRPr="00A33041" w:rsidRDefault="000C60C7" w:rsidP="001C671C">
            <w:pPr>
              <w:cnfStyle w:val="100000000000" w:firstRow="1" w:lastRow="0" w:firstColumn="0" w:lastColumn="0" w:oddVBand="0" w:evenVBand="0" w:oddHBand="0" w:evenHBand="0" w:firstRowFirstColumn="0" w:firstRowLastColumn="0" w:lastRowFirstColumn="0" w:lastRowLastColumn="0"/>
            </w:pPr>
            <w:r w:rsidRPr="00A33041">
              <w:t>Local Hospital Networks (LHNs)</w:t>
            </w:r>
          </w:p>
        </w:tc>
        <w:tc>
          <w:tcPr>
            <w:tcW w:w="2176" w:type="dxa"/>
            <w:shd w:val="clear" w:color="auto" w:fill="003C5F" w:themeFill="accent3" w:themeFillShade="80"/>
            <w:vAlign w:val="center"/>
          </w:tcPr>
          <w:p w14:paraId="39B323B9" w14:textId="41BBA079" w:rsidR="000C60C7" w:rsidRPr="00A33041" w:rsidRDefault="000C60C7" w:rsidP="001C671C">
            <w:pPr>
              <w:cnfStyle w:val="100000000000" w:firstRow="1" w:lastRow="0" w:firstColumn="0" w:lastColumn="0" w:oddVBand="0" w:evenVBand="0" w:oddHBand="0" w:evenHBand="0" w:firstRowFirstColumn="0" w:firstRowLastColumn="0" w:lastRowFirstColumn="0" w:lastRowLastColumn="0"/>
            </w:pPr>
            <w:r w:rsidRPr="00A33041">
              <w:t>ACCH</w:t>
            </w:r>
            <w:r w:rsidR="00BD3909">
              <w:t>S</w:t>
            </w:r>
            <w:r w:rsidRPr="00A33041">
              <w:t>s</w:t>
            </w:r>
          </w:p>
        </w:tc>
        <w:tc>
          <w:tcPr>
            <w:tcW w:w="2176" w:type="dxa"/>
            <w:shd w:val="clear" w:color="auto" w:fill="003C5F" w:themeFill="accent3" w:themeFillShade="80"/>
            <w:vAlign w:val="center"/>
          </w:tcPr>
          <w:p w14:paraId="286E3405" w14:textId="77777777" w:rsidR="000C60C7" w:rsidRPr="00A33041" w:rsidRDefault="000C60C7" w:rsidP="001C671C">
            <w:pPr>
              <w:cnfStyle w:val="100000000000" w:firstRow="1" w:lastRow="0" w:firstColumn="0" w:lastColumn="0" w:oddVBand="0" w:evenVBand="0" w:oddHBand="0" w:evenHBand="0" w:firstRowFirstColumn="0" w:firstRowLastColumn="0" w:lastRowFirstColumn="0" w:lastRowLastColumn="0"/>
            </w:pPr>
            <w:r w:rsidRPr="00A33041">
              <w:t>Collaboration Notes</w:t>
            </w:r>
          </w:p>
        </w:tc>
      </w:tr>
      <w:tr w:rsidR="000C60C7" w:rsidRPr="00A33041" w14:paraId="1D06C8D8" w14:textId="77777777" w:rsidTr="00411433">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572DF071" w14:textId="77777777" w:rsidR="000C60C7" w:rsidRPr="001C671C" w:rsidRDefault="000C60C7" w:rsidP="001C671C">
            <w:r w:rsidRPr="001C671C">
              <w:t>Needs assessment</w:t>
            </w:r>
          </w:p>
        </w:tc>
        <w:tc>
          <w:tcPr>
            <w:tcW w:w="2497" w:type="dxa"/>
            <w:shd w:val="clear" w:color="auto" w:fill="D4D8E8" w:themeFill="accent1" w:themeFillTint="33"/>
            <w:vAlign w:val="center"/>
          </w:tcPr>
          <w:p w14:paraId="186DF239"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Lead population needs assessments; identify gaps in chronic disease care and pathways.</w:t>
            </w:r>
          </w:p>
        </w:tc>
        <w:tc>
          <w:tcPr>
            <w:tcW w:w="2175" w:type="dxa"/>
            <w:shd w:val="clear" w:color="auto" w:fill="D4D8E8" w:themeFill="accent1" w:themeFillTint="33"/>
            <w:vAlign w:val="center"/>
          </w:tcPr>
          <w:p w14:paraId="4CF24002"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Provide local insights and data to inform population health priorities.</w:t>
            </w:r>
          </w:p>
        </w:tc>
        <w:tc>
          <w:tcPr>
            <w:tcW w:w="2175" w:type="dxa"/>
            <w:shd w:val="clear" w:color="auto" w:fill="D4D8E8" w:themeFill="accent1" w:themeFillTint="33"/>
            <w:vAlign w:val="center"/>
          </w:tcPr>
          <w:p w14:paraId="048E7BA0"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Provide clinical insights and practice data.</w:t>
            </w:r>
          </w:p>
        </w:tc>
        <w:tc>
          <w:tcPr>
            <w:tcW w:w="2175" w:type="dxa"/>
            <w:shd w:val="clear" w:color="auto" w:fill="D4D8E8" w:themeFill="accent1" w:themeFillTint="33"/>
            <w:vAlign w:val="center"/>
          </w:tcPr>
          <w:p w14:paraId="69295601"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Contribute hospital and specialist data.</w:t>
            </w:r>
          </w:p>
        </w:tc>
        <w:tc>
          <w:tcPr>
            <w:tcW w:w="2176" w:type="dxa"/>
            <w:shd w:val="clear" w:color="auto" w:fill="D4D8E8" w:themeFill="accent1" w:themeFillTint="33"/>
            <w:vAlign w:val="center"/>
          </w:tcPr>
          <w:p w14:paraId="71D55CFF" w14:textId="39368183" w:rsidR="000C60C7" w:rsidRPr="001C671C" w:rsidRDefault="008D10BD" w:rsidP="001C671C">
            <w:pPr>
              <w:cnfStyle w:val="000000100000" w:firstRow="0" w:lastRow="0" w:firstColumn="0" w:lastColumn="0" w:oddVBand="0" w:evenVBand="0" w:oddHBand="1" w:evenHBand="0" w:firstRowFirstColumn="0" w:firstRowLastColumn="0" w:lastRowFirstColumn="0" w:lastRowLastColumn="0"/>
            </w:pPr>
            <w:r w:rsidRPr="001C671C">
              <w:t xml:space="preserve">Inform </w:t>
            </w:r>
            <w:r w:rsidR="000C60C7" w:rsidRPr="001C671C">
              <w:t>cultural, clinical, local and community health insights.</w:t>
            </w:r>
          </w:p>
        </w:tc>
        <w:tc>
          <w:tcPr>
            <w:tcW w:w="2176" w:type="dxa"/>
            <w:shd w:val="clear" w:color="auto" w:fill="D4D8E8" w:themeFill="accent1" w:themeFillTint="33"/>
            <w:vAlign w:val="center"/>
          </w:tcPr>
          <w:p w14:paraId="215D8D69"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Establish joint needs assessment that includes community voices and clinical data.</w:t>
            </w:r>
          </w:p>
        </w:tc>
      </w:tr>
      <w:tr w:rsidR="000C60C7" w:rsidRPr="00A33041" w14:paraId="19D1F5A4" w14:textId="77777777" w:rsidTr="00411433">
        <w:trPr>
          <w:trHeight w:val="1057"/>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2853B5D3" w14:textId="77777777" w:rsidR="000C60C7" w:rsidRPr="001C671C" w:rsidRDefault="000C60C7" w:rsidP="001C671C">
            <w:r w:rsidRPr="001C671C">
              <w:t>Program planning</w:t>
            </w:r>
          </w:p>
        </w:tc>
        <w:tc>
          <w:tcPr>
            <w:tcW w:w="2497" w:type="dxa"/>
            <w:shd w:val="clear" w:color="auto" w:fill="F2F2F2" w:themeFill="background1" w:themeFillShade="F2"/>
            <w:vAlign w:val="center"/>
          </w:tcPr>
          <w:p w14:paraId="2E7331B3"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Develop commissioning priorities based on assessed needs.</w:t>
            </w:r>
          </w:p>
        </w:tc>
        <w:tc>
          <w:tcPr>
            <w:tcW w:w="2175" w:type="dxa"/>
            <w:shd w:val="clear" w:color="auto" w:fill="F2F2F2" w:themeFill="background1" w:themeFillShade="F2"/>
            <w:vAlign w:val="center"/>
          </w:tcPr>
          <w:p w14:paraId="144675E6"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Contribute contextual knowledge to align services.</w:t>
            </w:r>
          </w:p>
        </w:tc>
        <w:tc>
          <w:tcPr>
            <w:tcW w:w="2175" w:type="dxa"/>
            <w:shd w:val="clear" w:color="auto" w:fill="F2F2F2" w:themeFill="background1" w:themeFillShade="F2"/>
            <w:vAlign w:val="center"/>
          </w:tcPr>
          <w:p w14:paraId="6E25B22C"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Contribute to service design and care pathways.</w:t>
            </w:r>
          </w:p>
        </w:tc>
        <w:tc>
          <w:tcPr>
            <w:tcW w:w="2175" w:type="dxa"/>
            <w:shd w:val="clear" w:color="auto" w:fill="F2F2F2" w:themeFill="background1" w:themeFillShade="F2"/>
            <w:vAlign w:val="center"/>
          </w:tcPr>
          <w:p w14:paraId="373135F9"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Align hospital / outpatient services, specialist bulkbilling.</w:t>
            </w:r>
          </w:p>
        </w:tc>
        <w:tc>
          <w:tcPr>
            <w:tcW w:w="2176" w:type="dxa"/>
            <w:shd w:val="clear" w:color="auto" w:fill="F2F2F2" w:themeFill="background1" w:themeFillShade="F2"/>
            <w:vAlign w:val="center"/>
          </w:tcPr>
          <w:p w14:paraId="75F07230"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Co-design services that are culturally appropriate.</w:t>
            </w:r>
          </w:p>
        </w:tc>
        <w:tc>
          <w:tcPr>
            <w:tcW w:w="2176" w:type="dxa"/>
            <w:shd w:val="clear" w:color="auto" w:fill="F2F2F2" w:themeFill="background1" w:themeFillShade="F2"/>
            <w:vAlign w:val="center"/>
          </w:tcPr>
          <w:p w14:paraId="24598863"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Regular service planning forums across stakeholders.</w:t>
            </w:r>
          </w:p>
        </w:tc>
      </w:tr>
      <w:tr w:rsidR="000C60C7" w:rsidRPr="00A33041" w14:paraId="4266392B" w14:textId="77777777" w:rsidTr="00411433">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26C9467B" w14:textId="77777777" w:rsidR="000C60C7" w:rsidRPr="001C671C" w:rsidRDefault="000C60C7" w:rsidP="001C671C">
            <w:r w:rsidRPr="001C671C">
              <w:t>Program and service design</w:t>
            </w:r>
          </w:p>
        </w:tc>
        <w:tc>
          <w:tcPr>
            <w:tcW w:w="2497" w:type="dxa"/>
            <w:shd w:val="clear" w:color="auto" w:fill="D4D8E8" w:themeFill="accent1" w:themeFillTint="33"/>
            <w:vAlign w:val="center"/>
          </w:tcPr>
          <w:p w14:paraId="12A1B57A"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Facilitate co-design workshops and ensure consumer input.</w:t>
            </w:r>
          </w:p>
        </w:tc>
        <w:tc>
          <w:tcPr>
            <w:tcW w:w="2175" w:type="dxa"/>
            <w:shd w:val="clear" w:color="auto" w:fill="D4D8E8" w:themeFill="accent1" w:themeFillTint="33"/>
            <w:vAlign w:val="center"/>
          </w:tcPr>
          <w:p w14:paraId="60BBC629"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 xml:space="preserve">Offer input to ensure services can leverage existing pathways and do not duplicate. </w:t>
            </w:r>
          </w:p>
        </w:tc>
        <w:tc>
          <w:tcPr>
            <w:tcW w:w="2175" w:type="dxa"/>
            <w:shd w:val="clear" w:color="auto" w:fill="D4D8E8" w:themeFill="accent1" w:themeFillTint="33"/>
            <w:vAlign w:val="center"/>
          </w:tcPr>
          <w:p w14:paraId="1EADFF9E"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Participate in design of care pathways and shared care models.</w:t>
            </w:r>
          </w:p>
        </w:tc>
        <w:tc>
          <w:tcPr>
            <w:tcW w:w="2175" w:type="dxa"/>
            <w:shd w:val="clear" w:color="auto" w:fill="D4D8E8" w:themeFill="accent1" w:themeFillTint="33"/>
            <w:vAlign w:val="center"/>
          </w:tcPr>
          <w:p w14:paraId="14341962"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Ensure alignment with discharge planning and outpatient care.</w:t>
            </w:r>
          </w:p>
        </w:tc>
        <w:tc>
          <w:tcPr>
            <w:tcW w:w="2176" w:type="dxa"/>
            <w:shd w:val="clear" w:color="auto" w:fill="D4D8E8" w:themeFill="accent1" w:themeFillTint="33"/>
            <w:vAlign w:val="center"/>
          </w:tcPr>
          <w:p w14:paraId="2DBE74EF" w14:textId="7B13501C" w:rsidR="000C60C7" w:rsidRPr="001C671C" w:rsidRDefault="008D10BD" w:rsidP="001C671C">
            <w:pPr>
              <w:cnfStyle w:val="000000100000" w:firstRow="0" w:lastRow="0" w:firstColumn="0" w:lastColumn="0" w:oddVBand="0" w:evenVBand="0" w:oddHBand="1" w:evenHBand="0" w:firstRowFirstColumn="0" w:firstRowLastColumn="0" w:lastRowFirstColumn="0" w:lastRowLastColumn="0"/>
            </w:pPr>
            <w:r w:rsidRPr="001C671C">
              <w:t>Lead</w:t>
            </w:r>
            <w:r w:rsidR="000C60C7" w:rsidRPr="001C671C">
              <w:t xml:space="preserve"> cultural design of service models.</w:t>
            </w:r>
          </w:p>
        </w:tc>
        <w:tc>
          <w:tcPr>
            <w:tcW w:w="2176" w:type="dxa"/>
            <w:shd w:val="clear" w:color="auto" w:fill="D4D8E8" w:themeFill="accent1" w:themeFillTint="33"/>
            <w:vAlign w:val="center"/>
          </w:tcPr>
          <w:p w14:paraId="7E98AE5E"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Embed culturally safe care and shared decision-making.</w:t>
            </w:r>
          </w:p>
        </w:tc>
      </w:tr>
      <w:tr w:rsidR="000C60C7" w:rsidRPr="00A33041" w14:paraId="66E17112" w14:textId="77777777" w:rsidTr="00411433">
        <w:trPr>
          <w:trHeight w:val="765"/>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66AC0B8C" w14:textId="77777777" w:rsidR="000C60C7" w:rsidRPr="001C671C" w:rsidRDefault="000C60C7" w:rsidP="001C671C">
            <w:r w:rsidRPr="001C671C">
              <w:t>Procurement and contracting</w:t>
            </w:r>
          </w:p>
        </w:tc>
        <w:tc>
          <w:tcPr>
            <w:tcW w:w="2497" w:type="dxa"/>
            <w:shd w:val="clear" w:color="auto" w:fill="F2F2F2" w:themeFill="background1" w:themeFillShade="F2"/>
            <w:vAlign w:val="center"/>
          </w:tcPr>
          <w:p w14:paraId="7143ED65"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Procure and fund services aligned with priorities. Ensure regional coverage and maintain client choice.</w:t>
            </w:r>
          </w:p>
        </w:tc>
        <w:tc>
          <w:tcPr>
            <w:tcW w:w="2175" w:type="dxa"/>
            <w:shd w:val="clear" w:color="auto" w:fill="F2F2F2" w:themeFill="background1" w:themeFillShade="F2"/>
            <w:vAlign w:val="center"/>
          </w:tcPr>
          <w:p w14:paraId="55F73F57" w14:textId="16F1BA14" w:rsidR="000C60C7" w:rsidRPr="001C671C" w:rsidRDefault="008E1117" w:rsidP="001C671C">
            <w:pPr>
              <w:cnfStyle w:val="000000000000" w:firstRow="0" w:lastRow="0" w:firstColumn="0" w:lastColumn="0" w:oddVBand="0" w:evenVBand="0" w:oddHBand="0" w:evenHBand="0" w:firstRowFirstColumn="0" w:firstRowLastColumn="0" w:lastRowFirstColumn="0" w:lastRowLastColumn="0"/>
            </w:pPr>
            <w:r w:rsidRPr="001C671C">
              <w:t>Share</w:t>
            </w:r>
            <w:r w:rsidR="00D266AA" w:rsidRPr="001C671C">
              <w:t xml:space="preserve"> general information</w:t>
            </w:r>
            <w:r w:rsidR="000C60C7" w:rsidRPr="001C671C">
              <w:t xml:space="preserve"> on</w:t>
            </w:r>
            <w:r w:rsidR="00D266AA" w:rsidRPr="001C671C">
              <w:t xml:space="preserve"> the primary care landscape</w:t>
            </w:r>
            <w:r w:rsidR="000C60C7" w:rsidRPr="001C671C">
              <w:t xml:space="preserve"> and partnership opportunities. </w:t>
            </w:r>
          </w:p>
        </w:tc>
        <w:tc>
          <w:tcPr>
            <w:tcW w:w="2175" w:type="dxa"/>
            <w:shd w:val="clear" w:color="auto" w:fill="F2F2F2" w:themeFill="background1" w:themeFillShade="F2"/>
            <w:vAlign w:val="center"/>
          </w:tcPr>
          <w:p w14:paraId="0945CBFE"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Eligible for funding or sub-contracting to deliver services. May also partner in service delivery.</w:t>
            </w:r>
          </w:p>
        </w:tc>
        <w:tc>
          <w:tcPr>
            <w:tcW w:w="2175" w:type="dxa"/>
            <w:shd w:val="clear" w:color="auto" w:fill="F2F2F2" w:themeFill="background1" w:themeFillShade="F2"/>
            <w:vAlign w:val="center"/>
          </w:tcPr>
          <w:p w14:paraId="55AF8B84"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Engage in service agreements or partnership arrangements where relevant.</w:t>
            </w:r>
          </w:p>
        </w:tc>
        <w:tc>
          <w:tcPr>
            <w:tcW w:w="2176" w:type="dxa"/>
            <w:shd w:val="clear" w:color="auto" w:fill="F2F2F2" w:themeFill="background1" w:themeFillShade="F2"/>
            <w:vAlign w:val="center"/>
          </w:tcPr>
          <w:p w14:paraId="4A88224A" w14:textId="025044C5"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Eligible for funding or sub-contracting to deliver services.</w:t>
            </w:r>
            <w:r w:rsidR="00F92AF7" w:rsidRPr="001C671C">
              <w:t xml:space="preserve"> May also partner in service delivery.</w:t>
            </w:r>
          </w:p>
        </w:tc>
        <w:tc>
          <w:tcPr>
            <w:tcW w:w="2176" w:type="dxa"/>
            <w:shd w:val="clear" w:color="auto" w:fill="F2F2F2" w:themeFill="background1" w:themeFillShade="F2"/>
            <w:vAlign w:val="center"/>
          </w:tcPr>
          <w:p w14:paraId="63985AD4" w14:textId="110DC80D"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Transparent</w:t>
            </w:r>
            <w:r w:rsidR="744AD946" w:rsidRPr="001C671C">
              <w:t>, accountable</w:t>
            </w:r>
            <w:r w:rsidRPr="001C671C">
              <w:t xml:space="preserve"> procurement practices; equitable access for ACCH</w:t>
            </w:r>
            <w:r w:rsidR="00BD3909" w:rsidRPr="001C671C">
              <w:t>S</w:t>
            </w:r>
            <w:r w:rsidRPr="001C671C">
              <w:t>s</w:t>
            </w:r>
          </w:p>
        </w:tc>
      </w:tr>
      <w:tr w:rsidR="000C60C7" w:rsidRPr="00A33041" w14:paraId="01D11006" w14:textId="77777777" w:rsidTr="0041143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71BBBB9E" w14:textId="77777777" w:rsidR="000C60C7" w:rsidRPr="001C671C" w:rsidRDefault="000C60C7" w:rsidP="001C671C">
            <w:r w:rsidRPr="001C671C">
              <w:t>Implementation</w:t>
            </w:r>
          </w:p>
        </w:tc>
        <w:tc>
          <w:tcPr>
            <w:tcW w:w="2497" w:type="dxa"/>
            <w:shd w:val="clear" w:color="auto" w:fill="D4D8E8" w:themeFill="accent1" w:themeFillTint="33"/>
            <w:vAlign w:val="center"/>
          </w:tcPr>
          <w:p w14:paraId="4A1994CF"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Monitor roll-out; manage partnerships.</w:t>
            </w:r>
          </w:p>
        </w:tc>
        <w:tc>
          <w:tcPr>
            <w:tcW w:w="2175" w:type="dxa"/>
            <w:shd w:val="clear" w:color="auto" w:fill="D4D8E8" w:themeFill="accent1" w:themeFillTint="33"/>
            <w:vAlign w:val="center"/>
          </w:tcPr>
          <w:p w14:paraId="526E9F24" w14:textId="0768B751" w:rsidR="000C60C7" w:rsidRPr="001C671C" w:rsidRDefault="0050418C" w:rsidP="001C671C">
            <w:pPr>
              <w:cnfStyle w:val="000000100000" w:firstRow="0" w:lastRow="0" w:firstColumn="0" w:lastColumn="0" w:oddVBand="0" w:evenVBand="0" w:oddHBand="1" w:evenHBand="0" w:firstRowFirstColumn="0" w:firstRowLastColumn="0" w:lastRowFirstColumn="0" w:lastRowLastColumn="0"/>
            </w:pPr>
            <w:r w:rsidRPr="001C671C">
              <w:t>Help build awareness of the program</w:t>
            </w:r>
            <w:r w:rsidR="000C60C7" w:rsidRPr="001C671C">
              <w:t xml:space="preserve"> and </w:t>
            </w:r>
            <w:r w:rsidRPr="001C671C">
              <w:lastRenderedPageBreak/>
              <w:t>support communication with primary care practices</w:t>
            </w:r>
            <w:r w:rsidR="00FE4DF8" w:rsidRPr="001C671C">
              <w:t>.</w:t>
            </w:r>
          </w:p>
        </w:tc>
        <w:tc>
          <w:tcPr>
            <w:tcW w:w="2175" w:type="dxa"/>
            <w:shd w:val="clear" w:color="auto" w:fill="D4D8E8" w:themeFill="accent1" w:themeFillTint="33"/>
            <w:vAlign w:val="center"/>
          </w:tcPr>
          <w:p w14:paraId="78DC0F07"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lastRenderedPageBreak/>
              <w:t xml:space="preserve">Deliver culturally competent / safe </w:t>
            </w:r>
            <w:r w:rsidRPr="001C671C">
              <w:lastRenderedPageBreak/>
              <w:t>services to First Nations clients.</w:t>
            </w:r>
          </w:p>
        </w:tc>
        <w:tc>
          <w:tcPr>
            <w:tcW w:w="2175" w:type="dxa"/>
            <w:shd w:val="clear" w:color="auto" w:fill="D4D8E8" w:themeFill="accent1" w:themeFillTint="33"/>
            <w:vAlign w:val="center"/>
          </w:tcPr>
          <w:p w14:paraId="2D396F6A"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lastRenderedPageBreak/>
              <w:t xml:space="preserve">Deliver culturally competent / safe secondary / tertiary </w:t>
            </w:r>
            <w:r w:rsidRPr="001C671C">
              <w:lastRenderedPageBreak/>
              <w:t>care and rehabilitation.</w:t>
            </w:r>
          </w:p>
        </w:tc>
        <w:tc>
          <w:tcPr>
            <w:tcW w:w="2176" w:type="dxa"/>
            <w:shd w:val="clear" w:color="auto" w:fill="D4D8E8" w:themeFill="accent1" w:themeFillTint="33"/>
            <w:vAlign w:val="center"/>
          </w:tcPr>
          <w:p w14:paraId="0F73F054"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lastRenderedPageBreak/>
              <w:t>Deliver culturally safe services to First Nations clients.</w:t>
            </w:r>
          </w:p>
        </w:tc>
        <w:tc>
          <w:tcPr>
            <w:tcW w:w="2176" w:type="dxa"/>
            <w:shd w:val="clear" w:color="auto" w:fill="D4D8E8" w:themeFill="accent1" w:themeFillTint="33"/>
            <w:vAlign w:val="center"/>
          </w:tcPr>
          <w:p w14:paraId="6DD7908B"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 xml:space="preserve">Use shared care protocols and </w:t>
            </w:r>
            <w:r w:rsidRPr="001C671C">
              <w:lastRenderedPageBreak/>
              <w:t>communication tools.</w:t>
            </w:r>
          </w:p>
        </w:tc>
      </w:tr>
      <w:tr w:rsidR="000C60C7" w:rsidRPr="00A33041" w14:paraId="524F09FF" w14:textId="77777777" w:rsidTr="00411433">
        <w:trPr>
          <w:trHeight w:val="210"/>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4C605C78" w14:textId="77777777" w:rsidR="000C60C7" w:rsidRPr="001C671C" w:rsidRDefault="000C60C7" w:rsidP="001C671C">
            <w:r w:rsidRPr="001C671C">
              <w:lastRenderedPageBreak/>
              <w:t>Workforce development</w:t>
            </w:r>
          </w:p>
        </w:tc>
        <w:tc>
          <w:tcPr>
            <w:tcW w:w="2497" w:type="dxa"/>
            <w:shd w:val="clear" w:color="auto" w:fill="F2F2F2" w:themeFill="background1" w:themeFillShade="F2"/>
            <w:vAlign w:val="center"/>
          </w:tcPr>
          <w:p w14:paraId="27C83A78" w14:textId="4FEDF0BF"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Fund and coordinate training and workforce development (i.e.</w:t>
            </w:r>
            <w:r w:rsidR="00460325" w:rsidRPr="001C671C">
              <w:t xml:space="preserve"> communities of practice</w:t>
            </w:r>
            <w:r w:rsidR="007E1111" w:rsidRPr="001C671C">
              <w:t>, cultural competency</w:t>
            </w:r>
            <w:r w:rsidRPr="001C671C">
              <w:t>).</w:t>
            </w:r>
          </w:p>
        </w:tc>
        <w:tc>
          <w:tcPr>
            <w:tcW w:w="2175" w:type="dxa"/>
            <w:shd w:val="clear" w:color="auto" w:fill="F2F2F2" w:themeFill="background1" w:themeFillShade="F2"/>
            <w:vAlign w:val="center"/>
          </w:tcPr>
          <w:p w14:paraId="4777D407" w14:textId="12F8A569" w:rsidR="000C60C7" w:rsidRPr="001C671C" w:rsidRDefault="0D4148BA" w:rsidP="001C671C">
            <w:pPr>
              <w:cnfStyle w:val="000000000000" w:firstRow="0" w:lastRow="0" w:firstColumn="0" w:lastColumn="0" w:oddVBand="0" w:evenVBand="0" w:oddHBand="0" w:evenHBand="0" w:firstRowFirstColumn="0" w:firstRowLastColumn="0" w:lastRowFirstColumn="0" w:lastRowLastColumn="0"/>
            </w:pPr>
            <w:r w:rsidRPr="001C671C">
              <w:t>Assist in i</w:t>
            </w:r>
            <w:r w:rsidR="000C60C7" w:rsidRPr="001C671C">
              <w:t>dentify</w:t>
            </w:r>
            <w:r w:rsidRPr="001C671C">
              <w:t>ing</w:t>
            </w:r>
            <w:r w:rsidR="000C60C7" w:rsidRPr="001C671C">
              <w:t xml:space="preserve"> gaps </w:t>
            </w:r>
            <w:r w:rsidRPr="001C671C">
              <w:t xml:space="preserve">in cultural competency </w:t>
            </w:r>
            <w:r w:rsidR="42A8EEBB" w:rsidRPr="001C671C">
              <w:t xml:space="preserve">and </w:t>
            </w:r>
            <w:r w:rsidR="17C39451" w:rsidRPr="001C671C">
              <w:t xml:space="preserve">gaps </w:t>
            </w:r>
            <w:r w:rsidR="489FA45E" w:rsidRPr="001C671C">
              <w:t>within</w:t>
            </w:r>
            <w:r w:rsidR="000C60C7" w:rsidRPr="001C671C">
              <w:t xml:space="preserve"> </w:t>
            </w:r>
            <w:r w:rsidR="4728B6F9" w:rsidRPr="001C671C">
              <w:t>the</w:t>
            </w:r>
            <w:r w:rsidR="000C60C7" w:rsidRPr="001C671C">
              <w:t xml:space="preserve"> local workforce. </w:t>
            </w:r>
          </w:p>
        </w:tc>
        <w:tc>
          <w:tcPr>
            <w:tcW w:w="2175" w:type="dxa"/>
            <w:shd w:val="clear" w:color="auto" w:fill="F2F2F2" w:themeFill="background1" w:themeFillShade="F2"/>
            <w:vAlign w:val="center"/>
          </w:tcPr>
          <w:p w14:paraId="5B0DE07D"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Participate in CPD; engage in cultural awareness training.</w:t>
            </w:r>
          </w:p>
        </w:tc>
        <w:tc>
          <w:tcPr>
            <w:tcW w:w="2175" w:type="dxa"/>
            <w:shd w:val="clear" w:color="auto" w:fill="F2F2F2" w:themeFill="background1" w:themeFillShade="F2"/>
            <w:vAlign w:val="center"/>
          </w:tcPr>
          <w:p w14:paraId="3E6A1458"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Train and support culturally aware multidisciplinary teams.</w:t>
            </w:r>
          </w:p>
        </w:tc>
        <w:tc>
          <w:tcPr>
            <w:tcW w:w="2176" w:type="dxa"/>
            <w:shd w:val="clear" w:color="auto" w:fill="F2F2F2" w:themeFill="background1" w:themeFillShade="F2"/>
            <w:vAlign w:val="center"/>
          </w:tcPr>
          <w:p w14:paraId="069B5441" w14:textId="64EF276A"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Build capacity in the ACCH</w:t>
            </w:r>
            <w:r w:rsidR="00BD3909" w:rsidRPr="001C671C">
              <w:t>S</w:t>
            </w:r>
            <w:r w:rsidRPr="001C671C">
              <w:t xml:space="preserve"> workforce.</w:t>
            </w:r>
          </w:p>
        </w:tc>
        <w:tc>
          <w:tcPr>
            <w:tcW w:w="2176" w:type="dxa"/>
            <w:shd w:val="clear" w:color="auto" w:fill="F2F2F2" w:themeFill="background1" w:themeFillShade="F2"/>
            <w:vAlign w:val="center"/>
          </w:tcPr>
          <w:p w14:paraId="0FFC04C1"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Develop shared training platforms and communication tools to build a culturally competent workforce.</w:t>
            </w:r>
          </w:p>
        </w:tc>
      </w:tr>
      <w:tr w:rsidR="000C60C7" w:rsidRPr="00A33041" w14:paraId="54599844" w14:textId="77777777" w:rsidTr="00411433">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3D3F6A15" w14:textId="77777777" w:rsidR="000C60C7" w:rsidRPr="001C671C" w:rsidRDefault="000C60C7" w:rsidP="001C671C">
            <w:r w:rsidRPr="001C671C">
              <w:t>Data and reporting</w:t>
            </w:r>
          </w:p>
        </w:tc>
        <w:tc>
          <w:tcPr>
            <w:tcW w:w="2497" w:type="dxa"/>
            <w:shd w:val="clear" w:color="auto" w:fill="D4D8E8" w:themeFill="accent1" w:themeFillTint="33"/>
            <w:vAlign w:val="center"/>
          </w:tcPr>
          <w:p w14:paraId="44D5776D"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Set KPIs, support data systems and monitor outcomes.</w:t>
            </w:r>
          </w:p>
        </w:tc>
        <w:tc>
          <w:tcPr>
            <w:tcW w:w="2175" w:type="dxa"/>
            <w:shd w:val="clear" w:color="auto" w:fill="D4D8E8" w:themeFill="accent1" w:themeFillTint="33"/>
            <w:vAlign w:val="center"/>
          </w:tcPr>
          <w:p w14:paraId="4C537B98"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Share and interpret regional data to inform program outcomes. Leverage existing data infrastructure.</w:t>
            </w:r>
          </w:p>
        </w:tc>
        <w:tc>
          <w:tcPr>
            <w:tcW w:w="2175" w:type="dxa"/>
            <w:shd w:val="clear" w:color="auto" w:fill="D4D8E8" w:themeFill="accent1" w:themeFillTint="33"/>
            <w:vAlign w:val="center"/>
          </w:tcPr>
          <w:p w14:paraId="39B95EBF"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Record and share data on care delivery and outcomes. Provide community outcomes and client feedback.</w:t>
            </w:r>
          </w:p>
        </w:tc>
        <w:tc>
          <w:tcPr>
            <w:tcW w:w="2175" w:type="dxa"/>
            <w:shd w:val="clear" w:color="auto" w:fill="D4D8E8" w:themeFill="accent1" w:themeFillTint="33"/>
            <w:vAlign w:val="center"/>
          </w:tcPr>
          <w:p w14:paraId="177487C7" w14:textId="7EAD7A43"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Provide hospital data (</w:t>
            </w:r>
            <w:r w:rsidR="004E1DBE" w:rsidRPr="001C671C">
              <w:t xml:space="preserve">emergency department </w:t>
            </w:r>
            <w:r w:rsidRPr="001C671C">
              <w:t xml:space="preserve">admissions, </w:t>
            </w:r>
            <w:r w:rsidR="004E1DBE" w:rsidRPr="001C671C">
              <w:t>potentially preventable hospitalisations</w:t>
            </w:r>
            <w:r w:rsidRPr="001C671C">
              <w:t>).</w:t>
            </w:r>
          </w:p>
        </w:tc>
        <w:tc>
          <w:tcPr>
            <w:tcW w:w="2176" w:type="dxa"/>
            <w:shd w:val="clear" w:color="auto" w:fill="D4D8E8" w:themeFill="accent1" w:themeFillTint="33"/>
            <w:vAlign w:val="center"/>
          </w:tcPr>
          <w:p w14:paraId="6C898E38"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Record and share data on care delivery and outcomes. Provide community outcomes and client feedback.</w:t>
            </w:r>
          </w:p>
        </w:tc>
        <w:tc>
          <w:tcPr>
            <w:tcW w:w="2176" w:type="dxa"/>
            <w:shd w:val="clear" w:color="auto" w:fill="D4D8E8" w:themeFill="accent1" w:themeFillTint="33"/>
            <w:vAlign w:val="center"/>
          </w:tcPr>
          <w:p w14:paraId="7421EBA2"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Use shared data dashboards and real-time feedback loops.</w:t>
            </w:r>
          </w:p>
        </w:tc>
      </w:tr>
      <w:tr w:rsidR="000C60C7" w:rsidRPr="00A33041" w14:paraId="7D24CC22" w14:textId="77777777" w:rsidTr="00BD3909">
        <w:trPr>
          <w:trHeight w:val="145"/>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35FB87B5" w14:textId="77777777" w:rsidR="000C60C7" w:rsidRPr="001C671C" w:rsidRDefault="000C60C7" w:rsidP="001C671C">
            <w:r w:rsidRPr="001C671C">
              <w:t>Consumer engagement</w:t>
            </w:r>
          </w:p>
        </w:tc>
        <w:tc>
          <w:tcPr>
            <w:tcW w:w="2497" w:type="dxa"/>
            <w:shd w:val="clear" w:color="auto" w:fill="F2F2F2" w:themeFill="background1" w:themeFillShade="F2"/>
            <w:vAlign w:val="center"/>
          </w:tcPr>
          <w:p w14:paraId="0D91EDD1"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Engage First Nations people in all aspects of commissioning.</w:t>
            </w:r>
          </w:p>
        </w:tc>
        <w:tc>
          <w:tcPr>
            <w:tcW w:w="2175" w:type="dxa"/>
            <w:shd w:val="clear" w:color="auto" w:fill="F2F2F2" w:themeFill="background1" w:themeFillShade="F2"/>
            <w:vAlign w:val="center"/>
          </w:tcPr>
          <w:p w14:paraId="325D3435"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Facilitate connections with community groups.</w:t>
            </w:r>
          </w:p>
        </w:tc>
        <w:tc>
          <w:tcPr>
            <w:tcW w:w="2175" w:type="dxa"/>
            <w:shd w:val="clear" w:color="auto" w:fill="F2F2F2" w:themeFill="background1" w:themeFillShade="F2"/>
            <w:vAlign w:val="center"/>
          </w:tcPr>
          <w:p w14:paraId="3CA8A175"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Include patient feedback on referral pathways and participation.</w:t>
            </w:r>
          </w:p>
        </w:tc>
        <w:tc>
          <w:tcPr>
            <w:tcW w:w="2175" w:type="dxa"/>
            <w:shd w:val="clear" w:color="auto" w:fill="F2F2F2" w:themeFill="background1" w:themeFillShade="F2"/>
            <w:vAlign w:val="center"/>
          </w:tcPr>
          <w:p w14:paraId="2C46D4EE"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Seek patient/clinician feedback to improve chronic disease pathways.</w:t>
            </w:r>
          </w:p>
        </w:tc>
        <w:tc>
          <w:tcPr>
            <w:tcW w:w="2176" w:type="dxa"/>
            <w:shd w:val="clear" w:color="auto" w:fill="F2F2F2" w:themeFill="background1" w:themeFillShade="F2"/>
            <w:vAlign w:val="center"/>
          </w:tcPr>
          <w:p w14:paraId="3463769E"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Ensure cultural protocols for engagement.</w:t>
            </w:r>
          </w:p>
        </w:tc>
        <w:tc>
          <w:tcPr>
            <w:tcW w:w="2176" w:type="dxa"/>
            <w:shd w:val="clear" w:color="auto" w:fill="F2F2F2" w:themeFill="background1" w:themeFillShade="F2"/>
            <w:vAlign w:val="center"/>
          </w:tcPr>
          <w:p w14:paraId="66CA622A" w14:textId="77777777" w:rsidR="000C60C7" w:rsidRPr="001C671C" w:rsidRDefault="000C60C7" w:rsidP="001C671C">
            <w:pPr>
              <w:cnfStyle w:val="000000000000" w:firstRow="0" w:lastRow="0" w:firstColumn="0" w:lastColumn="0" w:oddVBand="0" w:evenVBand="0" w:oddHBand="0" w:evenHBand="0" w:firstRowFirstColumn="0" w:firstRowLastColumn="0" w:lastRowFirstColumn="0" w:lastRowLastColumn="0"/>
            </w:pPr>
            <w:r w:rsidRPr="001C671C">
              <w:t>Joint consumer advisory groups that reflect diversity.</w:t>
            </w:r>
          </w:p>
        </w:tc>
      </w:tr>
      <w:tr w:rsidR="000C60C7" w:rsidRPr="00A33041" w14:paraId="29393BF9" w14:textId="77777777" w:rsidTr="00BD3909">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1937" w:type="dxa"/>
            <w:shd w:val="clear" w:color="auto" w:fill="003C5F" w:themeFill="accent3" w:themeFillShade="80"/>
            <w:vAlign w:val="center"/>
          </w:tcPr>
          <w:p w14:paraId="07B81D41" w14:textId="2F145F18" w:rsidR="000C60C7" w:rsidRPr="001C671C" w:rsidRDefault="000C60C7" w:rsidP="001C671C">
            <w:r w:rsidRPr="001C671C">
              <w:lastRenderedPageBreak/>
              <w:t>Decommissioning and change management</w:t>
            </w:r>
          </w:p>
        </w:tc>
        <w:tc>
          <w:tcPr>
            <w:tcW w:w="2497" w:type="dxa"/>
            <w:shd w:val="clear" w:color="auto" w:fill="D4D8E8" w:themeFill="text2" w:themeFillTint="33"/>
            <w:vAlign w:val="center"/>
          </w:tcPr>
          <w:p w14:paraId="3D47057B"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Identify underperforming services and apply strength-based treatments, lead structured change processes and transition plans.</w:t>
            </w:r>
          </w:p>
        </w:tc>
        <w:tc>
          <w:tcPr>
            <w:tcW w:w="2175" w:type="dxa"/>
            <w:shd w:val="clear" w:color="auto" w:fill="D4D8E8" w:themeFill="text2" w:themeFillTint="33"/>
            <w:vAlign w:val="center"/>
          </w:tcPr>
          <w:p w14:paraId="68AA025E"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Provide regional context and support transition planning. Leverage existing experience.</w:t>
            </w:r>
          </w:p>
        </w:tc>
        <w:tc>
          <w:tcPr>
            <w:tcW w:w="2175" w:type="dxa"/>
            <w:shd w:val="clear" w:color="auto" w:fill="D4D8E8" w:themeFill="text2" w:themeFillTint="33"/>
            <w:vAlign w:val="center"/>
          </w:tcPr>
          <w:p w14:paraId="5D29C350"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Provide clinical input on affected services; adapt workflows; communicate with patients and be involved in patient transfer.</w:t>
            </w:r>
          </w:p>
        </w:tc>
        <w:tc>
          <w:tcPr>
            <w:tcW w:w="2175" w:type="dxa"/>
            <w:shd w:val="clear" w:color="auto" w:fill="D4D8E8" w:themeFill="text2" w:themeFillTint="33"/>
            <w:vAlign w:val="center"/>
          </w:tcPr>
          <w:p w14:paraId="2636B4DF"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N/A (Should be involved in communications to note new referral pathways or establish relationships)</w:t>
            </w:r>
          </w:p>
        </w:tc>
        <w:tc>
          <w:tcPr>
            <w:tcW w:w="2176" w:type="dxa"/>
            <w:shd w:val="clear" w:color="auto" w:fill="D4D8E8" w:themeFill="text2" w:themeFillTint="33"/>
            <w:vAlign w:val="center"/>
          </w:tcPr>
          <w:p w14:paraId="1BC59C91"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Provide clinical input on affected services; adapt workflows; communicate with patients and be involved in patient transfer.</w:t>
            </w:r>
          </w:p>
        </w:tc>
        <w:tc>
          <w:tcPr>
            <w:tcW w:w="2176" w:type="dxa"/>
            <w:shd w:val="clear" w:color="auto" w:fill="D4D8E8" w:themeFill="text2" w:themeFillTint="33"/>
            <w:vAlign w:val="center"/>
          </w:tcPr>
          <w:p w14:paraId="07141A15" w14:textId="77777777" w:rsidR="000C60C7" w:rsidRPr="001C671C" w:rsidRDefault="000C60C7" w:rsidP="001C671C">
            <w:pPr>
              <w:cnfStyle w:val="000000100000" w:firstRow="0" w:lastRow="0" w:firstColumn="0" w:lastColumn="0" w:oddVBand="0" w:evenVBand="0" w:oddHBand="1" w:evenHBand="0" w:firstRowFirstColumn="0" w:firstRowLastColumn="0" w:lastRowFirstColumn="0" w:lastRowLastColumn="0"/>
            </w:pPr>
            <w:r w:rsidRPr="001C671C">
              <w:t>Work collaboratively to develop transition plans that ensure client service continuity with appropriate lead time for communications.</w:t>
            </w:r>
          </w:p>
        </w:tc>
      </w:tr>
    </w:tbl>
    <w:p w14:paraId="2B7776A9" w14:textId="77777777" w:rsidR="0053136A" w:rsidRPr="00407480" w:rsidRDefault="0053136A" w:rsidP="001C671C"/>
    <w:sectPr w:rsidR="0053136A" w:rsidRPr="00407480" w:rsidSect="00255C98">
      <w:headerReference w:type="default" r:id="rId24"/>
      <w:pgSz w:w="16838" w:h="11906" w:orient="landscape"/>
      <w:pgMar w:top="720" w:right="720" w:bottom="720" w:left="720" w:header="73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6CB4" w14:textId="77777777" w:rsidR="004C2474" w:rsidRDefault="004C2474" w:rsidP="001C671C">
      <w:r>
        <w:separator/>
      </w:r>
    </w:p>
    <w:p w14:paraId="348D39DD" w14:textId="77777777" w:rsidR="004C2474" w:rsidRDefault="004C2474" w:rsidP="001C671C"/>
  </w:endnote>
  <w:endnote w:type="continuationSeparator" w:id="0">
    <w:p w14:paraId="5B5A6CFC" w14:textId="77777777" w:rsidR="004C2474" w:rsidRDefault="004C2474" w:rsidP="001C671C">
      <w:r>
        <w:continuationSeparator/>
      </w:r>
    </w:p>
    <w:p w14:paraId="3713E321" w14:textId="77777777" w:rsidR="004C2474" w:rsidRDefault="004C2474" w:rsidP="001C671C"/>
  </w:endnote>
  <w:endnote w:type="continuationNotice" w:id="1">
    <w:p w14:paraId="5B871864" w14:textId="77777777" w:rsidR="004C2474" w:rsidRDefault="004C2474" w:rsidP="001C6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039" w14:textId="3E1E9CC3" w:rsidR="00375E1A" w:rsidRDefault="00375E1A" w:rsidP="001C671C">
    <w:pPr>
      <w:pStyle w:val="Footer"/>
    </w:pPr>
    <w:r>
      <w:rPr>
        <w:noProof/>
      </w:rPr>
      <mc:AlternateContent>
        <mc:Choice Requires="wps">
          <w:drawing>
            <wp:anchor distT="0" distB="0" distL="0" distR="0" simplePos="0" relativeHeight="251666433" behindDoc="0" locked="0" layoutInCell="1" allowOverlap="1" wp14:anchorId="3770B264" wp14:editId="6CFC297C">
              <wp:simplePos x="635" y="635"/>
              <wp:positionH relativeFrom="page">
                <wp:align>center</wp:align>
              </wp:positionH>
              <wp:positionV relativeFrom="page">
                <wp:align>bottom</wp:align>
              </wp:positionV>
              <wp:extent cx="551815" cy="376555"/>
              <wp:effectExtent l="0" t="0" r="635" b="0"/>
              <wp:wrapNone/>
              <wp:docPr id="706919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DF83D2" w14:textId="7DD0E41B" w:rsidR="00375E1A" w:rsidRPr="00375E1A" w:rsidRDefault="00375E1A" w:rsidP="001C671C">
                          <w:pPr>
                            <w:rPr>
                              <w:noProof/>
                            </w:rPr>
                          </w:pPr>
                          <w:r w:rsidRPr="00375E1A">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0B264" id="_x0000_t202" coordsize="21600,21600" o:spt="202" path="m,l,21600r21600,l21600,xe">
              <v:stroke joinstyle="miter"/>
              <v:path gradientshapeok="t" o:connecttype="rect"/>
            </v:shapetype>
            <v:shape id="Text Box 8" o:spid="_x0000_s1029" type="#_x0000_t202" alt="OFFICIAL" style="position:absolute;margin-left:0;margin-top:0;width:43.45pt;height:29.65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4DF83D2" w14:textId="7DD0E41B" w:rsidR="00375E1A" w:rsidRPr="00375E1A" w:rsidRDefault="00375E1A" w:rsidP="001C671C">
                    <w:pPr>
                      <w:rPr>
                        <w:noProof/>
                      </w:rPr>
                    </w:pPr>
                    <w:r w:rsidRPr="00375E1A">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742D" w14:textId="7278B694" w:rsidR="00944B88" w:rsidRDefault="004E1DBE" w:rsidP="00CF2141">
    <w:pPr>
      <w:pStyle w:val="Footer"/>
    </w:pPr>
    <w:r>
      <w:t xml:space="preserve">Information for ITC Commissioning Bodies – October 2025                                                                   </w:t>
    </w:r>
    <w:sdt>
      <w:sdtPr>
        <w:id w:val="307445416"/>
        <w:docPartObj>
          <w:docPartGallery w:val="Page Numbers (Bottom of Page)"/>
          <w:docPartUnique/>
        </w:docPartObj>
      </w:sdtPr>
      <w:sdtEndPr>
        <w:rPr>
          <w:noProof/>
        </w:rPr>
      </w:sdtEndPr>
      <w:sdtContent>
        <w:r w:rsidR="002526FE">
          <w:fldChar w:fldCharType="begin"/>
        </w:r>
        <w:r w:rsidR="002526FE">
          <w:instrText xml:space="preserve"> PAGE   \* MERGEFORMAT </w:instrText>
        </w:r>
        <w:r w:rsidR="002526FE">
          <w:fldChar w:fldCharType="separate"/>
        </w:r>
        <w:r w:rsidR="002526FE">
          <w:rPr>
            <w:noProof/>
          </w:rPr>
          <w:t>2</w:t>
        </w:r>
        <w:r w:rsidR="002526F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7F33" w14:textId="02FE080F" w:rsidR="002526FE" w:rsidRDefault="004E1DBE" w:rsidP="00227E41">
    <w:pPr>
      <w:pStyle w:val="Footer"/>
    </w:pPr>
    <w:r>
      <w:t xml:space="preserve">Information for ITC Commissioning Bodies – October 2025                                                                   </w:t>
    </w:r>
    <w:sdt>
      <w:sdtPr>
        <w:id w:val="694816739"/>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2168" w14:textId="1D6E17B5" w:rsidR="00A912E4" w:rsidRPr="000C60C7" w:rsidRDefault="00000000" w:rsidP="001C671C">
    <w:pPr>
      <w:pStyle w:val="Footer"/>
    </w:pPr>
    <w:sdt>
      <w:sdtPr>
        <w:id w:val="-443848716"/>
        <w:docPartObj>
          <w:docPartGallery w:val="Page Numbers (Bottom of Page)"/>
          <w:docPartUnique/>
        </w:docPartObj>
      </w:sdtPr>
      <w:sdtEndPr>
        <w:rPr>
          <w:noProof/>
        </w:rPr>
      </w:sdtEndPr>
      <w:sdtContent>
        <w:r w:rsidR="004E1DBE">
          <w:t xml:space="preserve">Information for ITC Commissioning Bodies – October 2025                                                                                                                                                                                  </w:t>
        </w:r>
        <w:r w:rsidR="00751A23">
          <w:tab/>
        </w:r>
        <w:r w:rsidR="00751A23" w:rsidRPr="006043C7">
          <w:fldChar w:fldCharType="begin"/>
        </w:r>
        <w:r w:rsidR="00751A23" w:rsidRPr="006043C7">
          <w:instrText xml:space="preserve"> PAGE   \* MERGEFORMAT </w:instrText>
        </w:r>
        <w:r w:rsidR="00751A23" w:rsidRPr="006043C7">
          <w:fldChar w:fldCharType="separate"/>
        </w:r>
        <w:r w:rsidR="00AE474A">
          <w:rPr>
            <w:noProof/>
          </w:rPr>
          <w:t>4</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5270" w14:textId="77777777" w:rsidR="004C2474" w:rsidRDefault="004C2474" w:rsidP="00227E41">
      <w:r>
        <w:separator/>
      </w:r>
    </w:p>
  </w:footnote>
  <w:footnote w:type="continuationSeparator" w:id="0">
    <w:p w14:paraId="44F3032C" w14:textId="77777777" w:rsidR="004C2474" w:rsidRDefault="004C2474" w:rsidP="00227E41">
      <w:r>
        <w:continuationSeparator/>
      </w:r>
    </w:p>
  </w:footnote>
  <w:footnote w:type="continuationNotice" w:id="1">
    <w:p w14:paraId="1A664D98" w14:textId="77777777" w:rsidR="004C2474" w:rsidRDefault="004C2474" w:rsidP="001C671C"/>
  </w:footnote>
  <w:footnote w:id="2">
    <w:p w14:paraId="6A0C7034" w14:textId="35C08EF4" w:rsidR="00944B88" w:rsidRDefault="00944B88" w:rsidP="001C671C">
      <w:pPr>
        <w:pStyle w:val="FootnoteText"/>
      </w:pPr>
      <w:r>
        <w:rPr>
          <w:rStyle w:val="FootnoteReference"/>
        </w:rPr>
        <w:footnoteRef/>
      </w:r>
      <w:r>
        <w:t xml:space="preserve"> </w:t>
      </w:r>
      <w:r w:rsidRPr="000C60C7">
        <w:t>As defined in clause 44 of the National Agreement on Closing the Gap.</w:t>
      </w:r>
    </w:p>
  </w:footnote>
  <w:footnote w:id="3">
    <w:p w14:paraId="4F2EC6BD" w14:textId="1C70F703" w:rsidR="00DB7978" w:rsidRPr="00411433" w:rsidRDefault="00DB7978" w:rsidP="001C671C">
      <w:pPr>
        <w:pStyle w:val="FootnoteText"/>
        <w:rPr>
          <w:color w:val="97A926" w:themeColor="accent6"/>
          <w:sz w:val="16"/>
          <w:szCs w:val="16"/>
        </w:rPr>
      </w:pPr>
      <w:r w:rsidRPr="00411433">
        <w:rPr>
          <w:rStyle w:val="FootnoteReference"/>
        </w:rPr>
        <w:footnoteRef/>
      </w:r>
      <w:r w:rsidRPr="00411433">
        <w:t xml:space="preserve"> The department may take the opportunity to review the existing ITC performance indicators. It </w:t>
      </w:r>
      <w:r w:rsidR="00D6007A" w:rsidRPr="00411433">
        <w:t xml:space="preserve">is </w:t>
      </w:r>
      <w:r w:rsidRPr="00411433">
        <w:t>noted that information collected by a commissioning body may extend beyond the department</w:t>
      </w:r>
      <w:r w:rsidR="00D6007A" w:rsidRPr="00411433">
        <w:t>’s grant requirements.</w:t>
      </w:r>
    </w:p>
  </w:footnote>
  <w:footnote w:id="4">
    <w:p w14:paraId="5B149E8D" w14:textId="77777777" w:rsidR="000C60C7" w:rsidRPr="004C45C4" w:rsidRDefault="000C60C7" w:rsidP="001C671C">
      <w:r w:rsidRPr="004C45C4">
        <w:rPr>
          <w:rStyle w:val="FootnoteReference"/>
          <w:sz w:val="18"/>
          <w:szCs w:val="18"/>
        </w:rPr>
        <w:footnoteRef/>
      </w:r>
      <w:r w:rsidRPr="004C45C4">
        <w:t xml:space="preserve"> </w:t>
      </w:r>
      <w:r w:rsidRPr="000C60C7">
        <w:t>An ideal needs assessment is a comprehensive document designed to inform program delivery for a minimum of 3 years. However, the department acknowledges that short-term program extensions may limit the ability to produce a full assessment, with current reporting focused on minor updates and confirmation that the existing needs assessment remains relevant. The transition will aim to provide the sector with sufficient time to undertake appropriate planning and preparation.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2AE" w14:textId="23DADF23" w:rsidR="00375E1A" w:rsidRDefault="00375E1A" w:rsidP="001C671C">
    <w:pPr>
      <w:pStyle w:val="Header"/>
    </w:pPr>
    <w:r>
      <w:rPr>
        <w:noProof/>
      </w:rPr>
      <mc:AlternateContent>
        <mc:Choice Requires="wps">
          <w:drawing>
            <wp:anchor distT="0" distB="0" distL="0" distR="0" simplePos="0" relativeHeight="251660289" behindDoc="0" locked="0" layoutInCell="1" allowOverlap="1" wp14:anchorId="1EAF0E72" wp14:editId="3C69BFF5">
              <wp:simplePos x="635" y="635"/>
              <wp:positionH relativeFrom="page">
                <wp:align>center</wp:align>
              </wp:positionH>
              <wp:positionV relativeFrom="page">
                <wp:align>top</wp:align>
              </wp:positionV>
              <wp:extent cx="551815" cy="376555"/>
              <wp:effectExtent l="0" t="0" r="635" b="4445"/>
              <wp:wrapNone/>
              <wp:docPr id="1642691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6FDE53" w14:textId="16B0E44E" w:rsidR="00375E1A" w:rsidRPr="00375E1A" w:rsidRDefault="00375E1A" w:rsidP="001C671C">
                          <w:pPr>
                            <w:rPr>
                              <w:noProof/>
                            </w:rPr>
                          </w:pPr>
                          <w:r w:rsidRPr="00375E1A">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F0E72"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86FDE53" w14:textId="16B0E44E" w:rsidR="00375E1A" w:rsidRPr="00375E1A" w:rsidRDefault="00375E1A" w:rsidP="001C671C">
                    <w:pPr>
                      <w:rPr>
                        <w:noProof/>
                      </w:rPr>
                    </w:pPr>
                    <w:r w:rsidRPr="00375E1A">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E122" w14:textId="4D79F387" w:rsidR="009D5B75" w:rsidRPr="009D5B75" w:rsidRDefault="009D5B75" w:rsidP="001C671C">
    <w:pPr>
      <w:pStyle w:val="Header"/>
      <w:rPr>
        <w:noProof/>
        <w:lang w:eastAsia="en-AU"/>
      </w:rPr>
    </w:pPr>
    <w:r w:rsidRPr="009D5B75">
      <w:rPr>
        <w:noProof/>
        <w:lang w:eastAsia="en-AU"/>
      </w:rPr>
      <w:drawing>
        <wp:inline distT="0" distB="0" distL="0" distR="0" wp14:anchorId="358B0476" wp14:editId="6179FD14">
          <wp:extent cx="3302692" cy="523982"/>
          <wp:effectExtent l="0" t="0" r="0" b="9525"/>
          <wp:docPr id="291898898" name="Picture 4"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98898" name="Picture 4" descr="A black background with a black squ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040" cy="539585"/>
                  </a:xfrm>
                  <a:prstGeom prst="rect">
                    <a:avLst/>
                  </a:prstGeom>
                  <a:noFill/>
                  <a:ln>
                    <a:noFill/>
                  </a:ln>
                </pic:spPr>
              </pic:pic>
            </a:graphicData>
          </a:graphic>
        </wp:inline>
      </w:drawing>
    </w:r>
  </w:p>
  <w:p w14:paraId="2D9F4B55" w14:textId="547CD6C0" w:rsidR="000C60C7" w:rsidRDefault="000C60C7" w:rsidP="001C671C">
    <w:pPr>
      <w:pStyle w:val="Header"/>
    </w:pPr>
    <w:r>
      <w:rPr>
        <w:noProof/>
        <w:lang w:eastAsia="en-AU"/>
      </w:rPr>
      <w:drawing>
        <wp:inline distT="0" distB="0" distL="0" distR="0" wp14:anchorId="2842F27A" wp14:editId="756C0888">
          <wp:extent cx="5731510" cy="272719"/>
          <wp:effectExtent l="0" t="0" r="2540" b="0"/>
          <wp:docPr id="1375769892" name="Picture 137576989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banner"/>
                  <pic:cNvPicPr/>
                </pic:nvPicPr>
                <pic:blipFill rotWithShape="1">
                  <a:blip r:embed="rId2">
                    <a:extLst>
                      <a:ext uri="{28A0092B-C50C-407E-A947-70E740481C1C}">
                        <a14:useLocalDpi xmlns:a14="http://schemas.microsoft.com/office/drawing/2010/main" val="0"/>
                      </a:ext>
                    </a:extLst>
                  </a:blip>
                  <a:srcRect l="-1" t="68151" r="-1" b="-2"/>
                  <a:stretch/>
                </pic:blipFill>
                <pic:spPr bwMode="auto">
                  <a:xfrm>
                    <a:off x="0" y="0"/>
                    <a:ext cx="5731510" cy="27271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77B7" w14:textId="6E9D59F9" w:rsidR="00FC6E29" w:rsidRDefault="00FC6E29" w:rsidP="001C67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8796" w14:textId="1A867DDE" w:rsidR="00407480" w:rsidRPr="00407480" w:rsidRDefault="00375E1A" w:rsidP="001C671C">
    <w:pPr>
      <w:pStyle w:val="Headertext"/>
    </w:pPr>
    <w:r>
      <w:rPr>
        <w:noProof/>
        <w:lang w:eastAsia="en-AU"/>
      </w:rPr>
      <mc:AlternateContent>
        <mc:Choice Requires="wps">
          <w:drawing>
            <wp:anchor distT="0" distB="0" distL="0" distR="0" simplePos="0" relativeHeight="251663361" behindDoc="0" locked="0" layoutInCell="1" allowOverlap="1" wp14:anchorId="349771E9" wp14:editId="61A7E4DB">
              <wp:simplePos x="635" y="635"/>
              <wp:positionH relativeFrom="page">
                <wp:align>center</wp:align>
              </wp:positionH>
              <wp:positionV relativeFrom="page">
                <wp:align>top</wp:align>
              </wp:positionV>
              <wp:extent cx="551815" cy="376555"/>
              <wp:effectExtent l="0" t="0" r="635" b="4445"/>
              <wp:wrapNone/>
              <wp:docPr id="75372209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294EA6" w14:textId="78BAEC7A" w:rsidR="00375E1A" w:rsidRPr="00375E1A" w:rsidRDefault="00375E1A" w:rsidP="001C671C">
                          <w:pPr>
                            <w:rPr>
                              <w:noProof/>
                            </w:rPr>
                          </w:pPr>
                          <w:r w:rsidRPr="00375E1A">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771E9"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29.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1294EA6" w14:textId="78BAEC7A" w:rsidR="00375E1A" w:rsidRPr="00375E1A" w:rsidRDefault="00375E1A" w:rsidP="001C671C">
                    <w:pPr>
                      <w:rPr>
                        <w:noProof/>
                      </w:rPr>
                    </w:pPr>
                    <w:r w:rsidRPr="00375E1A">
                      <w:rPr>
                        <w:noProof/>
                      </w:rPr>
                      <w:t>OFFICIAL</w:t>
                    </w:r>
                  </w:p>
                </w:txbxContent>
              </v:textbox>
              <w10:wrap anchorx="page" anchory="page"/>
            </v:shape>
          </w:pict>
        </mc:Fallback>
      </mc:AlternateContent>
    </w:r>
    <w:r w:rsidR="0053136A">
      <w:rPr>
        <w:noProof/>
        <w:lang w:eastAsia="en-AU"/>
      </w:rPr>
      <w:drawing>
        <wp:anchor distT="0" distB="0" distL="114300" distR="114300" simplePos="0" relativeHeight="251658240" behindDoc="0" locked="0" layoutInCell="1" allowOverlap="1" wp14:anchorId="70D1C15B" wp14:editId="40A82F0F">
          <wp:simplePos x="0" y="0"/>
          <wp:positionH relativeFrom="column">
            <wp:posOffset>-207645</wp:posOffset>
          </wp:positionH>
          <wp:positionV relativeFrom="paragraph">
            <wp:posOffset>104103</wp:posOffset>
          </wp:positionV>
          <wp:extent cx="6163945" cy="292735"/>
          <wp:effectExtent l="0" t="0" r="8255" b="0"/>
          <wp:wrapNone/>
          <wp:docPr id="12" name="Picture 1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l="-1" t="68151" r="-1" b="-2"/>
                  <a:stretch/>
                </pic:blipFill>
                <pic:spPr bwMode="auto">
                  <a:xfrm>
                    <a:off x="0" y="0"/>
                    <a:ext cx="6163945" cy="29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136A" w:rsidRPr="00407480">
      <w:rPr>
        <w:noProof/>
      </w:rPr>
      <w:drawing>
        <wp:anchor distT="0" distB="0" distL="114300" distR="114300" simplePos="0" relativeHeight="251658241" behindDoc="0" locked="0" layoutInCell="1" allowOverlap="1" wp14:anchorId="74049F27" wp14:editId="105F7481">
          <wp:simplePos x="0" y="0"/>
          <wp:positionH relativeFrom="column">
            <wp:posOffset>-207645</wp:posOffset>
          </wp:positionH>
          <wp:positionV relativeFrom="paragraph">
            <wp:posOffset>-319405</wp:posOffset>
          </wp:positionV>
          <wp:extent cx="3044190" cy="482600"/>
          <wp:effectExtent l="0" t="0" r="3810" b="0"/>
          <wp:wrapNone/>
          <wp:docPr id="237517875" name="Picture 2"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17875" name="Picture 2" descr="A black background with a black squ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419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8ADE4" w14:textId="77BDC4C1" w:rsidR="008E0C77" w:rsidRDefault="008E0C77" w:rsidP="001C671C">
    <w:pPr>
      <w:pStyle w:val="Headertext"/>
    </w:pPr>
  </w:p>
  <w:p w14:paraId="53092150" w14:textId="77777777" w:rsidR="00A912E4" w:rsidRDefault="00A912E4" w:rsidP="001C671C"/>
  <w:p w14:paraId="5ADE44FD" w14:textId="77777777" w:rsidR="00A912E4" w:rsidRDefault="00A912E4" w:rsidP="001C671C"/>
  <w:p w14:paraId="6620EC8A" w14:textId="77777777" w:rsidR="00A912E4" w:rsidRDefault="00A912E4" w:rsidP="001C671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40E2" w14:textId="76B3D354" w:rsidR="000C60C7" w:rsidRDefault="006C339F" w:rsidP="00CF2141">
    <w:r>
      <w:t xml:space="preserve">Appendix </w:t>
    </w:r>
    <w:r w:rsidR="00255C98">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303BC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E73092"/>
    <w:multiLevelType w:val="hybridMultilevel"/>
    <w:tmpl w:val="FB404BF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DD5B07"/>
    <w:multiLevelType w:val="hybridMultilevel"/>
    <w:tmpl w:val="B120A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8EF58B0"/>
    <w:multiLevelType w:val="hybridMultilevel"/>
    <w:tmpl w:val="4754F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61C61A2"/>
    <w:multiLevelType w:val="multilevel"/>
    <w:tmpl w:val="BFE66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C692B5C"/>
    <w:multiLevelType w:val="hybridMultilevel"/>
    <w:tmpl w:val="27403862"/>
    <w:lvl w:ilvl="0" w:tplc="94F868A2">
      <w:start w:val="1"/>
      <w:numFmt w:val="bullet"/>
      <w:pStyle w:val="List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C15FF1"/>
    <w:multiLevelType w:val="hybridMultilevel"/>
    <w:tmpl w:val="9988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F4348D"/>
    <w:multiLevelType w:val="hybridMultilevel"/>
    <w:tmpl w:val="8C9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E55BFA"/>
    <w:multiLevelType w:val="hybridMultilevel"/>
    <w:tmpl w:val="944A55BA"/>
    <w:lvl w:ilvl="0" w:tplc="1C4A855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FA6E25"/>
    <w:multiLevelType w:val="hybridMultilevel"/>
    <w:tmpl w:val="819E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34917677">
    <w:abstractNumId w:val="7"/>
  </w:num>
  <w:num w:numId="2" w16cid:durableId="411465509">
    <w:abstractNumId w:val="19"/>
  </w:num>
  <w:num w:numId="3" w16cid:durableId="704526687">
    <w:abstractNumId w:val="24"/>
  </w:num>
  <w:num w:numId="4" w16cid:durableId="1412586256">
    <w:abstractNumId w:val="8"/>
  </w:num>
  <w:num w:numId="5" w16cid:durableId="214438900">
    <w:abstractNumId w:val="8"/>
    <w:lvlOverride w:ilvl="0">
      <w:startOverride w:val="1"/>
    </w:lvlOverride>
  </w:num>
  <w:num w:numId="6" w16cid:durableId="500043298">
    <w:abstractNumId w:val="10"/>
  </w:num>
  <w:num w:numId="7" w16cid:durableId="1562865931">
    <w:abstractNumId w:val="16"/>
  </w:num>
  <w:num w:numId="8" w16cid:durableId="1409232663">
    <w:abstractNumId w:val="23"/>
  </w:num>
  <w:num w:numId="9" w16cid:durableId="368071147">
    <w:abstractNumId w:val="5"/>
  </w:num>
  <w:num w:numId="10" w16cid:durableId="1071196960">
    <w:abstractNumId w:val="4"/>
  </w:num>
  <w:num w:numId="11" w16cid:durableId="80376365">
    <w:abstractNumId w:val="3"/>
  </w:num>
  <w:num w:numId="12" w16cid:durableId="552469690">
    <w:abstractNumId w:val="2"/>
  </w:num>
  <w:num w:numId="13" w16cid:durableId="1386102742">
    <w:abstractNumId w:val="6"/>
  </w:num>
  <w:num w:numId="14" w16cid:durableId="1828326031">
    <w:abstractNumId w:val="1"/>
  </w:num>
  <w:num w:numId="15" w16cid:durableId="664819532">
    <w:abstractNumId w:val="0"/>
  </w:num>
  <w:num w:numId="16" w16cid:durableId="725495044">
    <w:abstractNumId w:val="26"/>
  </w:num>
  <w:num w:numId="17" w16cid:durableId="1885018655">
    <w:abstractNumId w:val="11"/>
  </w:num>
  <w:num w:numId="18" w16cid:durableId="2139569287">
    <w:abstractNumId w:val="12"/>
  </w:num>
  <w:num w:numId="19" w16cid:durableId="897714293">
    <w:abstractNumId w:val="14"/>
  </w:num>
  <w:num w:numId="20" w16cid:durableId="1874682888">
    <w:abstractNumId w:val="20"/>
  </w:num>
  <w:num w:numId="21" w16cid:durableId="1943956084">
    <w:abstractNumId w:val="15"/>
  </w:num>
  <w:num w:numId="22" w16cid:durableId="68038573">
    <w:abstractNumId w:val="18"/>
  </w:num>
  <w:num w:numId="23" w16cid:durableId="1894584313">
    <w:abstractNumId w:val="25"/>
  </w:num>
  <w:num w:numId="24" w16cid:durableId="92364442">
    <w:abstractNumId w:val="21"/>
  </w:num>
  <w:num w:numId="25" w16cid:durableId="424350133">
    <w:abstractNumId w:val="9"/>
  </w:num>
  <w:num w:numId="26" w16cid:durableId="95754220">
    <w:abstractNumId w:val="22"/>
  </w:num>
  <w:num w:numId="27" w16cid:durableId="214589614">
    <w:abstractNumId w:val="13"/>
  </w:num>
  <w:num w:numId="28" w16cid:durableId="1991321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80"/>
    <w:rsid w:val="00003743"/>
    <w:rsid w:val="00003D84"/>
    <w:rsid w:val="000047B4"/>
    <w:rsid w:val="00005712"/>
    <w:rsid w:val="00007FD8"/>
    <w:rsid w:val="000117F8"/>
    <w:rsid w:val="00014DEE"/>
    <w:rsid w:val="000201C8"/>
    <w:rsid w:val="000206E6"/>
    <w:rsid w:val="00021AD5"/>
    <w:rsid w:val="00026139"/>
    <w:rsid w:val="00027071"/>
    <w:rsid w:val="00027601"/>
    <w:rsid w:val="00032436"/>
    <w:rsid w:val="00032EC2"/>
    <w:rsid w:val="00033321"/>
    <w:rsid w:val="000338E5"/>
    <w:rsid w:val="00033ECC"/>
    <w:rsid w:val="0003422F"/>
    <w:rsid w:val="00042E32"/>
    <w:rsid w:val="00044DF0"/>
    <w:rsid w:val="00046FF0"/>
    <w:rsid w:val="00050176"/>
    <w:rsid w:val="00052651"/>
    <w:rsid w:val="00062B65"/>
    <w:rsid w:val="000645BA"/>
    <w:rsid w:val="00067456"/>
    <w:rsid w:val="00071506"/>
    <w:rsid w:val="0007154F"/>
    <w:rsid w:val="0007624F"/>
    <w:rsid w:val="00076C3C"/>
    <w:rsid w:val="000809B5"/>
    <w:rsid w:val="00081AB1"/>
    <w:rsid w:val="00081D91"/>
    <w:rsid w:val="0008350D"/>
    <w:rsid w:val="00090316"/>
    <w:rsid w:val="0009290D"/>
    <w:rsid w:val="00093981"/>
    <w:rsid w:val="00093CD9"/>
    <w:rsid w:val="000B067A"/>
    <w:rsid w:val="000B09F8"/>
    <w:rsid w:val="000B1540"/>
    <w:rsid w:val="000B33FD"/>
    <w:rsid w:val="000B4ABA"/>
    <w:rsid w:val="000B77E1"/>
    <w:rsid w:val="000C4B16"/>
    <w:rsid w:val="000C50C3"/>
    <w:rsid w:val="000C60C7"/>
    <w:rsid w:val="000D21F6"/>
    <w:rsid w:val="000D42C3"/>
    <w:rsid w:val="000D4500"/>
    <w:rsid w:val="000D7AEA"/>
    <w:rsid w:val="000E01A9"/>
    <w:rsid w:val="000E1C9C"/>
    <w:rsid w:val="000E2C66"/>
    <w:rsid w:val="000E4034"/>
    <w:rsid w:val="000E6E7D"/>
    <w:rsid w:val="000F123C"/>
    <w:rsid w:val="000F2FED"/>
    <w:rsid w:val="00100D6F"/>
    <w:rsid w:val="0010616D"/>
    <w:rsid w:val="00106DC0"/>
    <w:rsid w:val="00110478"/>
    <w:rsid w:val="00112597"/>
    <w:rsid w:val="0011309B"/>
    <w:rsid w:val="0011711B"/>
    <w:rsid w:val="00117F8A"/>
    <w:rsid w:val="00121B9B"/>
    <w:rsid w:val="00122ADC"/>
    <w:rsid w:val="00126985"/>
    <w:rsid w:val="00130F59"/>
    <w:rsid w:val="00131F54"/>
    <w:rsid w:val="0013348B"/>
    <w:rsid w:val="00133EC0"/>
    <w:rsid w:val="00141CE5"/>
    <w:rsid w:val="00143C57"/>
    <w:rsid w:val="00144908"/>
    <w:rsid w:val="0014563B"/>
    <w:rsid w:val="00145852"/>
    <w:rsid w:val="00151868"/>
    <w:rsid w:val="001532A9"/>
    <w:rsid w:val="00154D9D"/>
    <w:rsid w:val="001571C7"/>
    <w:rsid w:val="001605AF"/>
    <w:rsid w:val="00161094"/>
    <w:rsid w:val="00165D6B"/>
    <w:rsid w:val="00172A55"/>
    <w:rsid w:val="001758CD"/>
    <w:rsid w:val="0017665C"/>
    <w:rsid w:val="00177103"/>
    <w:rsid w:val="00177AD2"/>
    <w:rsid w:val="001815A8"/>
    <w:rsid w:val="001821E4"/>
    <w:rsid w:val="001840FA"/>
    <w:rsid w:val="00184F0C"/>
    <w:rsid w:val="001853FB"/>
    <w:rsid w:val="001867AA"/>
    <w:rsid w:val="00186D99"/>
    <w:rsid w:val="00190079"/>
    <w:rsid w:val="0019622E"/>
    <w:rsid w:val="001966A7"/>
    <w:rsid w:val="001A4627"/>
    <w:rsid w:val="001A4979"/>
    <w:rsid w:val="001B15D3"/>
    <w:rsid w:val="001B3443"/>
    <w:rsid w:val="001B4746"/>
    <w:rsid w:val="001B498A"/>
    <w:rsid w:val="001B728A"/>
    <w:rsid w:val="001C0326"/>
    <w:rsid w:val="001C05E2"/>
    <w:rsid w:val="001C0EBA"/>
    <w:rsid w:val="001C192F"/>
    <w:rsid w:val="001C1F04"/>
    <w:rsid w:val="001C3C42"/>
    <w:rsid w:val="001C671C"/>
    <w:rsid w:val="001C6886"/>
    <w:rsid w:val="001D7869"/>
    <w:rsid w:val="001E5BDC"/>
    <w:rsid w:val="001E630D"/>
    <w:rsid w:val="001F08D5"/>
    <w:rsid w:val="001F0C21"/>
    <w:rsid w:val="001F2F78"/>
    <w:rsid w:val="00201477"/>
    <w:rsid w:val="002026CD"/>
    <w:rsid w:val="002033FC"/>
    <w:rsid w:val="002042F0"/>
    <w:rsid w:val="002043DD"/>
    <w:rsid w:val="002044BB"/>
    <w:rsid w:val="00210B09"/>
    <w:rsid w:val="00210C9E"/>
    <w:rsid w:val="00211840"/>
    <w:rsid w:val="00220E5F"/>
    <w:rsid w:val="002212B5"/>
    <w:rsid w:val="00226668"/>
    <w:rsid w:val="00227E41"/>
    <w:rsid w:val="00233809"/>
    <w:rsid w:val="00233E45"/>
    <w:rsid w:val="00240046"/>
    <w:rsid w:val="00240651"/>
    <w:rsid w:val="00244413"/>
    <w:rsid w:val="0024628A"/>
    <w:rsid w:val="00246E34"/>
    <w:rsid w:val="0024797F"/>
    <w:rsid w:val="0025119E"/>
    <w:rsid w:val="00251269"/>
    <w:rsid w:val="002526FE"/>
    <w:rsid w:val="002535C0"/>
    <w:rsid w:val="00255C98"/>
    <w:rsid w:val="002579FE"/>
    <w:rsid w:val="0026311C"/>
    <w:rsid w:val="002660DC"/>
    <w:rsid w:val="0026668C"/>
    <w:rsid w:val="00266AC1"/>
    <w:rsid w:val="002673E4"/>
    <w:rsid w:val="0027178C"/>
    <w:rsid w:val="002719FA"/>
    <w:rsid w:val="00272668"/>
    <w:rsid w:val="0027330B"/>
    <w:rsid w:val="00273598"/>
    <w:rsid w:val="00274651"/>
    <w:rsid w:val="002754E5"/>
    <w:rsid w:val="002803AD"/>
    <w:rsid w:val="00282052"/>
    <w:rsid w:val="0028363D"/>
    <w:rsid w:val="0028519E"/>
    <w:rsid w:val="002856A5"/>
    <w:rsid w:val="002872ED"/>
    <w:rsid w:val="002905C2"/>
    <w:rsid w:val="002917A9"/>
    <w:rsid w:val="00291ED1"/>
    <w:rsid w:val="00295AF2"/>
    <w:rsid w:val="00295C91"/>
    <w:rsid w:val="00297151"/>
    <w:rsid w:val="002A0C88"/>
    <w:rsid w:val="002A743A"/>
    <w:rsid w:val="002B20E6"/>
    <w:rsid w:val="002B42A3"/>
    <w:rsid w:val="002B52BF"/>
    <w:rsid w:val="002B5B4C"/>
    <w:rsid w:val="002C0CDD"/>
    <w:rsid w:val="002D0408"/>
    <w:rsid w:val="002D5D96"/>
    <w:rsid w:val="002E0F2D"/>
    <w:rsid w:val="002E1A1D"/>
    <w:rsid w:val="002E4081"/>
    <w:rsid w:val="002E46C6"/>
    <w:rsid w:val="002E5B78"/>
    <w:rsid w:val="002F2F16"/>
    <w:rsid w:val="002F3AE3"/>
    <w:rsid w:val="003004B3"/>
    <w:rsid w:val="00304578"/>
    <w:rsid w:val="0030464B"/>
    <w:rsid w:val="0030786C"/>
    <w:rsid w:val="003233DE"/>
    <w:rsid w:val="0032466B"/>
    <w:rsid w:val="00324C20"/>
    <w:rsid w:val="00324FF1"/>
    <w:rsid w:val="003251E5"/>
    <w:rsid w:val="00325781"/>
    <w:rsid w:val="00327B44"/>
    <w:rsid w:val="00332B81"/>
    <w:rsid w:val="003330EB"/>
    <w:rsid w:val="00335912"/>
    <w:rsid w:val="00336605"/>
    <w:rsid w:val="00336E40"/>
    <w:rsid w:val="00341564"/>
    <w:rsid w:val="003415FD"/>
    <w:rsid w:val="003429F0"/>
    <w:rsid w:val="0034357B"/>
    <w:rsid w:val="00345947"/>
    <w:rsid w:val="0035097A"/>
    <w:rsid w:val="003540A4"/>
    <w:rsid w:val="00360E4E"/>
    <w:rsid w:val="00361A62"/>
    <w:rsid w:val="00370AAA"/>
    <w:rsid w:val="00375E1A"/>
    <w:rsid w:val="00375F77"/>
    <w:rsid w:val="00377A78"/>
    <w:rsid w:val="00381BBE"/>
    <w:rsid w:val="0038221A"/>
    <w:rsid w:val="00382903"/>
    <w:rsid w:val="003846FF"/>
    <w:rsid w:val="00385AD4"/>
    <w:rsid w:val="00387924"/>
    <w:rsid w:val="00390EAC"/>
    <w:rsid w:val="0039384D"/>
    <w:rsid w:val="00395C23"/>
    <w:rsid w:val="003A08A3"/>
    <w:rsid w:val="003A2E4F"/>
    <w:rsid w:val="003A4438"/>
    <w:rsid w:val="003A5013"/>
    <w:rsid w:val="003A5078"/>
    <w:rsid w:val="003A5D86"/>
    <w:rsid w:val="003A62DD"/>
    <w:rsid w:val="003A775A"/>
    <w:rsid w:val="003B0DAB"/>
    <w:rsid w:val="003B213A"/>
    <w:rsid w:val="003B2A48"/>
    <w:rsid w:val="003B43AD"/>
    <w:rsid w:val="003C0FEC"/>
    <w:rsid w:val="003C15B8"/>
    <w:rsid w:val="003C2AC8"/>
    <w:rsid w:val="003C753F"/>
    <w:rsid w:val="003D168C"/>
    <w:rsid w:val="003D17F9"/>
    <w:rsid w:val="003D2D88"/>
    <w:rsid w:val="003D41EA"/>
    <w:rsid w:val="003D4850"/>
    <w:rsid w:val="003D535A"/>
    <w:rsid w:val="003E5265"/>
    <w:rsid w:val="003F0955"/>
    <w:rsid w:val="003F6FE1"/>
    <w:rsid w:val="004001CB"/>
    <w:rsid w:val="00400F00"/>
    <w:rsid w:val="0040266F"/>
    <w:rsid w:val="00404F8B"/>
    <w:rsid w:val="00405256"/>
    <w:rsid w:val="00406BC0"/>
    <w:rsid w:val="00407480"/>
    <w:rsid w:val="00410031"/>
    <w:rsid w:val="00411433"/>
    <w:rsid w:val="004115A2"/>
    <w:rsid w:val="00415C81"/>
    <w:rsid w:val="00416731"/>
    <w:rsid w:val="00423031"/>
    <w:rsid w:val="00432378"/>
    <w:rsid w:val="00440D65"/>
    <w:rsid w:val="004435E6"/>
    <w:rsid w:val="004445B3"/>
    <w:rsid w:val="00447E31"/>
    <w:rsid w:val="00451044"/>
    <w:rsid w:val="00453140"/>
    <w:rsid w:val="00453923"/>
    <w:rsid w:val="00454B9B"/>
    <w:rsid w:val="00457858"/>
    <w:rsid w:val="00460325"/>
    <w:rsid w:val="00460B0B"/>
    <w:rsid w:val="00461023"/>
    <w:rsid w:val="00462FAC"/>
    <w:rsid w:val="00464631"/>
    <w:rsid w:val="00464B79"/>
    <w:rsid w:val="00467BBF"/>
    <w:rsid w:val="004719C1"/>
    <w:rsid w:val="00472183"/>
    <w:rsid w:val="00476B8E"/>
    <w:rsid w:val="00477C20"/>
    <w:rsid w:val="00482690"/>
    <w:rsid w:val="00484D16"/>
    <w:rsid w:val="004861F1"/>
    <w:rsid w:val="004867E2"/>
    <w:rsid w:val="00487F53"/>
    <w:rsid w:val="004929A9"/>
    <w:rsid w:val="004A575E"/>
    <w:rsid w:val="004A6B37"/>
    <w:rsid w:val="004C1A80"/>
    <w:rsid w:val="004C2474"/>
    <w:rsid w:val="004C2FEC"/>
    <w:rsid w:val="004C3EAA"/>
    <w:rsid w:val="004C6626"/>
    <w:rsid w:val="004C6BCF"/>
    <w:rsid w:val="004C7110"/>
    <w:rsid w:val="004D448A"/>
    <w:rsid w:val="004D58BF"/>
    <w:rsid w:val="004D6FC4"/>
    <w:rsid w:val="004E15AF"/>
    <w:rsid w:val="004E1DBE"/>
    <w:rsid w:val="004E4335"/>
    <w:rsid w:val="004E51EC"/>
    <w:rsid w:val="004E5ACF"/>
    <w:rsid w:val="004F13EE"/>
    <w:rsid w:val="004F2022"/>
    <w:rsid w:val="004F7C05"/>
    <w:rsid w:val="00501C94"/>
    <w:rsid w:val="0050418C"/>
    <w:rsid w:val="00506432"/>
    <w:rsid w:val="00512049"/>
    <w:rsid w:val="0051242B"/>
    <w:rsid w:val="00513BFB"/>
    <w:rsid w:val="00515933"/>
    <w:rsid w:val="0052051D"/>
    <w:rsid w:val="0052492C"/>
    <w:rsid w:val="0053136A"/>
    <w:rsid w:val="005452A8"/>
    <w:rsid w:val="00545EE6"/>
    <w:rsid w:val="0054649B"/>
    <w:rsid w:val="00546CF6"/>
    <w:rsid w:val="00551BA7"/>
    <w:rsid w:val="00551FBA"/>
    <w:rsid w:val="00553D1E"/>
    <w:rsid w:val="005550E7"/>
    <w:rsid w:val="005564FB"/>
    <w:rsid w:val="005572C7"/>
    <w:rsid w:val="00563ECD"/>
    <w:rsid w:val="005650ED"/>
    <w:rsid w:val="00575754"/>
    <w:rsid w:val="0058097C"/>
    <w:rsid w:val="00587279"/>
    <w:rsid w:val="0059042D"/>
    <w:rsid w:val="005915E6"/>
    <w:rsid w:val="00591E20"/>
    <w:rsid w:val="00592041"/>
    <w:rsid w:val="005928E2"/>
    <w:rsid w:val="00592DCD"/>
    <w:rsid w:val="005942E1"/>
    <w:rsid w:val="005946AA"/>
    <w:rsid w:val="005950A0"/>
    <w:rsid w:val="00595408"/>
    <w:rsid w:val="00595E84"/>
    <w:rsid w:val="00597D2E"/>
    <w:rsid w:val="005A002C"/>
    <w:rsid w:val="005A0C59"/>
    <w:rsid w:val="005A48EB"/>
    <w:rsid w:val="005A6CFB"/>
    <w:rsid w:val="005B015B"/>
    <w:rsid w:val="005B2182"/>
    <w:rsid w:val="005C5AEB"/>
    <w:rsid w:val="005D1441"/>
    <w:rsid w:val="005E0A3F"/>
    <w:rsid w:val="005E6883"/>
    <w:rsid w:val="005E772F"/>
    <w:rsid w:val="005F2555"/>
    <w:rsid w:val="005F2AD9"/>
    <w:rsid w:val="005F4ECA"/>
    <w:rsid w:val="00602F49"/>
    <w:rsid w:val="006041BE"/>
    <w:rsid w:val="006043C7"/>
    <w:rsid w:val="0060693B"/>
    <w:rsid w:val="0061559A"/>
    <w:rsid w:val="00624B52"/>
    <w:rsid w:val="00631DF4"/>
    <w:rsid w:val="0063236C"/>
    <w:rsid w:val="00633519"/>
    <w:rsid w:val="00634175"/>
    <w:rsid w:val="0063562F"/>
    <w:rsid w:val="006370A6"/>
    <w:rsid w:val="006408AC"/>
    <w:rsid w:val="006511B6"/>
    <w:rsid w:val="00652742"/>
    <w:rsid w:val="00654CA5"/>
    <w:rsid w:val="00655BE8"/>
    <w:rsid w:val="00657581"/>
    <w:rsid w:val="0065778F"/>
    <w:rsid w:val="00657FF8"/>
    <w:rsid w:val="0066562E"/>
    <w:rsid w:val="00670D99"/>
    <w:rsid w:val="00670E2B"/>
    <w:rsid w:val="006734BB"/>
    <w:rsid w:val="006758FC"/>
    <w:rsid w:val="0067654A"/>
    <w:rsid w:val="00681A34"/>
    <w:rsid w:val="006821EB"/>
    <w:rsid w:val="00693A2E"/>
    <w:rsid w:val="006A46F2"/>
    <w:rsid w:val="006A6091"/>
    <w:rsid w:val="006B0851"/>
    <w:rsid w:val="006B2286"/>
    <w:rsid w:val="006B56BB"/>
    <w:rsid w:val="006B7C53"/>
    <w:rsid w:val="006C339F"/>
    <w:rsid w:val="006C3EF7"/>
    <w:rsid w:val="006C60C2"/>
    <w:rsid w:val="006C77A8"/>
    <w:rsid w:val="006D2760"/>
    <w:rsid w:val="006D4098"/>
    <w:rsid w:val="006D43C4"/>
    <w:rsid w:val="006D4F95"/>
    <w:rsid w:val="006D7681"/>
    <w:rsid w:val="006D7B2E"/>
    <w:rsid w:val="006D7ED9"/>
    <w:rsid w:val="006E02EA"/>
    <w:rsid w:val="006E0589"/>
    <w:rsid w:val="006E0968"/>
    <w:rsid w:val="006E2AF6"/>
    <w:rsid w:val="006E5BDD"/>
    <w:rsid w:val="006E6767"/>
    <w:rsid w:val="006F0EDD"/>
    <w:rsid w:val="006F2205"/>
    <w:rsid w:val="006F2B4C"/>
    <w:rsid w:val="006F2DC6"/>
    <w:rsid w:val="006F3770"/>
    <w:rsid w:val="00700C4E"/>
    <w:rsid w:val="00701275"/>
    <w:rsid w:val="007036B2"/>
    <w:rsid w:val="00705A41"/>
    <w:rsid w:val="00707F56"/>
    <w:rsid w:val="00712D72"/>
    <w:rsid w:val="007134F2"/>
    <w:rsid w:val="00713558"/>
    <w:rsid w:val="00715180"/>
    <w:rsid w:val="00716309"/>
    <w:rsid w:val="0072046B"/>
    <w:rsid w:val="00720D08"/>
    <w:rsid w:val="007263B9"/>
    <w:rsid w:val="007334F8"/>
    <w:rsid w:val="007339CD"/>
    <w:rsid w:val="00735401"/>
    <w:rsid w:val="007359D8"/>
    <w:rsid w:val="007362D4"/>
    <w:rsid w:val="007402EF"/>
    <w:rsid w:val="007464DB"/>
    <w:rsid w:val="0075187C"/>
    <w:rsid w:val="00751A23"/>
    <w:rsid w:val="00753CDD"/>
    <w:rsid w:val="00760AFE"/>
    <w:rsid w:val="00760BCE"/>
    <w:rsid w:val="00762793"/>
    <w:rsid w:val="0076348E"/>
    <w:rsid w:val="0076672A"/>
    <w:rsid w:val="00775E45"/>
    <w:rsid w:val="00776E74"/>
    <w:rsid w:val="00785169"/>
    <w:rsid w:val="00791F88"/>
    <w:rsid w:val="00794027"/>
    <w:rsid w:val="007954AB"/>
    <w:rsid w:val="0079697D"/>
    <w:rsid w:val="0079702C"/>
    <w:rsid w:val="007A14C5"/>
    <w:rsid w:val="007A3E38"/>
    <w:rsid w:val="007A4A10"/>
    <w:rsid w:val="007B1760"/>
    <w:rsid w:val="007C6D9C"/>
    <w:rsid w:val="007C7DDB"/>
    <w:rsid w:val="007D199D"/>
    <w:rsid w:val="007D2CC7"/>
    <w:rsid w:val="007D673D"/>
    <w:rsid w:val="007E1111"/>
    <w:rsid w:val="007E32BC"/>
    <w:rsid w:val="007E42D5"/>
    <w:rsid w:val="007E7CB6"/>
    <w:rsid w:val="007F14FC"/>
    <w:rsid w:val="007F2220"/>
    <w:rsid w:val="007F26E4"/>
    <w:rsid w:val="007F31A2"/>
    <w:rsid w:val="007F4B3E"/>
    <w:rsid w:val="007F588A"/>
    <w:rsid w:val="007F62D6"/>
    <w:rsid w:val="00801CAE"/>
    <w:rsid w:val="008073C6"/>
    <w:rsid w:val="008127AF"/>
    <w:rsid w:val="008129BB"/>
    <w:rsid w:val="00812B46"/>
    <w:rsid w:val="00813D74"/>
    <w:rsid w:val="00815700"/>
    <w:rsid w:val="00817B70"/>
    <w:rsid w:val="00824131"/>
    <w:rsid w:val="008264EB"/>
    <w:rsid w:val="00826B8F"/>
    <w:rsid w:val="00831E8A"/>
    <w:rsid w:val="00835C76"/>
    <w:rsid w:val="00836763"/>
    <w:rsid w:val="008379D1"/>
    <w:rsid w:val="00843049"/>
    <w:rsid w:val="0085209B"/>
    <w:rsid w:val="00856B66"/>
    <w:rsid w:val="00861A5F"/>
    <w:rsid w:val="008636A4"/>
    <w:rsid w:val="008644AD"/>
    <w:rsid w:val="00865735"/>
    <w:rsid w:val="00865DDB"/>
    <w:rsid w:val="00867538"/>
    <w:rsid w:val="00872EEF"/>
    <w:rsid w:val="00873D90"/>
    <w:rsid w:val="00873F07"/>
    <w:rsid w:val="00873FC8"/>
    <w:rsid w:val="00884C63"/>
    <w:rsid w:val="00885908"/>
    <w:rsid w:val="008864B7"/>
    <w:rsid w:val="0089677E"/>
    <w:rsid w:val="00896E8C"/>
    <w:rsid w:val="008A0184"/>
    <w:rsid w:val="008A7438"/>
    <w:rsid w:val="008B1334"/>
    <w:rsid w:val="008C0244"/>
    <w:rsid w:val="008C0278"/>
    <w:rsid w:val="008C24E9"/>
    <w:rsid w:val="008D0533"/>
    <w:rsid w:val="008D10BD"/>
    <w:rsid w:val="008D3534"/>
    <w:rsid w:val="008D42CB"/>
    <w:rsid w:val="008D48C9"/>
    <w:rsid w:val="008D56CE"/>
    <w:rsid w:val="008D5B79"/>
    <w:rsid w:val="008D6381"/>
    <w:rsid w:val="008E0C77"/>
    <w:rsid w:val="008E1117"/>
    <w:rsid w:val="008E625F"/>
    <w:rsid w:val="008E74A4"/>
    <w:rsid w:val="008F14C6"/>
    <w:rsid w:val="008F264D"/>
    <w:rsid w:val="008F5795"/>
    <w:rsid w:val="008F761E"/>
    <w:rsid w:val="00903EA6"/>
    <w:rsid w:val="00904DE7"/>
    <w:rsid w:val="009074E1"/>
    <w:rsid w:val="009112F7"/>
    <w:rsid w:val="009122AF"/>
    <w:rsid w:val="009127BC"/>
    <w:rsid w:val="00912D54"/>
    <w:rsid w:val="0091389F"/>
    <w:rsid w:val="009208F7"/>
    <w:rsid w:val="00921BA0"/>
    <w:rsid w:val="00922118"/>
    <w:rsid w:val="00922517"/>
    <w:rsid w:val="00922722"/>
    <w:rsid w:val="009261E6"/>
    <w:rsid w:val="009268E1"/>
    <w:rsid w:val="00926BB2"/>
    <w:rsid w:val="00927557"/>
    <w:rsid w:val="009305C3"/>
    <w:rsid w:val="009426CC"/>
    <w:rsid w:val="00944B88"/>
    <w:rsid w:val="00945E7F"/>
    <w:rsid w:val="00946636"/>
    <w:rsid w:val="0094681B"/>
    <w:rsid w:val="00946CE7"/>
    <w:rsid w:val="009557C1"/>
    <w:rsid w:val="0095585C"/>
    <w:rsid w:val="00960D6E"/>
    <w:rsid w:val="00961B32"/>
    <w:rsid w:val="009664E5"/>
    <w:rsid w:val="00972BC1"/>
    <w:rsid w:val="00974B59"/>
    <w:rsid w:val="00976379"/>
    <w:rsid w:val="009767F8"/>
    <w:rsid w:val="00976CBD"/>
    <w:rsid w:val="0098340B"/>
    <w:rsid w:val="00984A9A"/>
    <w:rsid w:val="00985D06"/>
    <w:rsid w:val="00986830"/>
    <w:rsid w:val="009924C3"/>
    <w:rsid w:val="00993102"/>
    <w:rsid w:val="00995CBC"/>
    <w:rsid w:val="009964AB"/>
    <w:rsid w:val="009A4D07"/>
    <w:rsid w:val="009A7A0B"/>
    <w:rsid w:val="009B325B"/>
    <w:rsid w:val="009C2B06"/>
    <w:rsid w:val="009C4A39"/>
    <w:rsid w:val="009C6F10"/>
    <w:rsid w:val="009D099E"/>
    <w:rsid w:val="009D148F"/>
    <w:rsid w:val="009D3D70"/>
    <w:rsid w:val="009D5B75"/>
    <w:rsid w:val="009E6F7E"/>
    <w:rsid w:val="009E7A57"/>
    <w:rsid w:val="009F4F6A"/>
    <w:rsid w:val="009F713D"/>
    <w:rsid w:val="00A04084"/>
    <w:rsid w:val="00A15818"/>
    <w:rsid w:val="00A16E36"/>
    <w:rsid w:val="00A24961"/>
    <w:rsid w:val="00A24B10"/>
    <w:rsid w:val="00A274AA"/>
    <w:rsid w:val="00A30E9B"/>
    <w:rsid w:val="00A33041"/>
    <w:rsid w:val="00A4512D"/>
    <w:rsid w:val="00A46729"/>
    <w:rsid w:val="00A50244"/>
    <w:rsid w:val="00A56F17"/>
    <w:rsid w:val="00A605E6"/>
    <w:rsid w:val="00A627D7"/>
    <w:rsid w:val="00A639D3"/>
    <w:rsid w:val="00A656C7"/>
    <w:rsid w:val="00A702B6"/>
    <w:rsid w:val="00A705AF"/>
    <w:rsid w:val="00A72454"/>
    <w:rsid w:val="00A76DB0"/>
    <w:rsid w:val="00A77696"/>
    <w:rsid w:val="00A80557"/>
    <w:rsid w:val="00A81D33"/>
    <w:rsid w:val="00A8629F"/>
    <w:rsid w:val="00A912E4"/>
    <w:rsid w:val="00A930AE"/>
    <w:rsid w:val="00A96EA5"/>
    <w:rsid w:val="00A97F57"/>
    <w:rsid w:val="00AA1A95"/>
    <w:rsid w:val="00AA260F"/>
    <w:rsid w:val="00AA3146"/>
    <w:rsid w:val="00AA36CE"/>
    <w:rsid w:val="00AA7B65"/>
    <w:rsid w:val="00AB1EE7"/>
    <w:rsid w:val="00AB3633"/>
    <w:rsid w:val="00AB3F94"/>
    <w:rsid w:val="00AB4B37"/>
    <w:rsid w:val="00AB5762"/>
    <w:rsid w:val="00AC23A6"/>
    <w:rsid w:val="00AC2679"/>
    <w:rsid w:val="00AC4BE4"/>
    <w:rsid w:val="00AC5EDC"/>
    <w:rsid w:val="00AC6BF9"/>
    <w:rsid w:val="00AD05E6"/>
    <w:rsid w:val="00AD0AB1"/>
    <w:rsid w:val="00AD0D3F"/>
    <w:rsid w:val="00AD37F7"/>
    <w:rsid w:val="00AD3CEF"/>
    <w:rsid w:val="00AE1D7D"/>
    <w:rsid w:val="00AE2A8B"/>
    <w:rsid w:val="00AE3F64"/>
    <w:rsid w:val="00AE474A"/>
    <w:rsid w:val="00AE7C98"/>
    <w:rsid w:val="00AF7386"/>
    <w:rsid w:val="00AF7934"/>
    <w:rsid w:val="00B00B81"/>
    <w:rsid w:val="00B04580"/>
    <w:rsid w:val="00B04B09"/>
    <w:rsid w:val="00B15B70"/>
    <w:rsid w:val="00B16A51"/>
    <w:rsid w:val="00B17DA5"/>
    <w:rsid w:val="00B210F9"/>
    <w:rsid w:val="00B22816"/>
    <w:rsid w:val="00B2355D"/>
    <w:rsid w:val="00B24E54"/>
    <w:rsid w:val="00B25440"/>
    <w:rsid w:val="00B31EB1"/>
    <w:rsid w:val="00B32222"/>
    <w:rsid w:val="00B345DF"/>
    <w:rsid w:val="00B3486D"/>
    <w:rsid w:val="00B3618D"/>
    <w:rsid w:val="00B36233"/>
    <w:rsid w:val="00B42851"/>
    <w:rsid w:val="00B45AC7"/>
    <w:rsid w:val="00B5338D"/>
    <w:rsid w:val="00B5372F"/>
    <w:rsid w:val="00B5503B"/>
    <w:rsid w:val="00B55258"/>
    <w:rsid w:val="00B57F2B"/>
    <w:rsid w:val="00B61129"/>
    <w:rsid w:val="00B67E7F"/>
    <w:rsid w:val="00B71B58"/>
    <w:rsid w:val="00B75A04"/>
    <w:rsid w:val="00B813AA"/>
    <w:rsid w:val="00B839B2"/>
    <w:rsid w:val="00B85842"/>
    <w:rsid w:val="00B85920"/>
    <w:rsid w:val="00B87B70"/>
    <w:rsid w:val="00B87E0D"/>
    <w:rsid w:val="00B94252"/>
    <w:rsid w:val="00B94A28"/>
    <w:rsid w:val="00B9715A"/>
    <w:rsid w:val="00BA14BE"/>
    <w:rsid w:val="00BA1AD8"/>
    <w:rsid w:val="00BA2732"/>
    <w:rsid w:val="00BA293D"/>
    <w:rsid w:val="00BA49BC"/>
    <w:rsid w:val="00BA56B7"/>
    <w:rsid w:val="00BA7A1E"/>
    <w:rsid w:val="00BA7CA9"/>
    <w:rsid w:val="00BB2F6C"/>
    <w:rsid w:val="00BB3875"/>
    <w:rsid w:val="00BB4641"/>
    <w:rsid w:val="00BB5860"/>
    <w:rsid w:val="00BB6AAD"/>
    <w:rsid w:val="00BC1283"/>
    <w:rsid w:val="00BC4A19"/>
    <w:rsid w:val="00BC4E6D"/>
    <w:rsid w:val="00BD0617"/>
    <w:rsid w:val="00BD2205"/>
    <w:rsid w:val="00BD2E9B"/>
    <w:rsid w:val="00BD3909"/>
    <w:rsid w:val="00BD4E23"/>
    <w:rsid w:val="00BF09A6"/>
    <w:rsid w:val="00BF1E4A"/>
    <w:rsid w:val="00BF4413"/>
    <w:rsid w:val="00BF54BF"/>
    <w:rsid w:val="00C00930"/>
    <w:rsid w:val="00C02663"/>
    <w:rsid w:val="00C060AD"/>
    <w:rsid w:val="00C0670D"/>
    <w:rsid w:val="00C072A6"/>
    <w:rsid w:val="00C10F7B"/>
    <w:rsid w:val="00C113BF"/>
    <w:rsid w:val="00C207EE"/>
    <w:rsid w:val="00C2176E"/>
    <w:rsid w:val="00C23430"/>
    <w:rsid w:val="00C27D67"/>
    <w:rsid w:val="00C301A1"/>
    <w:rsid w:val="00C4094E"/>
    <w:rsid w:val="00C416D6"/>
    <w:rsid w:val="00C4631F"/>
    <w:rsid w:val="00C46BC9"/>
    <w:rsid w:val="00C4744F"/>
    <w:rsid w:val="00C505BA"/>
    <w:rsid w:val="00C50E16"/>
    <w:rsid w:val="00C550C8"/>
    <w:rsid w:val="00C55258"/>
    <w:rsid w:val="00C70D3D"/>
    <w:rsid w:val="00C82EEB"/>
    <w:rsid w:val="00C83865"/>
    <w:rsid w:val="00C8486E"/>
    <w:rsid w:val="00C85D68"/>
    <w:rsid w:val="00C971DC"/>
    <w:rsid w:val="00CA16B7"/>
    <w:rsid w:val="00CA4BE3"/>
    <w:rsid w:val="00CA62AE"/>
    <w:rsid w:val="00CA6ECF"/>
    <w:rsid w:val="00CA70A4"/>
    <w:rsid w:val="00CB2681"/>
    <w:rsid w:val="00CB31C2"/>
    <w:rsid w:val="00CB31D3"/>
    <w:rsid w:val="00CB5B1A"/>
    <w:rsid w:val="00CB5DB1"/>
    <w:rsid w:val="00CC220B"/>
    <w:rsid w:val="00CC5C43"/>
    <w:rsid w:val="00CD02AE"/>
    <w:rsid w:val="00CD2A4F"/>
    <w:rsid w:val="00CD2D7C"/>
    <w:rsid w:val="00CD7DB9"/>
    <w:rsid w:val="00CE03CA"/>
    <w:rsid w:val="00CE22F1"/>
    <w:rsid w:val="00CE4FBA"/>
    <w:rsid w:val="00CE50F2"/>
    <w:rsid w:val="00CE64DB"/>
    <w:rsid w:val="00CE6502"/>
    <w:rsid w:val="00CF2141"/>
    <w:rsid w:val="00CF268A"/>
    <w:rsid w:val="00CF7D3C"/>
    <w:rsid w:val="00D00C94"/>
    <w:rsid w:val="00D00DDF"/>
    <w:rsid w:val="00D147EB"/>
    <w:rsid w:val="00D169FB"/>
    <w:rsid w:val="00D266AA"/>
    <w:rsid w:val="00D34667"/>
    <w:rsid w:val="00D401E1"/>
    <w:rsid w:val="00D408B4"/>
    <w:rsid w:val="00D45D94"/>
    <w:rsid w:val="00D47E73"/>
    <w:rsid w:val="00D51F00"/>
    <w:rsid w:val="00D524C8"/>
    <w:rsid w:val="00D6007A"/>
    <w:rsid w:val="00D60E25"/>
    <w:rsid w:val="00D61790"/>
    <w:rsid w:val="00D70E24"/>
    <w:rsid w:val="00D72B61"/>
    <w:rsid w:val="00D73540"/>
    <w:rsid w:val="00D73CA9"/>
    <w:rsid w:val="00D74B84"/>
    <w:rsid w:val="00D80BBC"/>
    <w:rsid w:val="00D8335E"/>
    <w:rsid w:val="00D85D99"/>
    <w:rsid w:val="00D92187"/>
    <w:rsid w:val="00DA3D1D"/>
    <w:rsid w:val="00DA4888"/>
    <w:rsid w:val="00DA4A45"/>
    <w:rsid w:val="00DA77AF"/>
    <w:rsid w:val="00DB0138"/>
    <w:rsid w:val="00DB0454"/>
    <w:rsid w:val="00DB3CAB"/>
    <w:rsid w:val="00DB5020"/>
    <w:rsid w:val="00DB5F89"/>
    <w:rsid w:val="00DB6286"/>
    <w:rsid w:val="00DB645F"/>
    <w:rsid w:val="00DB73E6"/>
    <w:rsid w:val="00DB76E9"/>
    <w:rsid w:val="00DB7978"/>
    <w:rsid w:val="00DC0097"/>
    <w:rsid w:val="00DC063E"/>
    <w:rsid w:val="00DC0A67"/>
    <w:rsid w:val="00DC1D5E"/>
    <w:rsid w:val="00DC2313"/>
    <w:rsid w:val="00DC5220"/>
    <w:rsid w:val="00DC535C"/>
    <w:rsid w:val="00DC7910"/>
    <w:rsid w:val="00DD15B0"/>
    <w:rsid w:val="00DD2061"/>
    <w:rsid w:val="00DD7DAB"/>
    <w:rsid w:val="00DE3355"/>
    <w:rsid w:val="00DF0E00"/>
    <w:rsid w:val="00DF486F"/>
    <w:rsid w:val="00DF5B5B"/>
    <w:rsid w:val="00DF7619"/>
    <w:rsid w:val="00E00C9D"/>
    <w:rsid w:val="00E042D8"/>
    <w:rsid w:val="00E07039"/>
    <w:rsid w:val="00E07EE7"/>
    <w:rsid w:val="00E1103B"/>
    <w:rsid w:val="00E14820"/>
    <w:rsid w:val="00E17B44"/>
    <w:rsid w:val="00E20B55"/>
    <w:rsid w:val="00E27FEA"/>
    <w:rsid w:val="00E3299E"/>
    <w:rsid w:val="00E4086F"/>
    <w:rsid w:val="00E4274B"/>
    <w:rsid w:val="00E43B3C"/>
    <w:rsid w:val="00E50188"/>
    <w:rsid w:val="00E515CB"/>
    <w:rsid w:val="00E52260"/>
    <w:rsid w:val="00E572FD"/>
    <w:rsid w:val="00E60683"/>
    <w:rsid w:val="00E639B6"/>
    <w:rsid w:val="00E6434B"/>
    <w:rsid w:val="00E645B3"/>
    <w:rsid w:val="00E6463D"/>
    <w:rsid w:val="00E72E9B"/>
    <w:rsid w:val="00E746DA"/>
    <w:rsid w:val="00E8030C"/>
    <w:rsid w:val="00E849DA"/>
    <w:rsid w:val="00E9462E"/>
    <w:rsid w:val="00EA470E"/>
    <w:rsid w:val="00EA47A7"/>
    <w:rsid w:val="00EA47D9"/>
    <w:rsid w:val="00EA57EB"/>
    <w:rsid w:val="00EA769C"/>
    <w:rsid w:val="00EA78E4"/>
    <w:rsid w:val="00EB3226"/>
    <w:rsid w:val="00EB5783"/>
    <w:rsid w:val="00EC0E50"/>
    <w:rsid w:val="00EC213A"/>
    <w:rsid w:val="00EC6603"/>
    <w:rsid w:val="00EC7744"/>
    <w:rsid w:val="00ED008C"/>
    <w:rsid w:val="00ED0DAD"/>
    <w:rsid w:val="00ED0F46"/>
    <w:rsid w:val="00ED1BB5"/>
    <w:rsid w:val="00ED2373"/>
    <w:rsid w:val="00ED62A6"/>
    <w:rsid w:val="00ED68FF"/>
    <w:rsid w:val="00ED69EB"/>
    <w:rsid w:val="00EE15AF"/>
    <w:rsid w:val="00EE26D3"/>
    <w:rsid w:val="00EE3E8A"/>
    <w:rsid w:val="00EF4CE8"/>
    <w:rsid w:val="00EF6ECA"/>
    <w:rsid w:val="00F024E1"/>
    <w:rsid w:val="00F02665"/>
    <w:rsid w:val="00F06C10"/>
    <w:rsid w:val="00F07815"/>
    <w:rsid w:val="00F1096F"/>
    <w:rsid w:val="00F11D45"/>
    <w:rsid w:val="00F12589"/>
    <w:rsid w:val="00F12595"/>
    <w:rsid w:val="00F134D9"/>
    <w:rsid w:val="00F1403D"/>
    <w:rsid w:val="00F1463F"/>
    <w:rsid w:val="00F15AD0"/>
    <w:rsid w:val="00F16DC6"/>
    <w:rsid w:val="00F20EDC"/>
    <w:rsid w:val="00F21302"/>
    <w:rsid w:val="00F321DE"/>
    <w:rsid w:val="00F33777"/>
    <w:rsid w:val="00F37940"/>
    <w:rsid w:val="00F40648"/>
    <w:rsid w:val="00F47DA2"/>
    <w:rsid w:val="00F50815"/>
    <w:rsid w:val="00F519FC"/>
    <w:rsid w:val="00F5627D"/>
    <w:rsid w:val="00F6239D"/>
    <w:rsid w:val="00F715D2"/>
    <w:rsid w:val="00F7274F"/>
    <w:rsid w:val="00F76FA8"/>
    <w:rsid w:val="00F77641"/>
    <w:rsid w:val="00F802EB"/>
    <w:rsid w:val="00F80553"/>
    <w:rsid w:val="00F8405C"/>
    <w:rsid w:val="00F84BFA"/>
    <w:rsid w:val="00F92AF7"/>
    <w:rsid w:val="00F93F08"/>
    <w:rsid w:val="00F94CED"/>
    <w:rsid w:val="00FA008A"/>
    <w:rsid w:val="00FA2CEE"/>
    <w:rsid w:val="00FA318C"/>
    <w:rsid w:val="00FB01BF"/>
    <w:rsid w:val="00FB3256"/>
    <w:rsid w:val="00FB6F92"/>
    <w:rsid w:val="00FC026E"/>
    <w:rsid w:val="00FC36D1"/>
    <w:rsid w:val="00FC5124"/>
    <w:rsid w:val="00FC5B3D"/>
    <w:rsid w:val="00FC6E29"/>
    <w:rsid w:val="00FC74AF"/>
    <w:rsid w:val="00FD1FF5"/>
    <w:rsid w:val="00FD331A"/>
    <w:rsid w:val="00FD4731"/>
    <w:rsid w:val="00FE4DF8"/>
    <w:rsid w:val="00FF0AB0"/>
    <w:rsid w:val="00FF0BCA"/>
    <w:rsid w:val="00FF28AC"/>
    <w:rsid w:val="00FF7F62"/>
    <w:rsid w:val="0766C6DB"/>
    <w:rsid w:val="0D4148BA"/>
    <w:rsid w:val="0F0E4AC2"/>
    <w:rsid w:val="1017A869"/>
    <w:rsid w:val="17C39451"/>
    <w:rsid w:val="19D275D0"/>
    <w:rsid w:val="258DFDB5"/>
    <w:rsid w:val="25DDDD76"/>
    <w:rsid w:val="2AF47D88"/>
    <w:rsid w:val="2C6BAE54"/>
    <w:rsid w:val="2F41BAF9"/>
    <w:rsid w:val="3331C507"/>
    <w:rsid w:val="3B3CBFB3"/>
    <w:rsid w:val="3B80C083"/>
    <w:rsid w:val="3CDF99FC"/>
    <w:rsid w:val="3E8D9A5D"/>
    <w:rsid w:val="42A8EEBB"/>
    <w:rsid w:val="46EBDFEC"/>
    <w:rsid w:val="4728B6F9"/>
    <w:rsid w:val="489FA45E"/>
    <w:rsid w:val="4E401C5D"/>
    <w:rsid w:val="50D6CB97"/>
    <w:rsid w:val="51C3E5C4"/>
    <w:rsid w:val="562049A2"/>
    <w:rsid w:val="5DC3DDBF"/>
    <w:rsid w:val="5E663436"/>
    <w:rsid w:val="64D04F4D"/>
    <w:rsid w:val="66E14207"/>
    <w:rsid w:val="694A91A6"/>
    <w:rsid w:val="744AD946"/>
    <w:rsid w:val="76A99302"/>
    <w:rsid w:val="7B8A25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717C8"/>
  <w15:docId w15:val="{0B6AF06F-C201-4762-A45F-F72AE2EA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27E41"/>
    <w:pPr>
      <w:spacing w:before="120" w:after="120"/>
    </w:pPr>
    <w:rPr>
      <w:rFonts w:ascii="Aptos" w:eastAsia="Aptos" w:hAnsi="Aptos"/>
      <w:kern w:val="2"/>
      <w:sz w:val="22"/>
      <w:szCs w:val="24"/>
      <w:lang w:eastAsia="en-US"/>
      <w14:ligatures w14:val="standardContextual"/>
    </w:rPr>
  </w:style>
  <w:style w:type="paragraph" w:styleId="Heading1">
    <w:name w:val="heading 1"/>
    <w:basedOn w:val="Normal"/>
    <w:next w:val="Normal"/>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227E41"/>
    <w:pPr>
      <w:keepNext/>
      <w:spacing w:before="180" w:after="60"/>
      <w:outlineLvl w:val="2"/>
    </w:pPr>
    <w:rPr>
      <w:rFonts w:ascii="Arial" w:eastAsia="Aptos"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Paragraph"/>
    <w:rsid w:val="001C671C"/>
    <w:pPr>
      <w:numPr>
        <w:numId w:val="22"/>
      </w:numPr>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F02665"/>
    <w:rPr>
      <w:color w:val="358189" w:themeColor="accent2"/>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styleId="UnresolvedMention">
    <w:name w:val="Unresolved Mention"/>
    <w:basedOn w:val="DefaultParagraphFont"/>
    <w:uiPriority w:val="99"/>
    <w:semiHidden/>
    <w:unhideWhenUsed/>
    <w:rsid w:val="00407480"/>
    <w:rPr>
      <w:color w:val="605E5C"/>
      <w:shd w:val="clear" w:color="auto" w:fill="E1DFDD"/>
    </w:rPr>
  </w:style>
  <w:style w:type="table" w:customStyle="1" w:styleId="ListTable3-Accent21">
    <w:name w:val="List Table 3 - Accent 21"/>
    <w:basedOn w:val="TableNormal"/>
    <w:next w:val="ListTable3-Accent2"/>
    <w:uiPriority w:val="48"/>
    <w:rsid w:val="000C60C7"/>
    <w:rPr>
      <w:rFonts w:eastAsia="Aptos"/>
      <w:kern w:val="2"/>
      <w:sz w:val="24"/>
      <w:szCs w:val="24"/>
      <w:lang w:eastAsia="en-US"/>
      <w14:ligatures w14:val="standardContextual"/>
    </w:rPr>
    <w:tblPr>
      <w:tblStyleRowBandSize w:val="1"/>
      <w:tblStyleColBandSize w:val="1"/>
      <w:tblBorders>
        <w:top w:val="single" w:sz="4" w:space="0" w:color="006FB9"/>
        <w:left w:val="single" w:sz="4" w:space="0" w:color="006FB9"/>
        <w:bottom w:val="single" w:sz="4" w:space="0" w:color="006FB9"/>
        <w:right w:val="single" w:sz="4" w:space="0" w:color="006FB9"/>
      </w:tblBorders>
    </w:tblPr>
    <w:tblStylePr w:type="firstRow">
      <w:rPr>
        <w:b/>
        <w:bCs/>
        <w:color w:val="FFFFFF"/>
      </w:rPr>
      <w:tblPr/>
      <w:tcPr>
        <w:shd w:val="clear" w:color="auto" w:fill="006FB9"/>
      </w:tcPr>
    </w:tblStylePr>
    <w:tblStylePr w:type="lastRow">
      <w:rPr>
        <w:b/>
        <w:bCs/>
      </w:rPr>
      <w:tblPr/>
      <w:tcPr>
        <w:tcBorders>
          <w:top w:val="double" w:sz="4" w:space="0" w:color="006FB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FB9"/>
          <w:right w:val="single" w:sz="4" w:space="0" w:color="006FB9"/>
        </w:tcBorders>
      </w:tcPr>
    </w:tblStylePr>
    <w:tblStylePr w:type="band1Horz">
      <w:tblPr/>
      <w:tcPr>
        <w:tcBorders>
          <w:top w:val="single" w:sz="4" w:space="0" w:color="006FB9"/>
          <w:bottom w:val="single" w:sz="4" w:space="0" w:color="006FB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left w:val="nil"/>
        </w:tcBorders>
      </w:tcPr>
    </w:tblStylePr>
    <w:tblStylePr w:type="swCell">
      <w:tblPr/>
      <w:tcPr>
        <w:tcBorders>
          <w:top w:val="double" w:sz="4" w:space="0" w:color="006FB9"/>
          <w:right w:val="nil"/>
        </w:tcBorders>
      </w:tcPr>
    </w:tblStylePr>
  </w:style>
  <w:style w:type="table" w:customStyle="1" w:styleId="GridTable5Dark-Accent21">
    <w:name w:val="Grid Table 5 Dark - Accent 21"/>
    <w:basedOn w:val="TableNormal"/>
    <w:next w:val="GridTable5Dark-Accent2"/>
    <w:uiPriority w:val="50"/>
    <w:rsid w:val="000C60C7"/>
    <w:rPr>
      <w:rFonts w:eastAsia="Aptos"/>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EE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6FB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6FB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6FB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6FB9"/>
      </w:tcPr>
    </w:tblStylePr>
    <w:tblStylePr w:type="band1Vert">
      <w:tblPr/>
      <w:tcPr>
        <w:shd w:val="clear" w:color="auto" w:fill="7DCBFF"/>
      </w:tcPr>
    </w:tblStylePr>
    <w:tblStylePr w:type="band1Horz">
      <w:tblPr/>
      <w:tcPr>
        <w:shd w:val="clear" w:color="auto" w:fill="7DCBFF"/>
      </w:tcPr>
    </w:tblStylePr>
  </w:style>
  <w:style w:type="character" w:styleId="FootnoteReference">
    <w:name w:val="footnote reference"/>
    <w:basedOn w:val="DefaultParagraphFont"/>
    <w:uiPriority w:val="99"/>
    <w:semiHidden/>
    <w:unhideWhenUsed/>
    <w:rsid w:val="000C60C7"/>
    <w:rPr>
      <w:vertAlign w:val="superscript"/>
    </w:rPr>
  </w:style>
  <w:style w:type="table" w:styleId="ListTable3-Accent2">
    <w:name w:val="List Table 3 Accent 2"/>
    <w:basedOn w:val="TableNormal"/>
    <w:uiPriority w:val="48"/>
    <w:rsid w:val="000C60C7"/>
    <w:tblPr>
      <w:tblStyleRowBandSize w:val="1"/>
      <w:tblStyleColBandSize w:val="1"/>
      <w:tblBorders>
        <w:top w:val="single" w:sz="4" w:space="0" w:color="358189" w:themeColor="accent2"/>
        <w:left w:val="single" w:sz="4" w:space="0" w:color="358189" w:themeColor="accent2"/>
        <w:bottom w:val="single" w:sz="4" w:space="0" w:color="358189" w:themeColor="accent2"/>
        <w:right w:val="single" w:sz="4" w:space="0" w:color="358189" w:themeColor="accent2"/>
      </w:tblBorders>
    </w:tblPr>
    <w:tblStylePr w:type="firstRow">
      <w:rPr>
        <w:b/>
        <w:bCs/>
        <w:color w:val="FFFFFF" w:themeColor="background1"/>
      </w:rPr>
      <w:tblPr/>
      <w:tcPr>
        <w:shd w:val="clear" w:color="auto" w:fill="358189" w:themeFill="accent2"/>
      </w:tcPr>
    </w:tblStylePr>
    <w:tblStylePr w:type="lastRow">
      <w:rPr>
        <w:b/>
        <w:bCs/>
      </w:rPr>
      <w:tblPr/>
      <w:tcPr>
        <w:tcBorders>
          <w:top w:val="double" w:sz="4" w:space="0" w:color="3581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189" w:themeColor="accent2"/>
          <w:right w:val="single" w:sz="4" w:space="0" w:color="358189" w:themeColor="accent2"/>
        </w:tcBorders>
      </w:tcPr>
    </w:tblStylePr>
    <w:tblStylePr w:type="band1Horz">
      <w:tblPr/>
      <w:tcPr>
        <w:tcBorders>
          <w:top w:val="single" w:sz="4" w:space="0" w:color="358189" w:themeColor="accent2"/>
          <w:bottom w:val="single" w:sz="4" w:space="0" w:color="3581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189" w:themeColor="accent2"/>
          <w:left w:val="nil"/>
        </w:tcBorders>
      </w:tcPr>
    </w:tblStylePr>
    <w:tblStylePr w:type="swCell">
      <w:tblPr/>
      <w:tcPr>
        <w:tcBorders>
          <w:top w:val="double" w:sz="4" w:space="0" w:color="358189" w:themeColor="accent2"/>
          <w:right w:val="nil"/>
        </w:tcBorders>
      </w:tcPr>
    </w:tblStylePr>
  </w:style>
  <w:style w:type="table" w:styleId="GridTable5Dark-Accent2">
    <w:name w:val="Grid Table 5 Dark Accent 2"/>
    <w:basedOn w:val="TableNormal"/>
    <w:uiPriority w:val="50"/>
    <w:rsid w:val="000C60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A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1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1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1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189" w:themeFill="accent2"/>
      </w:tcPr>
    </w:tblStylePr>
    <w:tblStylePr w:type="band1Vert">
      <w:tblPr/>
      <w:tcPr>
        <w:shd w:val="clear" w:color="auto" w:fill="A2D5DB" w:themeFill="accent2" w:themeFillTint="66"/>
      </w:tcPr>
    </w:tblStylePr>
    <w:tblStylePr w:type="band1Horz">
      <w:tblPr/>
      <w:tcPr>
        <w:shd w:val="clear" w:color="auto" w:fill="A2D5DB" w:themeFill="accent2" w:themeFillTint="66"/>
      </w:tcPr>
    </w:tblStylePr>
  </w:style>
  <w:style w:type="character" w:styleId="PlaceholderText">
    <w:name w:val="Placeholder Text"/>
    <w:basedOn w:val="DefaultParagraphFont"/>
    <w:uiPriority w:val="99"/>
    <w:semiHidden/>
    <w:rsid w:val="00944B88"/>
    <w:rPr>
      <w:color w:val="666666"/>
    </w:rPr>
  </w:style>
  <w:style w:type="paragraph" w:styleId="Revision">
    <w:name w:val="Revision"/>
    <w:hidden/>
    <w:uiPriority w:val="99"/>
    <w:semiHidden/>
    <w:rsid w:val="001B728A"/>
    <w:rPr>
      <w:rFonts w:ascii="Arial" w:hAnsi="Arial"/>
      <w:sz w:val="22"/>
      <w:szCs w:val="24"/>
      <w:lang w:eastAsia="en-US"/>
    </w:rPr>
  </w:style>
  <w:style w:type="character" w:styleId="CommentReference">
    <w:name w:val="annotation reference"/>
    <w:basedOn w:val="DefaultParagraphFont"/>
    <w:semiHidden/>
    <w:unhideWhenUsed/>
    <w:rsid w:val="006A46F2"/>
    <w:rPr>
      <w:sz w:val="16"/>
      <w:szCs w:val="16"/>
    </w:rPr>
  </w:style>
  <w:style w:type="paragraph" w:styleId="CommentText">
    <w:name w:val="annotation text"/>
    <w:basedOn w:val="Normal"/>
    <w:link w:val="CommentTextChar"/>
    <w:unhideWhenUsed/>
    <w:rsid w:val="006A46F2"/>
    <w:rPr>
      <w:sz w:val="20"/>
      <w:szCs w:val="20"/>
    </w:rPr>
  </w:style>
  <w:style w:type="character" w:customStyle="1" w:styleId="CommentTextChar">
    <w:name w:val="Comment Text Char"/>
    <w:basedOn w:val="DefaultParagraphFont"/>
    <w:link w:val="CommentText"/>
    <w:rsid w:val="006A46F2"/>
    <w:rPr>
      <w:rFonts w:ascii="Arial" w:hAnsi="Arial"/>
      <w:lang w:eastAsia="en-US"/>
    </w:rPr>
  </w:style>
  <w:style w:type="paragraph" w:styleId="CommentSubject">
    <w:name w:val="annotation subject"/>
    <w:basedOn w:val="CommentText"/>
    <w:next w:val="CommentText"/>
    <w:link w:val="CommentSubjectChar"/>
    <w:semiHidden/>
    <w:unhideWhenUsed/>
    <w:rsid w:val="006A46F2"/>
    <w:rPr>
      <w:b/>
      <w:bCs/>
    </w:rPr>
  </w:style>
  <w:style w:type="character" w:customStyle="1" w:styleId="CommentSubjectChar">
    <w:name w:val="Comment Subject Char"/>
    <w:basedOn w:val="CommentTextChar"/>
    <w:link w:val="CommentSubject"/>
    <w:semiHidden/>
    <w:rsid w:val="006A46F2"/>
    <w:rPr>
      <w:rFonts w:ascii="Arial" w:hAnsi="Arial"/>
      <w:b/>
      <w:bCs/>
      <w:lang w:eastAsia="en-US"/>
    </w:rPr>
  </w:style>
  <w:style w:type="paragraph" w:styleId="TOCHeading">
    <w:name w:val="TOC Heading"/>
    <w:basedOn w:val="Heading1"/>
    <w:next w:val="Normal"/>
    <w:uiPriority w:val="39"/>
    <w:unhideWhenUsed/>
    <w:qFormat/>
    <w:rsid w:val="000809B5"/>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592041"/>
    <w:pPr>
      <w:tabs>
        <w:tab w:val="right" w:leader="dot" w:pos="9016"/>
      </w:tabs>
      <w:spacing w:after="100"/>
    </w:pPr>
    <w:rPr>
      <w:rFonts w:asciiTheme="minorHAnsi" w:eastAsiaTheme="minorEastAsia" w:hAnsiTheme="minorHAnsi" w:cstheme="minorBidi"/>
      <w:noProof/>
      <w:sz w:val="24"/>
      <w:lang w:eastAsia="ja-JP"/>
    </w:rPr>
  </w:style>
  <w:style w:type="paragraph" w:styleId="TOC2">
    <w:name w:val="toc 2"/>
    <w:basedOn w:val="Normal"/>
    <w:next w:val="Normal"/>
    <w:autoRedefine/>
    <w:uiPriority w:val="39"/>
    <w:unhideWhenUsed/>
    <w:rsid w:val="00592041"/>
    <w:pPr>
      <w:tabs>
        <w:tab w:val="right" w:leader="dot" w:pos="9016"/>
      </w:tabs>
      <w:spacing w:after="100"/>
      <w:ind w:left="220"/>
    </w:pPr>
    <w:rPr>
      <w:rFonts w:asciiTheme="minorHAnsi" w:eastAsiaTheme="minorEastAsia" w:hAnsiTheme="minorHAnsi" w:cstheme="minorBidi"/>
      <w:noProof/>
      <w:sz w:val="24"/>
      <w:lang w:eastAsia="ja-JP"/>
    </w:rPr>
  </w:style>
  <w:style w:type="paragraph" w:styleId="TOC3">
    <w:name w:val="toc 3"/>
    <w:basedOn w:val="Normal"/>
    <w:next w:val="Normal"/>
    <w:autoRedefine/>
    <w:uiPriority w:val="39"/>
    <w:unhideWhenUsed/>
    <w:rsid w:val="00592041"/>
    <w:pPr>
      <w:tabs>
        <w:tab w:val="right" w:leader="dot" w:pos="9016"/>
      </w:tabs>
      <w:spacing w:after="100"/>
      <w:ind w:left="440"/>
    </w:pPr>
    <w:rPr>
      <w:rFonts w:asciiTheme="minorHAnsi" w:eastAsiaTheme="minorEastAsia" w:hAnsiTheme="minorHAnsi" w:cstheme="minorBidi"/>
      <w:noProof/>
      <w:sz w:val="24"/>
      <w:lang w:eastAsia="ja-JP"/>
    </w:rPr>
  </w:style>
  <w:style w:type="paragraph" w:styleId="EndnoteText">
    <w:name w:val="endnote text"/>
    <w:basedOn w:val="Normal"/>
    <w:link w:val="EndnoteTextChar"/>
    <w:semiHidden/>
    <w:unhideWhenUsed/>
    <w:rsid w:val="00DB7978"/>
    <w:rPr>
      <w:sz w:val="20"/>
      <w:szCs w:val="20"/>
    </w:rPr>
  </w:style>
  <w:style w:type="character" w:customStyle="1" w:styleId="EndnoteTextChar">
    <w:name w:val="Endnote Text Char"/>
    <w:basedOn w:val="DefaultParagraphFont"/>
    <w:link w:val="EndnoteText"/>
    <w:semiHidden/>
    <w:rsid w:val="00DB7978"/>
    <w:rPr>
      <w:rFonts w:ascii="Arial" w:hAnsi="Arial"/>
      <w:lang w:eastAsia="en-US"/>
    </w:rPr>
  </w:style>
  <w:style w:type="character" w:styleId="EndnoteReference">
    <w:name w:val="endnote reference"/>
    <w:basedOn w:val="DefaultParagraphFont"/>
    <w:semiHidden/>
    <w:unhideWhenUsed/>
    <w:rsid w:val="00DB79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098652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8314271">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487438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476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gov.au/resources/collections/primary-health-networks-phn-collection-of-administrative-and-guidance-documents" TargetMode="External"/><Relationship Id="rId7" Type="http://schemas.openxmlformats.org/officeDocument/2006/relationships/settings" Target="settings.xml"/><Relationship Id="rId12" Type="http://schemas.openxmlformats.org/officeDocument/2006/relationships/hyperlink" Target="https://www.health.gov.au/resources/publications/integrated-team-care-program-transition-fact-sheet-and-faqs?language=en"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rants.gov.au/Go/Show?GoUuid=7c3548f6-c9b9-452c-a643-47625e06eab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integrated-team-care-program-implementation-guidelines?language=en"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finance.gov.au/government/commonwealth-grants/grants-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2" ma:contentTypeDescription="Create a new document." ma:contentTypeScope="" ma:versionID="68006a62ac9f5a8f257f787b846dd66e">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a9305ab7d6f56f23f46ad3f2ed1977e0"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40325e-9e16-4165-9463-b4043d9cc45a}"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6BC09D49-2630-475B-A82F-9BE2B353C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docProps/app.xml><?xml version="1.0" encoding="utf-8"?>
<Properties xmlns="http://schemas.openxmlformats.org/officeDocument/2006/extended-properties" xmlns:vt="http://schemas.openxmlformats.org/officeDocument/2006/docPropsVTypes">
  <Template>Department of Health - Short document template.dotx</Template>
  <TotalTime>26</TotalTime>
  <Pages>12</Pages>
  <Words>2530</Words>
  <Characters>16195</Characters>
  <Application>Microsoft Office Word</Application>
  <DocSecurity>0</DocSecurity>
  <Lines>674</Lines>
  <Paragraphs>256</Paragraphs>
  <ScaleCrop>false</ScaleCrop>
  <HeadingPairs>
    <vt:vector size="2" baseType="variant">
      <vt:variant>
        <vt:lpstr>Title</vt:lpstr>
      </vt:variant>
      <vt:variant>
        <vt:i4>1</vt:i4>
      </vt:variant>
    </vt:vector>
  </HeadingPairs>
  <TitlesOfParts>
    <vt:vector size="1" baseType="lpstr">
      <vt:lpstr>Information for ITC Commissioning Bodies</vt:lpstr>
    </vt:vector>
  </TitlesOfParts>
  <Company>Australian Government Department of Health, Disability and Ageing</Company>
  <LinksUpToDate>false</LinksUpToDate>
  <CharactersWithSpaces>18469</CharactersWithSpaces>
  <SharedDoc>false</SharedDoc>
  <HLinks>
    <vt:vector size="60" baseType="variant">
      <vt:variant>
        <vt:i4>2883638</vt:i4>
      </vt:variant>
      <vt:variant>
        <vt:i4>45</vt:i4>
      </vt:variant>
      <vt:variant>
        <vt:i4>0</vt:i4>
      </vt:variant>
      <vt:variant>
        <vt:i4>5</vt:i4>
      </vt:variant>
      <vt:variant>
        <vt:lpwstr>https://www.health.gov.au/resources/collections/primary-health-networks-phn-collection-of-administrative-and-guidance-documents</vt:lpwstr>
      </vt:variant>
      <vt:variant>
        <vt:lpwstr/>
      </vt:variant>
      <vt:variant>
        <vt:i4>2031700</vt:i4>
      </vt:variant>
      <vt:variant>
        <vt:i4>42</vt:i4>
      </vt:variant>
      <vt:variant>
        <vt:i4>0</vt:i4>
      </vt:variant>
      <vt:variant>
        <vt:i4>5</vt:i4>
      </vt:variant>
      <vt:variant>
        <vt:lpwstr>https://www.grants.gov.au/Go/Show?GoUuid=7c3548f6-c9b9-452c-a643-47625e06eab8</vt:lpwstr>
      </vt:variant>
      <vt:variant>
        <vt:lpwstr/>
      </vt:variant>
      <vt:variant>
        <vt:i4>5898308</vt:i4>
      </vt:variant>
      <vt:variant>
        <vt:i4>39</vt:i4>
      </vt:variant>
      <vt:variant>
        <vt:i4>0</vt:i4>
      </vt:variant>
      <vt:variant>
        <vt:i4>5</vt:i4>
      </vt:variant>
      <vt:variant>
        <vt:lpwstr>https://www.finance.gov.au/government/commonwealth-grants/tools-and-templates</vt:lpwstr>
      </vt:variant>
      <vt:variant>
        <vt:lpwstr/>
      </vt:variant>
      <vt:variant>
        <vt:i4>1507378</vt:i4>
      </vt:variant>
      <vt:variant>
        <vt:i4>32</vt:i4>
      </vt:variant>
      <vt:variant>
        <vt:i4>0</vt:i4>
      </vt:variant>
      <vt:variant>
        <vt:i4>5</vt:i4>
      </vt:variant>
      <vt:variant>
        <vt:lpwstr/>
      </vt:variant>
      <vt:variant>
        <vt:lpwstr>_Toc200014140</vt:lpwstr>
      </vt:variant>
      <vt:variant>
        <vt:i4>1048626</vt:i4>
      </vt:variant>
      <vt:variant>
        <vt:i4>26</vt:i4>
      </vt:variant>
      <vt:variant>
        <vt:i4>0</vt:i4>
      </vt:variant>
      <vt:variant>
        <vt:i4>5</vt:i4>
      </vt:variant>
      <vt:variant>
        <vt:lpwstr/>
      </vt:variant>
      <vt:variant>
        <vt:lpwstr>_Toc200014139</vt:lpwstr>
      </vt:variant>
      <vt:variant>
        <vt:i4>1048626</vt:i4>
      </vt:variant>
      <vt:variant>
        <vt:i4>20</vt:i4>
      </vt:variant>
      <vt:variant>
        <vt:i4>0</vt:i4>
      </vt:variant>
      <vt:variant>
        <vt:i4>5</vt:i4>
      </vt:variant>
      <vt:variant>
        <vt:lpwstr/>
      </vt:variant>
      <vt:variant>
        <vt:lpwstr>_Toc200014138</vt:lpwstr>
      </vt:variant>
      <vt:variant>
        <vt:i4>1048626</vt:i4>
      </vt:variant>
      <vt:variant>
        <vt:i4>14</vt:i4>
      </vt:variant>
      <vt:variant>
        <vt:i4>0</vt:i4>
      </vt:variant>
      <vt:variant>
        <vt:i4>5</vt:i4>
      </vt:variant>
      <vt:variant>
        <vt:lpwstr/>
      </vt:variant>
      <vt:variant>
        <vt:lpwstr>_Toc200014137</vt:lpwstr>
      </vt:variant>
      <vt:variant>
        <vt:i4>1048626</vt:i4>
      </vt:variant>
      <vt:variant>
        <vt:i4>8</vt:i4>
      </vt:variant>
      <vt:variant>
        <vt:i4>0</vt:i4>
      </vt:variant>
      <vt:variant>
        <vt:i4>5</vt:i4>
      </vt:variant>
      <vt:variant>
        <vt:lpwstr/>
      </vt:variant>
      <vt:variant>
        <vt:lpwstr>_Toc200014136</vt:lpwstr>
      </vt:variant>
      <vt:variant>
        <vt:i4>73</vt:i4>
      </vt:variant>
      <vt:variant>
        <vt:i4>3</vt:i4>
      </vt:variant>
      <vt:variant>
        <vt:i4>0</vt:i4>
      </vt:variant>
      <vt:variant>
        <vt:i4>5</vt:i4>
      </vt:variant>
      <vt:variant>
        <vt:lpwstr>https://www.health.gov.au/resources/publications/integrated-team-care-program-transition-fact-sheet-and-faqs?language=en</vt:lpwstr>
      </vt:variant>
      <vt:variant>
        <vt:lpwstr/>
      </vt:variant>
      <vt:variant>
        <vt:i4>3342386</vt:i4>
      </vt:variant>
      <vt:variant>
        <vt:i4>0</vt:i4>
      </vt:variant>
      <vt:variant>
        <vt:i4>0</vt:i4>
      </vt:variant>
      <vt:variant>
        <vt:i4>5</vt:i4>
      </vt:variant>
      <vt:variant>
        <vt:lpwstr>https://www.health.gov.au/resources/publications/integrated-team-care-program-implementation-guidelines?language=en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ITC Commissioning Bodies</dc:title>
  <dc:subject/>
  <dc:creator>Australian Government Department of Health Disability and Ageing</dc:creator>
  <cp:keywords>Integrated Team Care</cp:keywords>
  <cp:lastModifiedBy>MASCHKE, Elvia</cp:lastModifiedBy>
  <cp:revision>6</cp:revision>
  <cp:lastPrinted>2025-11-06T23:18:00Z</cp:lastPrinted>
  <dcterms:created xsi:type="dcterms:W3CDTF">2025-11-06T22:52:00Z</dcterms:created>
  <dcterms:modified xsi:type="dcterms:W3CDTF">2025-11-06T23:18:00Z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0x0101007A82B3361C2F6F4BA86251C46CAF0EB2</vt:lpwstr>
  </property>
  <property fmtid="{D5CDD505-2E9C-101B-9397-08002B2CF9AE}" pid="5" name="MediaServiceImageTags">
    <vt:lpwstr/>
  </property>
  <property fmtid="{D5CDD505-2E9C-101B-9397-08002B2CF9AE}" pid="6" name="ClassificationContentMarkingHeaderShapeIds">
    <vt:lpwstr>1b1050e6,61e97d88,8e80eff,1a0f4fae,2cece2ee,45614663</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33fa382a,436ac9f,5ed76c11,3fb2abaf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2025-09-01T12:30:05Z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54bdb3b0-0757-488f-a8ea-0b4ab8895955</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